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821B51" w14:textId="77777777" w:rsidR="005B0D43" w:rsidRPr="00AE174C" w:rsidRDefault="005B0D43" w:rsidP="005B0D43">
      <w:pPr>
        <w:keepNext/>
        <w:keepLines/>
        <w:spacing w:before="360" w:after="80" w:line="240" w:lineRule="auto"/>
        <w:outlineLvl w:val="0"/>
        <w:rPr>
          <w:rFonts w:asciiTheme="majorHAnsi" w:eastAsiaTheme="majorEastAsia" w:hAnsiTheme="majorHAnsi" w:cstheme="majorBidi"/>
          <w:color w:val="0F4761" w:themeColor="accent1" w:themeShade="BF"/>
          <w:sz w:val="40"/>
          <w:szCs w:val="40"/>
        </w:rPr>
      </w:pPr>
      <w:r w:rsidRPr="00AE174C">
        <w:rPr>
          <w:rFonts w:asciiTheme="majorHAnsi" w:eastAsiaTheme="majorEastAsia" w:hAnsiTheme="majorHAnsi" w:cstheme="majorBidi"/>
          <w:color w:val="0F4761" w:themeColor="accent1" w:themeShade="BF"/>
          <w:sz w:val="40"/>
          <w:szCs w:val="40"/>
        </w:rPr>
        <w:t>Iain Ramsay’s contribution</w:t>
      </w:r>
    </w:p>
    <w:p w14:paraId="1A5EAD8C" w14:textId="77777777" w:rsidR="005B0D43" w:rsidRPr="00AE174C" w:rsidRDefault="005B0D43" w:rsidP="005B0D43">
      <w:pPr>
        <w:spacing w:after="0" w:line="240" w:lineRule="auto"/>
        <w:rPr>
          <w:rFonts w:asciiTheme="minorHAnsi" w:eastAsiaTheme="minorEastAsia" w:hAnsiTheme="minorHAnsi" w:cstheme="minorBidi"/>
        </w:rPr>
      </w:pPr>
    </w:p>
    <w:tbl>
      <w:tblPr>
        <w:tblStyle w:val="TableGrid"/>
        <w:tblW w:w="0" w:type="auto"/>
        <w:tblLook w:val="04A0" w:firstRow="1" w:lastRow="0" w:firstColumn="1" w:lastColumn="0" w:noHBand="0" w:noVBand="1"/>
      </w:tblPr>
      <w:tblGrid>
        <w:gridCol w:w="2682"/>
        <w:gridCol w:w="3455"/>
        <w:gridCol w:w="7793"/>
      </w:tblGrid>
      <w:tr w:rsidR="005B0D43" w:rsidRPr="00AE174C" w14:paraId="58096F14" w14:textId="77777777" w:rsidTr="00BD6512">
        <w:tc>
          <w:tcPr>
            <w:tcW w:w="2682" w:type="dxa"/>
          </w:tcPr>
          <w:p w14:paraId="3D349366" w14:textId="77777777" w:rsidR="005B0D43" w:rsidRPr="00AE174C" w:rsidRDefault="005B0D43" w:rsidP="005B0D43">
            <w:pPr>
              <w:keepNext/>
              <w:keepLines/>
              <w:spacing w:before="160" w:after="80"/>
              <w:outlineLvl w:val="1"/>
              <w:rPr>
                <w:rFonts w:asciiTheme="majorHAnsi" w:eastAsiaTheme="majorEastAsia" w:hAnsiTheme="majorHAnsi" w:cstheme="majorBidi"/>
                <w:color w:val="0F4761" w:themeColor="accent1" w:themeShade="BF"/>
                <w:sz w:val="32"/>
                <w:szCs w:val="32"/>
              </w:rPr>
            </w:pPr>
            <w:r w:rsidRPr="00AE174C">
              <w:rPr>
                <w:rFonts w:asciiTheme="majorHAnsi" w:eastAsiaTheme="majorEastAsia" w:hAnsiTheme="majorHAnsi" w:cstheme="majorBidi"/>
                <w:color w:val="0F4761" w:themeColor="accent1" w:themeShade="BF"/>
                <w:sz w:val="32"/>
                <w:szCs w:val="32"/>
              </w:rPr>
              <w:lastRenderedPageBreak/>
              <w:t>Name</w:t>
            </w:r>
          </w:p>
        </w:tc>
        <w:tc>
          <w:tcPr>
            <w:tcW w:w="3455" w:type="dxa"/>
          </w:tcPr>
          <w:p w14:paraId="25079699" w14:textId="77777777" w:rsidR="005B0D43" w:rsidRPr="00AE174C" w:rsidRDefault="005B0D43" w:rsidP="005B0D43">
            <w:pPr>
              <w:keepNext/>
              <w:keepLines/>
              <w:spacing w:before="160" w:after="80"/>
              <w:outlineLvl w:val="1"/>
              <w:rPr>
                <w:rFonts w:asciiTheme="majorHAnsi" w:eastAsiaTheme="majorEastAsia" w:hAnsiTheme="majorHAnsi" w:cstheme="majorBidi"/>
                <w:color w:val="0F4761" w:themeColor="accent1" w:themeShade="BF"/>
                <w:sz w:val="32"/>
                <w:szCs w:val="32"/>
              </w:rPr>
            </w:pPr>
            <w:r w:rsidRPr="00AE174C">
              <w:rPr>
                <w:rFonts w:asciiTheme="majorHAnsi" w:eastAsiaTheme="majorEastAsia" w:hAnsiTheme="majorHAnsi" w:cstheme="majorBidi"/>
                <w:color w:val="0F4761" w:themeColor="accent1" w:themeShade="BF"/>
                <w:sz w:val="32"/>
                <w:szCs w:val="32"/>
              </w:rPr>
              <w:t>email</w:t>
            </w:r>
          </w:p>
        </w:tc>
        <w:tc>
          <w:tcPr>
            <w:tcW w:w="7793" w:type="dxa"/>
          </w:tcPr>
          <w:p w14:paraId="2F2921FB" w14:textId="77777777" w:rsidR="005B0D43" w:rsidRPr="00AE174C" w:rsidRDefault="005B0D43" w:rsidP="005B0D43">
            <w:pPr>
              <w:keepNext/>
              <w:keepLines/>
              <w:spacing w:before="160" w:after="80"/>
              <w:outlineLvl w:val="1"/>
              <w:rPr>
                <w:rFonts w:asciiTheme="majorHAnsi" w:eastAsiaTheme="majorEastAsia" w:hAnsiTheme="majorHAnsi" w:cstheme="majorBidi"/>
                <w:color w:val="0F4761" w:themeColor="accent1" w:themeShade="BF"/>
                <w:sz w:val="32"/>
                <w:szCs w:val="32"/>
              </w:rPr>
            </w:pPr>
            <w:r w:rsidRPr="00AE174C">
              <w:rPr>
                <w:rFonts w:asciiTheme="majorHAnsi" w:eastAsiaTheme="majorEastAsia" w:hAnsiTheme="majorHAnsi" w:cstheme="majorBidi"/>
                <w:color w:val="0F4761" w:themeColor="accent1" w:themeShade="BF"/>
                <w:sz w:val="32"/>
                <w:szCs w:val="32"/>
              </w:rPr>
              <w:t>Abstract</w:t>
            </w:r>
          </w:p>
        </w:tc>
      </w:tr>
      <w:tr w:rsidR="005B0D43" w:rsidRPr="00AE174C" w14:paraId="0B3A3B75" w14:textId="77777777" w:rsidTr="00BD6512">
        <w:tc>
          <w:tcPr>
            <w:tcW w:w="2682" w:type="dxa"/>
          </w:tcPr>
          <w:p w14:paraId="7CF72462" w14:textId="77777777" w:rsidR="005B0D43" w:rsidRPr="00AE174C" w:rsidRDefault="005B0D43" w:rsidP="005B0D43">
            <w:pPr>
              <w:keepNext/>
              <w:keepLines/>
              <w:spacing w:before="160" w:after="80"/>
              <w:outlineLvl w:val="1"/>
              <w:rPr>
                <w:rFonts w:asciiTheme="majorHAnsi" w:eastAsiaTheme="majorEastAsia" w:hAnsiTheme="majorHAnsi" w:cstheme="majorBidi"/>
                <w:color w:val="0F4761" w:themeColor="accent1" w:themeShade="BF"/>
                <w:sz w:val="32"/>
                <w:szCs w:val="32"/>
              </w:rPr>
            </w:pPr>
            <w:r w:rsidRPr="00AE174C">
              <w:rPr>
                <w:rFonts w:asciiTheme="majorHAnsi" w:eastAsiaTheme="majorEastAsia" w:hAnsiTheme="majorHAnsi" w:cstheme="majorBidi"/>
                <w:color w:val="0F4761" w:themeColor="accent1" w:themeShade="BF"/>
                <w:sz w:val="32"/>
                <w:szCs w:val="32"/>
              </w:rPr>
              <w:t>Laís Bergstein</w:t>
            </w:r>
          </w:p>
        </w:tc>
        <w:tc>
          <w:tcPr>
            <w:tcW w:w="3455" w:type="dxa"/>
          </w:tcPr>
          <w:p w14:paraId="303BC6CD" w14:textId="77777777" w:rsidR="005B0D43" w:rsidRPr="00AE174C" w:rsidRDefault="005B0D43" w:rsidP="005B0D43">
            <w:pPr>
              <w:rPr>
                <w:rFonts w:ascii="Calibri" w:eastAsiaTheme="minorEastAsia" w:hAnsi="Calibri" w:cs="Calibri"/>
                <w:color w:val="212121"/>
                <w:sz w:val="22"/>
                <w:szCs w:val="22"/>
              </w:rPr>
            </w:pPr>
            <w:r w:rsidRPr="00AE174C">
              <w:rPr>
                <w:rFonts w:ascii="Calibri" w:eastAsiaTheme="minorEastAsia" w:hAnsi="Calibri" w:cs="Calibri"/>
                <w:color w:val="212121"/>
                <w:sz w:val="22"/>
                <w:szCs w:val="22"/>
              </w:rPr>
              <w:t>lais@dotti.adv.br</w:t>
            </w:r>
          </w:p>
        </w:tc>
        <w:tc>
          <w:tcPr>
            <w:tcW w:w="7793" w:type="dxa"/>
          </w:tcPr>
          <w:p w14:paraId="0046826A" w14:textId="77777777" w:rsidR="005B0D43" w:rsidRPr="00AE174C" w:rsidRDefault="005B0D43" w:rsidP="005B0D43">
            <w:pPr>
              <w:keepNext/>
              <w:keepLines/>
              <w:spacing w:before="160" w:after="80"/>
              <w:outlineLvl w:val="1"/>
              <w:rPr>
                <w:rFonts w:asciiTheme="majorHAnsi" w:eastAsiaTheme="majorEastAsia" w:hAnsiTheme="majorHAnsi" w:cstheme="majorBidi"/>
                <w:color w:val="0F4761" w:themeColor="accent1" w:themeShade="BF"/>
                <w:sz w:val="32"/>
                <w:szCs w:val="32"/>
              </w:rPr>
            </w:pPr>
            <w:r w:rsidRPr="00AE174C">
              <w:rPr>
                <w:rFonts w:asciiTheme="majorHAnsi" w:eastAsiaTheme="majorEastAsia" w:hAnsiTheme="majorHAnsi" w:cstheme="majorBidi"/>
                <w:b/>
                <w:bCs/>
                <w:color w:val="0F4761" w:themeColor="accent1" w:themeShade="BF"/>
                <w:sz w:val="32"/>
                <w:szCs w:val="32"/>
              </w:rPr>
              <w:t>The Influence of Iain Ramsay's Research on the Brazilian Discipline of Consumer Credit and the Treatment of Over-Indebtedness</w:t>
            </w:r>
          </w:p>
          <w:p w14:paraId="2C05CB1D" w14:textId="77777777" w:rsidR="005B0D43" w:rsidRPr="00AE174C" w:rsidRDefault="005B0D43" w:rsidP="005B0D43">
            <w:pPr>
              <w:jc w:val="both"/>
              <w:rPr>
                <w:rFonts w:eastAsiaTheme="minorEastAsia" w:cs="Helvetica Neue"/>
                <w:color w:val="000000"/>
                <w:sz w:val="21"/>
                <w:szCs w:val="21"/>
              </w:rPr>
            </w:pPr>
            <w:r w:rsidRPr="00AE174C">
              <w:rPr>
                <w:rFonts w:eastAsiaTheme="minorEastAsia"/>
                <w:bCs/>
              </w:rPr>
              <w:t>It is well-known that Professor Ramsay’s career focused on advancing consumer empowerment led to innovative and truly relevant publications, influencing consumer policy in Europe since the foundational years of European law. For instance, it is well known that in</w:t>
            </w:r>
            <w:r w:rsidRPr="00AE174C">
              <w:rPr>
                <w:rFonts w:eastAsiaTheme="minorEastAsia" w:cs="Helvetica Neue"/>
                <w:color w:val="000000"/>
                <w:sz w:val="21"/>
                <w:szCs w:val="21"/>
              </w:rPr>
              <w:t xml:space="preserve"> 1984 Iain Ramsay published a discussion paper for the UK Office of Fair Trading where he insisted on the social policy rationales for consumer protection.</w:t>
            </w:r>
          </w:p>
          <w:p w14:paraId="754DF0A0" w14:textId="77777777" w:rsidR="005B0D43" w:rsidRPr="00AE174C" w:rsidRDefault="005B0D43" w:rsidP="005B0D43">
            <w:pPr>
              <w:jc w:val="both"/>
              <w:rPr>
                <w:rFonts w:eastAsiaTheme="minorEastAsia"/>
              </w:rPr>
            </w:pPr>
            <w:r w:rsidRPr="00AE174C">
              <w:rPr>
                <w:rFonts w:eastAsiaTheme="minorEastAsia"/>
                <w:bCs/>
              </w:rPr>
              <w:t xml:space="preserve">It is yet to be indicated in how many ways his research and efforts also contributed to the improvement of Brazilian consumer defense, protection, and policy. As a matter of fact, in </w:t>
            </w:r>
            <w:r w:rsidRPr="00AE174C">
              <w:rPr>
                <w:rFonts w:eastAsiaTheme="minorEastAsia"/>
              </w:rPr>
              <w:t xml:space="preserve">April 2024, only in one of the many Brazilians editors we found 19 articles quoting several aspects of prof. Ramsay´s research. The well stablished </w:t>
            </w:r>
            <w:r w:rsidRPr="00AE174C">
              <w:rPr>
                <w:rFonts w:eastAsiaTheme="minorEastAsia"/>
                <w:i/>
                <w:iCs/>
              </w:rPr>
              <w:t>Revista dos Tribunais</w:t>
            </w:r>
            <w:r w:rsidRPr="00AE174C">
              <w:rPr>
                <w:rFonts w:eastAsiaTheme="minorEastAsia"/>
              </w:rPr>
              <w:t xml:space="preserve"> – Thompson Reuters gathers articles in Portuguese and Spanish, submitted by a total of 24 authors in five different journals specialized on consumer law, theory of law, business law, obligations, and contractual law.</w:t>
            </w:r>
          </w:p>
          <w:p w14:paraId="4A15113A" w14:textId="05FE06F0" w:rsidR="005B0D43" w:rsidRPr="00AE174C" w:rsidRDefault="005B0D43" w:rsidP="005B0D43">
            <w:pPr>
              <w:jc w:val="both"/>
              <w:rPr>
                <w:rFonts w:eastAsiaTheme="minorEastAsia"/>
              </w:rPr>
            </w:pPr>
            <w:r w:rsidRPr="00AE174C">
              <w:rPr>
                <w:rFonts w:eastAsiaTheme="minorEastAsia"/>
              </w:rPr>
              <w:t xml:space="preserve">The now proposed research aims to gather depositions of as many contemporary Brazilian researchers that quoted prof. Ramsay’s work to better understand the extent of the influence of his research in the draft and approval of Law nº 14,181, of July 1, 2021, which amends Law 8,078 of September 11, 1990 (Consumer Defense Code - CDC) and law no. 10,741 of </w:t>
            </w:r>
            <w:r w:rsidR="00AE174C" w:rsidRPr="00AE174C">
              <w:rPr>
                <w:rFonts w:eastAsiaTheme="minorEastAsia"/>
              </w:rPr>
              <w:t>O</w:t>
            </w:r>
            <w:r w:rsidRPr="00AE174C">
              <w:rPr>
                <w:rFonts w:eastAsiaTheme="minorEastAsia"/>
              </w:rPr>
              <w:t xml:space="preserve">ctober 1, 2003 (statute of the elderly) to improve the discipline of consumer credit and provide for the prevention and treatment of over-indebtedness. </w:t>
            </w:r>
          </w:p>
          <w:p w14:paraId="2542B583" w14:textId="77777777" w:rsidR="005B0D43" w:rsidRPr="00AE174C" w:rsidRDefault="005B0D43" w:rsidP="005B0D43">
            <w:pPr>
              <w:rPr>
                <w:rFonts w:eastAsiaTheme="minorEastAsia"/>
              </w:rPr>
            </w:pPr>
          </w:p>
        </w:tc>
      </w:tr>
      <w:tr w:rsidR="005B0D43" w:rsidRPr="00AE174C" w14:paraId="4B37D03E" w14:textId="77777777" w:rsidTr="00BD6512">
        <w:tc>
          <w:tcPr>
            <w:tcW w:w="2682" w:type="dxa"/>
          </w:tcPr>
          <w:p w14:paraId="5407BB50" w14:textId="77777777" w:rsidR="005B0D43" w:rsidRPr="00AE174C" w:rsidRDefault="005B0D43" w:rsidP="005B0D43">
            <w:pPr>
              <w:keepNext/>
              <w:keepLines/>
              <w:spacing w:before="160" w:after="80"/>
              <w:outlineLvl w:val="1"/>
              <w:rPr>
                <w:rFonts w:ascii="Arial" w:eastAsiaTheme="majorEastAsia" w:hAnsi="Arial" w:cs="Arial"/>
                <w:color w:val="000000"/>
                <w:sz w:val="32"/>
                <w:szCs w:val="20"/>
              </w:rPr>
            </w:pPr>
            <w:r w:rsidRPr="00AE174C">
              <w:rPr>
                <w:rFonts w:ascii="Arial" w:eastAsiaTheme="majorEastAsia" w:hAnsi="Arial" w:cs="Arial"/>
                <w:b/>
                <w:bCs/>
                <w:color w:val="000000"/>
                <w:sz w:val="32"/>
                <w:szCs w:val="20"/>
              </w:rPr>
              <w:lastRenderedPageBreak/>
              <w:br/>
              <w:t>Rahaf Al Shneikat   </w:t>
            </w:r>
          </w:p>
          <w:p w14:paraId="47A9D4AA" w14:textId="77777777" w:rsidR="005B0D43" w:rsidRPr="00AE174C" w:rsidRDefault="005B0D43" w:rsidP="005B0D43">
            <w:pPr>
              <w:keepNext/>
              <w:keepLines/>
              <w:spacing w:before="160" w:after="80"/>
              <w:outlineLvl w:val="1"/>
              <w:rPr>
                <w:rFonts w:ascii="Arial" w:eastAsiaTheme="majorEastAsia" w:hAnsi="Arial" w:cs="Arial"/>
                <w:color w:val="000000"/>
                <w:sz w:val="20"/>
                <w:szCs w:val="20"/>
              </w:rPr>
            </w:pPr>
            <w:r w:rsidRPr="00AE174C">
              <w:rPr>
                <w:rFonts w:ascii="Arial" w:eastAsiaTheme="majorEastAsia" w:hAnsi="Arial" w:cs="Arial"/>
                <w:color w:val="000000"/>
                <w:sz w:val="20"/>
                <w:szCs w:val="20"/>
              </w:rPr>
              <w:t>School of Law | The University of Manchester  </w:t>
            </w:r>
          </w:p>
          <w:p w14:paraId="5950471D" w14:textId="77777777" w:rsidR="005B0D43" w:rsidRPr="00AE174C" w:rsidRDefault="005B0D43" w:rsidP="005B0D43">
            <w:pPr>
              <w:keepNext/>
              <w:keepLines/>
              <w:spacing w:before="160" w:after="80"/>
              <w:outlineLvl w:val="1"/>
              <w:rPr>
                <w:rFonts w:ascii="Arial" w:eastAsiaTheme="majorEastAsia" w:hAnsi="Arial" w:cs="Arial"/>
                <w:color w:val="000000"/>
                <w:sz w:val="20"/>
                <w:szCs w:val="20"/>
              </w:rPr>
            </w:pPr>
          </w:p>
        </w:tc>
        <w:tc>
          <w:tcPr>
            <w:tcW w:w="3455" w:type="dxa"/>
          </w:tcPr>
          <w:p w14:paraId="77C4F6B4" w14:textId="77777777" w:rsidR="005B0D43" w:rsidRPr="00AE174C" w:rsidRDefault="00000000" w:rsidP="005B0D43">
            <w:pPr>
              <w:keepNext/>
              <w:keepLines/>
              <w:spacing w:before="160" w:after="80"/>
              <w:outlineLvl w:val="1"/>
              <w:rPr>
                <w:rFonts w:ascii="Arial" w:eastAsiaTheme="majorEastAsia" w:hAnsi="Arial" w:cs="Arial"/>
                <w:color w:val="000000"/>
                <w:sz w:val="20"/>
                <w:szCs w:val="20"/>
              </w:rPr>
            </w:pPr>
            <w:hyperlink r:id="rId6" w:tooltip="mailto:rahaf.alshneikat@manchester.ac.uk" w:history="1">
              <w:r w:rsidR="005B0D43" w:rsidRPr="00AE174C">
                <w:rPr>
                  <w:rFonts w:ascii="Arial" w:eastAsiaTheme="majorEastAsia" w:hAnsi="Arial" w:cs="Arial"/>
                  <w:color w:val="0000FF"/>
                  <w:sz w:val="20"/>
                  <w:szCs w:val="20"/>
                  <w:u w:val="single"/>
                </w:rPr>
                <w:t>rahaf.alshneikat@manchester.ac.uk</w:t>
              </w:r>
            </w:hyperlink>
            <w:r w:rsidR="005B0D43" w:rsidRPr="00AE174C">
              <w:rPr>
                <w:rFonts w:ascii="Arial" w:eastAsiaTheme="majorEastAsia" w:hAnsi="Arial" w:cs="Arial"/>
                <w:i/>
                <w:iCs/>
                <w:color w:val="000000"/>
                <w:sz w:val="20"/>
                <w:szCs w:val="20"/>
              </w:rPr>
              <w:t> </w:t>
            </w:r>
          </w:p>
          <w:p w14:paraId="5A39490E" w14:textId="77777777" w:rsidR="005B0D43" w:rsidRPr="00AE174C" w:rsidRDefault="005B0D43" w:rsidP="005B0D43">
            <w:pPr>
              <w:rPr>
                <w:rFonts w:ascii="Calibri" w:eastAsiaTheme="minorEastAsia" w:hAnsi="Calibri" w:cs="Calibri"/>
                <w:color w:val="212121"/>
                <w:szCs w:val="20"/>
              </w:rPr>
            </w:pPr>
          </w:p>
        </w:tc>
        <w:tc>
          <w:tcPr>
            <w:tcW w:w="7793" w:type="dxa"/>
          </w:tcPr>
          <w:p w14:paraId="62B48D0E" w14:textId="77777777" w:rsidR="005B0D43" w:rsidRPr="00AE174C" w:rsidRDefault="005B0D43" w:rsidP="005B0D43">
            <w:pPr>
              <w:keepNext/>
              <w:keepLines/>
              <w:spacing w:before="160" w:after="80"/>
              <w:outlineLvl w:val="1"/>
              <w:rPr>
                <w:rFonts w:asciiTheme="majorHAnsi" w:eastAsiaTheme="majorEastAsia" w:hAnsiTheme="majorHAnsi" w:cstheme="majorBidi"/>
                <w:color w:val="0F4761" w:themeColor="accent1" w:themeShade="BF"/>
                <w:sz w:val="32"/>
                <w:szCs w:val="32"/>
              </w:rPr>
            </w:pPr>
            <w:r w:rsidRPr="00AE174C">
              <w:rPr>
                <w:rFonts w:asciiTheme="majorHAnsi" w:eastAsiaTheme="majorEastAsia" w:hAnsiTheme="majorHAnsi" w:cstheme="majorBidi"/>
                <w:color w:val="0F4761" w:themeColor="accent1" w:themeShade="BF"/>
                <w:sz w:val="32"/>
                <w:szCs w:val="32"/>
              </w:rPr>
              <w:t>Redefining the Functions of Consumer Insolvency Law: A Theoretical Basis for a Balanced System</w:t>
            </w:r>
          </w:p>
          <w:p w14:paraId="43942C4D" w14:textId="77777777" w:rsidR="005B0D43" w:rsidRPr="00AE174C" w:rsidRDefault="005B0D43" w:rsidP="005B0D43">
            <w:pPr>
              <w:rPr>
                <w:rFonts w:eastAsiaTheme="minorEastAsia"/>
              </w:rPr>
            </w:pPr>
            <w:r w:rsidRPr="00AE174C">
              <w:rPr>
                <w:rFonts w:eastAsiaTheme="minorEastAsia"/>
              </w:rPr>
              <w:t>This paper will pick on the work of Prof. Iain Ramsay on identifying models of consumer bankruptcy focusing on the model of social welfare. Consumer insolvency law is currently recognised as a social insurance system determined by notions of economic efficiency and market allocation. According to applications of law and economics, the ‘fresh start’ is an exercise transferring risk from debtors to creditors. Yet, the ‘fresh start’ has become secondary to neoclassical notions of rehabilitation and repayment whereby a policy of ‘can pay, should pay’ is the preferable measure of debt relief. However, the rise of financialised capitalism redefined the role of debt in economic systems, resulting in what is described as a ‘debt-led economy’. Therefore, the argument advanced in this paper will call for a theoretical underpinning of consumer insolvency law which recalibrates the law’s purpose of debt relief as a means of redistribution rather than a mechanism of efficient market allocation.</w:t>
            </w:r>
          </w:p>
          <w:p w14:paraId="57CC1468" w14:textId="4F291155" w:rsidR="005B0D43" w:rsidRPr="00AE174C" w:rsidRDefault="005B0D43" w:rsidP="005B0D43">
            <w:pPr>
              <w:rPr>
                <w:rFonts w:eastAsiaTheme="minorEastAsia"/>
              </w:rPr>
            </w:pPr>
            <w:r w:rsidRPr="00AE174C">
              <w:rPr>
                <w:rFonts w:eastAsiaTheme="minorEastAsia"/>
              </w:rPr>
              <w:t>This paper will challenge the theoretical assumptions of law and economics by</w:t>
            </w:r>
            <w:r w:rsidR="00B5278B">
              <w:rPr>
                <w:rFonts w:eastAsiaTheme="minorEastAsia"/>
              </w:rPr>
              <w:t xml:space="preserve"> </w:t>
            </w:r>
            <w:r w:rsidRPr="00AE174C">
              <w:rPr>
                <w:rFonts w:eastAsiaTheme="minorEastAsia"/>
              </w:rPr>
              <w:t xml:space="preserve">demonstrating the failure of welfare economics in establishing a framework of efficient market allocation. The efficient allocation of market resources favours sources of wealth over income. Nevertheless, for ordinary consumers income remains their main source of wealth. Financialised capitalism has widened the gap in income and wealth inequality forcing households to rely on debt. For those individuals, debt is no longer a welfare-enhancing tool, but rather a means of living. Therefore, the possibility of discharge and debt forgiveness takes on a higher social value. As such, this paper will develop a Rawlsian approach to consumer insolvency law as a social insurance. A Rawlsian understanding of distributive justice allows a </w:t>
            </w:r>
            <w:r w:rsidRPr="00AE174C">
              <w:rPr>
                <w:rFonts w:eastAsiaTheme="minorEastAsia"/>
              </w:rPr>
              <w:lastRenderedPageBreak/>
              <w:t>reconfiguration of the function of debt forgiveness. At the same time, this paper looks to balance a ‘can pay, should pay’ approach and access to discharge by implementing the difference principle. In a climate of systemic inequalities and increased cost of living whereby debt is a substitute for income, a just approach to the ‘fresh start’ has never been as important as it is now.</w:t>
            </w:r>
          </w:p>
        </w:tc>
      </w:tr>
      <w:tr w:rsidR="005B0D43" w:rsidRPr="00AE174C" w14:paraId="657FD976" w14:textId="77777777" w:rsidTr="00BD6512">
        <w:tc>
          <w:tcPr>
            <w:tcW w:w="2682" w:type="dxa"/>
          </w:tcPr>
          <w:p w14:paraId="373CBB08" w14:textId="77777777" w:rsidR="005B0D43" w:rsidRPr="00AE174C" w:rsidRDefault="005B0D43" w:rsidP="005B0D43">
            <w:pPr>
              <w:keepNext/>
              <w:keepLines/>
              <w:spacing w:before="160" w:after="80"/>
              <w:outlineLvl w:val="1"/>
              <w:rPr>
                <w:rFonts w:ascii="Arial" w:eastAsiaTheme="majorEastAsia" w:hAnsi="Arial" w:cs="Arial"/>
                <w:color w:val="000000"/>
                <w:sz w:val="20"/>
                <w:szCs w:val="20"/>
              </w:rPr>
            </w:pPr>
            <w:r w:rsidRPr="00AE174C">
              <w:rPr>
                <w:rFonts w:ascii="Arial" w:eastAsiaTheme="majorEastAsia" w:hAnsi="Arial" w:cs="Arial"/>
                <w:color w:val="000000"/>
                <w:sz w:val="20"/>
                <w:szCs w:val="20"/>
              </w:rPr>
              <w:lastRenderedPageBreak/>
              <w:t>Omede, Philemon Iko-Ojo</w:t>
            </w:r>
          </w:p>
        </w:tc>
        <w:tc>
          <w:tcPr>
            <w:tcW w:w="3455" w:type="dxa"/>
          </w:tcPr>
          <w:p w14:paraId="2FDFF9F3" w14:textId="77777777" w:rsidR="005B0D43" w:rsidRPr="00AE174C" w:rsidRDefault="005B0D43" w:rsidP="005B0D43">
            <w:pPr>
              <w:rPr>
                <w:rFonts w:ascii="Calibri" w:eastAsiaTheme="minorEastAsia" w:hAnsi="Calibri" w:cs="Calibri"/>
                <w:color w:val="212121"/>
                <w:sz w:val="22"/>
                <w:szCs w:val="22"/>
              </w:rPr>
            </w:pPr>
            <w:r w:rsidRPr="00AE174C">
              <w:rPr>
                <w:rFonts w:ascii="Calibri" w:eastAsiaTheme="minorEastAsia" w:hAnsi="Calibri" w:cs="Calibri"/>
                <w:color w:val="212121"/>
                <w:sz w:val="22"/>
                <w:szCs w:val="22"/>
              </w:rPr>
              <w:t>P.I.Omede@lse.ac.uk</w:t>
            </w:r>
          </w:p>
        </w:tc>
        <w:tc>
          <w:tcPr>
            <w:tcW w:w="7793" w:type="dxa"/>
          </w:tcPr>
          <w:p w14:paraId="3E84A32A" w14:textId="77777777" w:rsidR="005B0D43" w:rsidRPr="00AE174C" w:rsidRDefault="005B0D43" w:rsidP="005B0D43">
            <w:pPr>
              <w:rPr>
                <w:rFonts w:eastAsiaTheme="minorEastAsia"/>
                <w:b/>
                <w:bCs/>
              </w:rPr>
            </w:pPr>
            <w:r w:rsidRPr="00AE174C">
              <w:rPr>
                <w:rFonts w:eastAsiaTheme="minorEastAsia"/>
                <w:b/>
                <w:bCs/>
              </w:rPr>
              <w:t>Ramsay Reimagined: Cross-Cultural Impacts of Consumer Credit Laws in the UK and Nigeria.</w:t>
            </w:r>
          </w:p>
          <w:p w14:paraId="01744B78" w14:textId="77777777" w:rsidR="005B0D43" w:rsidRPr="00AE174C" w:rsidRDefault="005B0D43" w:rsidP="005B0D43">
            <w:pPr>
              <w:rPr>
                <w:rFonts w:eastAsiaTheme="minorEastAsia"/>
              </w:rPr>
            </w:pPr>
            <w:r w:rsidRPr="00AE174C">
              <w:rPr>
                <w:rFonts w:eastAsiaTheme="minorEastAsia"/>
              </w:rPr>
              <w:t xml:space="preserve">This research presents a comparative analysis of the consumer credit systems in the UK and Nigeria, focusing on the propensity to borrow, the robustness and dynamism of regulatory frameworks, and the integration of fintech innovations. Employing a cross-cultural legal approach, this study examines how common law traditions have influenced the development of consumer credit laws and borrowing behaviours within these Commonwealth countries. The UK and Nigeria, while both rooted in common law, exhibit distinct approaches to consumer credit regulation. The UK's consumer credit environment is characterised by a mature, highly regulated market, influenced by European Union directives and local financial crises. Regulations such as the Consumer Credit Act and subsequent amendments demonstrate a robust framework focused on consumer protection, market stability, and accommodating fintech advancements. Conversely, Nigeria's consumer credit system, though less mature, is rapidly evolving with recent developments spurred by economic diversification efforts and an increasing focus on financial inclusion through fintech platforms. This study explores how these differing stages of economic development and fintech adoption influence national risk appetites and regulatory structures. Methodologically, the research employs qualitative analysis of regulatory texts, case law, and policy documents, complemented by quantitative data on borrowing trends and financial behaviours in both countries. Interviews with key stakeholders, including financial regulators and consumer advocacy groups, provide further insights into the effectiveness and adaptability of credit regulations to fintech innovations. The findings indicate that the UK’s consumer credit regulations are highly adaptive, with mechanisms in place to quickly respond to economic fluctuations and new fintech products. Nigeria's regulations offer flexible frameworks that could </w:t>
            </w:r>
            <w:r w:rsidRPr="00AE174C">
              <w:rPr>
                <w:rFonts w:eastAsiaTheme="minorEastAsia"/>
              </w:rPr>
              <w:lastRenderedPageBreak/>
              <w:t>potentially integrate innovative financial services more seamlessly. This flexibility is crucial for Nigeria’s ongoing efforts to enhance financial inclusion and adapt to digital financial services. The study contributes to global financial regulation discourse by highlighting how differing legal backgrounds, economic contexts, and cultural factors shape consumer credit systems, offering valuable lessons on the balance between regulatory robustness and flexibility, providing implications for policymakers in both developed and developing economies aiming to optimise consumer protection while fostering financial market stability and growth through fintech.</w:t>
            </w:r>
          </w:p>
        </w:tc>
      </w:tr>
      <w:tr w:rsidR="005B0D43" w:rsidRPr="00AE174C" w14:paraId="5943C53F" w14:textId="77777777" w:rsidTr="00BD6512">
        <w:tc>
          <w:tcPr>
            <w:tcW w:w="2682" w:type="dxa"/>
          </w:tcPr>
          <w:p w14:paraId="74C67DC6" w14:textId="77777777" w:rsidR="005B0D43" w:rsidRPr="00AE174C" w:rsidRDefault="005B0D43" w:rsidP="005B0D43">
            <w:pPr>
              <w:keepNext/>
              <w:keepLines/>
              <w:spacing w:before="160" w:after="80"/>
              <w:outlineLvl w:val="1"/>
              <w:rPr>
                <w:rFonts w:ascii="Arial" w:eastAsiaTheme="majorEastAsia" w:hAnsi="Arial" w:cs="Arial"/>
                <w:color w:val="000000"/>
                <w:sz w:val="20"/>
                <w:szCs w:val="20"/>
              </w:rPr>
            </w:pPr>
            <w:r w:rsidRPr="00AE174C">
              <w:rPr>
                <w:rFonts w:ascii="Arial" w:eastAsiaTheme="majorEastAsia" w:hAnsi="Arial" w:cs="Arial"/>
                <w:color w:val="000000"/>
                <w:sz w:val="20"/>
                <w:szCs w:val="20"/>
              </w:rPr>
              <w:lastRenderedPageBreak/>
              <w:t>Ben-Ishai, Stephanie</w:t>
            </w:r>
          </w:p>
          <w:p w14:paraId="7DD40E89" w14:textId="77777777" w:rsidR="005B0D43" w:rsidRPr="00AE174C" w:rsidRDefault="005B0D43" w:rsidP="005B0D43">
            <w:pPr>
              <w:rPr>
                <w:rFonts w:eastAsiaTheme="minorEastAsia"/>
              </w:rPr>
            </w:pPr>
            <w:r w:rsidRPr="00AE174C">
              <w:rPr>
                <w:rFonts w:eastAsiaTheme="minorEastAsia"/>
              </w:rPr>
              <w:t>Schwartz, Saul</w:t>
            </w:r>
          </w:p>
        </w:tc>
        <w:tc>
          <w:tcPr>
            <w:tcW w:w="3455" w:type="dxa"/>
          </w:tcPr>
          <w:p w14:paraId="4B3E967B" w14:textId="77777777" w:rsidR="005B0D43" w:rsidRPr="00AE174C" w:rsidRDefault="00000000" w:rsidP="005B0D43">
            <w:pPr>
              <w:rPr>
                <w:rFonts w:ascii="Calibri" w:eastAsiaTheme="minorEastAsia" w:hAnsi="Calibri" w:cs="Calibri"/>
                <w:color w:val="212121"/>
                <w:sz w:val="22"/>
                <w:szCs w:val="22"/>
              </w:rPr>
            </w:pPr>
            <w:hyperlink r:id="rId7" w:history="1">
              <w:r w:rsidR="005B0D43" w:rsidRPr="00AE174C">
                <w:rPr>
                  <w:rFonts w:ascii="Calibri" w:eastAsiaTheme="minorEastAsia" w:hAnsi="Calibri" w:cs="Calibri"/>
                  <w:color w:val="0000FF"/>
                  <w:sz w:val="22"/>
                  <w:szCs w:val="22"/>
                  <w:u w:val="single"/>
                </w:rPr>
                <w:t>sbenishai@osgoode.yorku.ca</w:t>
              </w:r>
            </w:hyperlink>
          </w:p>
          <w:p w14:paraId="3B1FB823" w14:textId="77777777" w:rsidR="005B0D43" w:rsidRPr="00AE174C" w:rsidRDefault="00000000" w:rsidP="005B0D43">
            <w:pPr>
              <w:rPr>
                <w:rFonts w:ascii="Calibri" w:eastAsiaTheme="minorEastAsia" w:hAnsi="Calibri" w:cs="Calibri"/>
                <w:color w:val="212121"/>
                <w:sz w:val="22"/>
                <w:szCs w:val="22"/>
              </w:rPr>
            </w:pPr>
            <w:hyperlink r:id="rId8" w:history="1">
              <w:r w:rsidR="005B0D43" w:rsidRPr="00AE174C">
                <w:rPr>
                  <w:rFonts w:ascii="Calibri" w:eastAsiaTheme="minorEastAsia" w:hAnsi="Calibri" w:cs="Calibri"/>
                  <w:color w:val="0000FF"/>
                  <w:sz w:val="22"/>
                  <w:szCs w:val="22"/>
                  <w:u w:val="single"/>
                </w:rPr>
                <w:t>saul_schwartz@carleton.ca</w:t>
              </w:r>
            </w:hyperlink>
          </w:p>
          <w:p w14:paraId="4AE7ED2F" w14:textId="77777777" w:rsidR="005B0D43" w:rsidRPr="00AE174C" w:rsidRDefault="005B0D43" w:rsidP="005B0D43">
            <w:pPr>
              <w:rPr>
                <w:rFonts w:ascii="Calibri" w:eastAsiaTheme="minorEastAsia" w:hAnsi="Calibri" w:cs="Calibri"/>
                <w:color w:val="212121"/>
                <w:sz w:val="22"/>
                <w:szCs w:val="22"/>
              </w:rPr>
            </w:pPr>
          </w:p>
        </w:tc>
        <w:tc>
          <w:tcPr>
            <w:tcW w:w="7793" w:type="dxa"/>
          </w:tcPr>
          <w:p w14:paraId="3E82EF14" w14:textId="77777777" w:rsidR="005B0D43" w:rsidRPr="00AE174C" w:rsidRDefault="005B0D43" w:rsidP="005B0D43">
            <w:pPr>
              <w:keepNext/>
              <w:keepLines/>
              <w:spacing w:before="160" w:after="80"/>
              <w:outlineLvl w:val="1"/>
              <w:rPr>
                <w:rFonts w:asciiTheme="majorHAnsi" w:eastAsiaTheme="majorEastAsia" w:hAnsiTheme="majorHAnsi" w:cstheme="majorBidi"/>
                <w:color w:val="0F4761" w:themeColor="accent1" w:themeShade="BF"/>
                <w:sz w:val="32"/>
                <w:szCs w:val="32"/>
              </w:rPr>
            </w:pPr>
            <w:r w:rsidRPr="00AE174C">
              <w:rPr>
                <w:rFonts w:asciiTheme="majorHAnsi" w:eastAsiaTheme="majorEastAsia" w:hAnsiTheme="majorHAnsi" w:cstheme="majorBidi"/>
                <w:color w:val="0F4761" w:themeColor="accent1" w:themeShade="BF"/>
                <w:sz w:val="32"/>
                <w:szCs w:val="32"/>
              </w:rPr>
              <w:t>Taking Stock of Professor Ramsay’s Contributions to Canadian Bankruptcy and Insolvency Law</w:t>
            </w:r>
          </w:p>
          <w:p w14:paraId="401AA549" w14:textId="57C26B77" w:rsidR="005B0D43" w:rsidRPr="00AE174C" w:rsidRDefault="005B0D43" w:rsidP="005B0D43">
            <w:pPr>
              <w:rPr>
                <w:rFonts w:eastAsiaTheme="minorEastAsia"/>
                <w:b/>
                <w:bCs/>
              </w:rPr>
            </w:pPr>
            <w:r w:rsidRPr="00AE174C">
              <w:rPr>
                <w:rFonts w:eastAsiaTheme="minorEastAsia"/>
              </w:rPr>
              <w:t xml:space="preserve">Professor Iain Ramsay taught at the Osgoode Hall Law School in Toronto from 1986 until 2007. We propose to take stock of Professor Ramsay’s important contributions to the study of Canadian bankruptcy and insolvency law during that time.  We plan to highlight his contributions to the use of empirical research in law reform efforts, his important work in highlighting the influence of interest groups and the politics of consumer bankruptcy reform in Canada, and his work on the role of private intermediaries in Canadian consumer bankruptcy. We will also comment on the direction of current developments in these areas. While his contributions were vast, the story we plan to tell </w:t>
            </w:r>
            <w:r w:rsidR="00B5278B">
              <w:rPr>
                <w:rFonts w:eastAsiaTheme="minorEastAsia"/>
              </w:rPr>
              <w:t>is that</w:t>
            </w:r>
            <w:r w:rsidRPr="00AE174C">
              <w:rPr>
                <w:rFonts w:eastAsiaTheme="minorEastAsia"/>
              </w:rPr>
              <w:t xml:space="preserve"> what has happened since he left Canada is not a rosy one. The issues that Professor Ramsay’s work highlighted continue to be important and salient. Two interest groups continue to drive decision-making in bankruptcy law reform – private bankruptcy trustees and institutional creditors, with little of the debtor representation advocated by Professor Ramsay. Insolvencies filed under the Canadian debt reorganization procedure now comprise close to 80% of all insolvency filings. While such plans benefit creditors and private intermediaries, they are not in the best interests of many debtors. Despite Professor Ramsay’s strong advocacy, there is still no low-income or low-cost bankruptcy option.</w:t>
            </w:r>
          </w:p>
        </w:tc>
      </w:tr>
      <w:tr w:rsidR="005B0D43" w:rsidRPr="00AE174C" w14:paraId="092D087E" w14:textId="77777777" w:rsidTr="00BD6512">
        <w:trPr>
          <w:trHeight w:val="61"/>
        </w:trPr>
        <w:tc>
          <w:tcPr>
            <w:tcW w:w="2682" w:type="dxa"/>
          </w:tcPr>
          <w:p w14:paraId="17F2F907" w14:textId="77777777" w:rsidR="005B0D43" w:rsidRPr="00AE174C" w:rsidRDefault="005B0D43" w:rsidP="005B0D43">
            <w:pPr>
              <w:keepNext/>
              <w:keepLines/>
              <w:spacing w:before="160" w:after="80"/>
              <w:outlineLvl w:val="1"/>
              <w:rPr>
                <w:rFonts w:ascii="Arial" w:eastAsiaTheme="majorEastAsia" w:hAnsi="Arial" w:cs="Arial"/>
                <w:color w:val="000000"/>
                <w:sz w:val="20"/>
                <w:szCs w:val="20"/>
              </w:rPr>
            </w:pPr>
            <w:r w:rsidRPr="00AE174C">
              <w:rPr>
                <w:rFonts w:asciiTheme="majorHAnsi" w:eastAsiaTheme="majorEastAsia" w:hAnsiTheme="majorHAnsi" w:cstheme="majorBidi"/>
                <w:b/>
                <w:bCs/>
                <w:color w:val="0F4761" w:themeColor="accent1" w:themeShade="BF"/>
                <w:sz w:val="32"/>
                <w:szCs w:val="32"/>
              </w:rPr>
              <w:lastRenderedPageBreak/>
              <w:t xml:space="preserve">Uwanikone, Majemite Daniel </w:t>
            </w:r>
          </w:p>
        </w:tc>
        <w:tc>
          <w:tcPr>
            <w:tcW w:w="3455" w:type="dxa"/>
          </w:tcPr>
          <w:p w14:paraId="5F482DAD" w14:textId="77777777" w:rsidR="005B0D43" w:rsidRPr="00AE174C" w:rsidRDefault="00000000" w:rsidP="005B0D43">
            <w:pPr>
              <w:rPr>
                <w:rFonts w:ascii="Calibri" w:eastAsiaTheme="minorEastAsia" w:hAnsi="Calibri" w:cs="Calibri"/>
                <w:color w:val="212121"/>
                <w:sz w:val="22"/>
                <w:szCs w:val="22"/>
              </w:rPr>
            </w:pPr>
            <w:hyperlink r:id="rId9" w:history="1">
              <w:r w:rsidR="005B0D43" w:rsidRPr="00AE174C">
                <w:rPr>
                  <w:rFonts w:eastAsiaTheme="minorEastAsia"/>
                  <w:color w:val="0000FF"/>
                  <w:u w:val="single"/>
                </w:rPr>
                <w:t>pd.muwa@gmail.com</w:t>
              </w:r>
            </w:hyperlink>
          </w:p>
        </w:tc>
        <w:tc>
          <w:tcPr>
            <w:tcW w:w="7793" w:type="dxa"/>
          </w:tcPr>
          <w:p w14:paraId="6F0D1F29" w14:textId="77777777" w:rsidR="005B0D43" w:rsidRPr="00AE174C" w:rsidRDefault="005B0D43" w:rsidP="005B0D43">
            <w:pPr>
              <w:keepNext/>
              <w:keepLines/>
              <w:spacing w:before="160" w:after="80"/>
              <w:outlineLvl w:val="1"/>
              <w:rPr>
                <w:rFonts w:asciiTheme="majorHAnsi" w:eastAsiaTheme="majorEastAsia" w:hAnsiTheme="majorHAnsi" w:cstheme="majorBidi"/>
                <w:color w:val="0F4761" w:themeColor="accent1" w:themeShade="BF"/>
                <w:sz w:val="32"/>
                <w:szCs w:val="32"/>
              </w:rPr>
            </w:pPr>
            <w:r w:rsidRPr="00AE174C">
              <w:rPr>
                <w:rFonts w:asciiTheme="majorHAnsi" w:eastAsiaTheme="majorEastAsia" w:hAnsiTheme="majorHAnsi" w:cstheme="majorBidi"/>
                <w:color w:val="0F4761" w:themeColor="accent1" w:themeShade="BF"/>
                <w:sz w:val="32"/>
                <w:szCs w:val="32"/>
              </w:rPr>
              <w:t>Framework for Regulating Consumer Marketplaces: A Tribute to Professor Iain Ramsay</w:t>
            </w:r>
          </w:p>
          <w:p w14:paraId="65715583" w14:textId="77777777" w:rsidR="005B0D43" w:rsidRPr="00AE174C" w:rsidRDefault="005B0D43" w:rsidP="005B0D43">
            <w:pPr>
              <w:rPr>
                <w:rFonts w:eastAsiaTheme="minorEastAsia"/>
              </w:rPr>
            </w:pPr>
            <w:r w:rsidRPr="00AE174C">
              <w:rPr>
                <w:rFonts w:eastAsiaTheme="minorEastAsia"/>
              </w:rPr>
              <w:t>One of the classical notions underpinning the concept of consumer protection is that of the consumer being conceptualised as the weaker party in transactions between consumers and businesses. This is commonly referred to as inequality of bargaining power which implies that consumers do not have the same level of bargaining or transactional advantage as businesses. Whilst the doctrine of inequality of bargaining power has conventionally been instrumental to the development of consumer policy, it has often been criticised as being vague and not robust enough to justify consumer policy development and market interventions.</w:t>
            </w:r>
          </w:p>
          <w:p w14:paraId="47EA78E7" w14:textId="068CB09A" w:rsidR="005B0D43" w:rsidRPr="00AE174C" w:rsidRDefault="005B0D43" w:rsidP="005B0D43">
            <w:pPr>
              <w:rPr>
                <w:rFonts w:eastAsiaTheme="minorEastAsia"/>
                <w:b/>
                <w:bCs/>
              </w:rPr>
            </w:pPr>
            <w:r w:rsidRPr="00AE174C">
              <w:rPr>
                <w:rFonts w:eastAsiaTheme="minorEastAsia"/>
              </w:rPr>
              <w:t>This paper is a brief tribute to the contribution of Professor Iain Ramsay to debates about the development of consumer law and policy. Ramsay challenges the conventional notion of inequality of power as an analytical underpinning for the development of consumer policy. Alternatively, Ramsay argues for a more systematic analytical framework to justify consumer policy development and interventions. This paper briefly reviews the doctrine of inequality of power and reflects on Professor Ramsay’s analytical framework for consumer protection and market regulation.</w:t>
            </w:r>
          </w:p>
        </w:tc>
      </w:tr>
      <w:tr w:rsidR="005B0D43" w:rsidRPr="00AE174C" w14:paraId="45C39F4A" w14:textId="77777777" w:rsidTr="00BD6512">
        <w:trPr>
          <w:trHeight w:val="61"/>
        </w:trPr>
        <w:tc>
          <w:tcPr>
            <w:tcW w:w="2682" w:type="dxa"/>
          </w:tcPr>
          <w:p w14:paraId="1FAB83B2" w14:textId="77777777" w:rsidR="005B0D43" w:rsidRPr="00AE174C" w:rsidRDefault="005B0D43" w:rsidP="005B0D43">
            <w:pPr>
              <w:keepNext/>
              <w:keepLines/>
              <w:spacing w:before="160" w:after="80"/>
              <w:outlineLvl w:val="1"/>
              <w:rPr>
                <w:rFonts w:asciiTheme="majorHAnsi" w:eastAsiaTheme="majorEastAsia" w:hAnsiTheme="majorHAnsi" w:cstheme="majorBidi"/>
                <w:b/>
                <w:bCs/>
                <w:color w:val="0F4761" w:themeColor="accent1" w:themeShade="BF"/>
                <w:sz w:val="32"/>
                <w:szCs w:val="32"/>
              </w:rPr>
            </w:pPr>
          </w:p>
        </w:tc>
        <w:tc>
          <w:tcPr>
            <w:tcW w:w="3455" w:type="dxa"/>
          </w:tcPr>
          <w:p w14:paraId="11E806CE" w14:textId="77777777" w:rsidR="005B0D43" w:rsidRPr="00AE174C" w:rsidRDefault="005B0D43" w:rsidP="005B0D43">
            <w:pPr>
              <w:rPr>
                <w:rFonts w:eastAsiaTheme="minorEastAsia"/>
              </w:rPr>
            </w:pPr>
          </w:p>
        </w:tc>
        <w:tc>
          <w:tcPr>
            <w:tcW w:w="7793" w:type="dxa"/>
          </w:tcPr>
          <w:p w14:paraId="0D59B6B9" w14:textId="77777777" w:rsidR="005B0D43" w:rsidRPr="00AE174C" w:rsidRDefault="005B0D43" w:rsidP="005B0D43">
            <w:pPr>
              <w:keepNext/>
              <w:keepLines/>
              <w:spacing w:before="160" w:after="80"/>
              <w:outlineLvl w:val="1"/>
              <w:rPr>
                <w:rFonts w:asciiTheme="majorHAnsi" w:eastAsiaTheme="majorEastAsia" w:hAnsiTheme="majorHAnsi" w:cstheme="majorBidi"/>
                <w:color w:val="0F4761" w:themeColor="accent1" w:themeShade="BF"/>
                <w:sz w:val="32"/>
                <w:szCs w:val="32"/>
              </w:rPr>
            </w:pPr>
          </w:p>
        </w:tc>
      </w:tr>
    </w:tbl>
    <w:p w14:paraId="7CC2A9AE" w14:textId="77777777" w:rsidR="005B0D43" w:rsidRPr="00AE174C" w:rsidRDefault="005B0D43" w:rsidP="005B0D43">
      <w:pPr>
        <w:spacing w:after="0" w:line="240" w:lineRule="auto"/>
        <w:rPr>
          <w:rFonts w:asciiTheme="minorHAnsi" w:eastAsiaTheme="minorEastAsia" w:hAnsiTheme="minorHAnsi" w:cstheme="minorBidi"/>
        </w:rPr>
      </w:pPr>
    </w:p>
    <w:p w14:paraId="52F46335" w14:textId="77777777" w:rsidR="005B0D43" w:rsidRPr="00AE174C" w:rsidRDefault="005B0D43" w:rsidP="005B0D43">
      <w:pPr>
        <w:spacing w:after="0" w:line="240" w:lineRule="auto"/>
        <w:rPr>
          <w:rFonts w:asciiTheme="minorHAnsi" w:eastAsiaTheme="minorEastAsia" w:hAnsiTheme="minorHAnsi" w:cstheme="minorBidi"/>
        </w:rPr>
      </w:pPr>
    </w:p>
    <w:p w14:paraId="60A1C9C4" w14:textId="77777777" w:rsidR="00230C65" w:rsidRDefault="00230C65"/>
    <w:sectPr w:rsidR="00230C65" w:rsidSect="00DF0EAA">
      <w:head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3067EE" w14:textId="77777777" w:rsidR="004D73B5" w:rsidRPr="00AE174C" w:rsidRDefault="004D73B5" w:rsidP="0049485F">
      <w:pPr>
        <w:spacing w:after="0" w:line="240" w:lineRule="auto"/>
      </w:pPr>
      <w:r w:rsidRPr="00AE174C">
        <w:separator/>
      </w:r>
    </w:p>
  </w:endnote>
  <w:endnote w:type="continuationSeparator" w:id="0">
    <w:p w14:paraId="25059B95" w14:textId="77777777" w:rsidR="004D73B5" w:rsidRPr="00AE174C" w:rsidRDefault="004D73B5" w:rsidP="0049485F">
      <w:pPr>
        <w:spacing w:after="0" w:line="240" w:lineRule="auto"/>
      </w:pPr>
      <w:r w:rsidRPr="00AE174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Neue">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F62799" w14:textId="77777777" w:rsidR="004D73B5" w:rsidRPr="00AE174C" w:rsidRDefault="004D73B5" w:rsidP="0049485F">
      <w:pPr>
        <w:spacing w:after="0" w:line="240" w:lineRule="auto"/>
      </w:pPr>
      <w:r w:rsidRPr="00AE174C">
        <w:separator/>
      </w:r>
    </w:p>
  </w:footnote>
  <w:footnote w:type="continuationSeparator" w:id="0">
    <w:p w14:paraId="1B9BE090" w14:textId="77777777" w:rsidR="004D73B5" w:rsidRPr="00AE174C" w:rsidRDefault="004D73B5" w:rsidP="0049485F">
      <w:pPr>
        <w:spacing w:after="0" w:line="240" w:lineRule="auto"/>
      </w:pPr>
      <w:r w:rsidRPr="00AE174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6AAE64" w14:textId="0830B05B" w:rsidR="0049485F" w:rsidRPr="00AE174C" w:rsidRDefault="0049485F" w:rsidP="0049485F">
    <w:pPr>
      <w:pStyle w:val="Header"/>
      <w:jc w:val="center"/>
      <w:rPr>
        <w:rFonts w:asciiTheme="majorHAnsi" w:hAnsiTheme="majorHAnsi"/>
      </w:rPr>
    </w:pPr>
    <w:r w:rsidRPr="00AE174C">
      <w:rPr>
        <w:rFonts w:asciiTheme="majorHAnsi" w:hAnsiTheme="majorHAnsi"/>
      </w:rPr>
      <w:t>IACL 2024, supported by Girton College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899"/>
    <w:rsid w:val="00230C65"/>
    <w:rsid w:val="002F2CEE"/>
    <w:rsid w:val="00396DBE"/>
    <w:rsid w:val="0049485F"/>
    <w:rsid w:val="004D73B5"/>
    <w:rsid w:val="005B0D43"/>
    <w:rsid w:val="00673AA7"/>
    <w:rsid w:val="008130CD"/>
    <w:rsid w:val="00AE174C"/>
    <w:rsid w:val="00B5278B"/>
    <w:rsid w:val="00C50899"/>
    <w:rsid w:val="00D83B28"/>
    <w:rsid w:val="00DF0EAA"/>
    <w:rsid w:val="00EF18A1"/>
    <w:rsid w:val="00FB3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09626"/>
  <w15:chartTrackingRefBased/>
  <w15:docId w15:val="{863DFCEA-C378-40EA-8FBF-3C7F2749C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08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08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089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089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C5089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C5089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5089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5089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5089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08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08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089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089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5089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5089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5089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5089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5089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508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08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089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089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50899"/>
    <w:pPr>
      <w:spacing w:before="160"/>
      <w:jc w:val="center"/>
    </w:pPr>
    <w:rPr>
      <w:i/>
      <w:iCs/>
      <w:color w:val="404040" w:themeColor="text1" w:themeTint="BF"/>
    </w:rPr>
  </w:style>
  <w:style w:type="character" w:customStyle="1" w:styleId="QuoteChar">
    <w:name w:val="Quote Char"/>
    <w:basedOn w:val="DefaultParagraphFont"/>
    <w:link w:val="Quote"/>
    <w:uiPriority w:val="29"/>
    <w:rsid w:val="00C50899"/>
    <w:rPr>
      <w:i/>
      <w:iCs/>
      <w:color w:val="404040" w:themeColor="text1" w:themeTint="BF"/>
    </w:rPr>
  </w:style>
  <w:style w:type="paragraph" w:styleId="ListParagraph">
    <w:name w:val="List Paragraph"/>
    <w:basedOn w:val="Normal"/>
    <w:uiPriority w:val="34"/>
    <w:qFormat/>
    <w:rsid w:val="00C50899"/>
    <w:pPr>
      <w:ind w:left="720"/>
      <w:contextualSpacing/>
    </w:pPr>
  </w:style>
  <w:style w:type="character" w:styleId="IntenseEmphasis">
    <w:name w:val="Intense Emphasis"/>
    <w:basedOn w:val="DefaultParagraphFont"/>
    <w:uiPriority w:val="21"/>
    <w:qFormat/>
    <w:rsid w:val="00C50899"/>
    <w:rPr>
      <w:i/>
      <w:iCs/>
      <w:color w:val="0F4761" w:themeColor="accent1" w:themeShade="BF"/>
    </w:rPr>
  </w:style>
  <w:style w:type="paragraph" w:styleId="IntenseQuote">
    <w:name w:val="Intense Quote"/>
    <w:basedOn w:val="Normal"/>
    <w:next w:val="Normal"/>
    <w:link w:val="IntenseQuoteChar"/>
    <w:uiPriority w:val="30"/>
    <w:qFormat/>
    <w:rsid w:val="00C508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0899"/>
    <w:rPr>
      <w:i/>
      <w:iCs/>
      <w:color w:val="0F4761" w:themeColor="accent1" w:themeShade="BF"/>
    </w:rPr>
  </w:style>
  <w:style w:type="character" w:styleId="IntenseReference">
    <w:name w:val="Intense Reference"/>
    <w:basedOn w:val="DefaultParagraphFont"/>
    <w:uiPriority w:val="32"/>
    <w:qFormat/>
    <w:rsid w:val="00C50899"/>
    <w:rPr>
      <w:b/>
      <w:bCs/>
      <w:smallCaps/>
      <w:color w:val="0F4761" w:themeColor="accent1" w:themeShade="BF"/>
      <w:spacing w:val="5"/>
    </w:rPr>
  </w:style>
  <w:style w:type="table" w:styleId="TableGrid">
    <w:name w:val="Table Grid"/>
    <w:basedOn w:val="TableNormal"/>
    <w:uiPriority w:val="39"/>
    <w:rsid w:val="005B0D43"/>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948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485F"/>
  </w:style>
  <w:style w:type="paragraph" w:styleId="Footer">
    <w:name w:val="footer"/>
    <w:basedOn w:val="Normal"/>
    <w:link w:val="FooterChar"/>
    <w:uiPriority w:val="99"/>
    <w:unhideWhenUsed/>
    <w:rsid w:val="004948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48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ul_schwartz@carleton.ca" TargetMode="External"/><Relationship Id="rId3" Type="http://schemas.openxmlformats.org/officeDocument/2006/relationships/webSettings" Target="webSettings.xml"/><Relationship Id="rId7" Type="http://schemas.openxmlformats.org/officeDocument/2006/relationships/hyperlink" Target="mailto:sbenishai@osgoode.yorku.ca"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ahaf.alshneikat@manchester.ac.uk"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pd.muw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8</Pages>
  <Words>1449</Words>
  <Characters>8538</Characters>
  <Application>Microsoft Office Word</Application>
  <DocSecurity>0</DocSecurity>
  <Lines>181</Lines>
  <Paragraphs>38</Paragraphs>
  <ScaleCrop>false</ScaleCrop>
  <Company/>
  <LinksUpToDate>false</LinksUpToDate>
  <CharactersWithSpaces>9949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Lone</dc:creator>
  <cp:keywords/>
  <dc:description/>
  <cp:lastModifiedBy>Muhammed Lone</cp:lastModifiedBy>
  <cp:revision>7</cp:revision>
  <dcterms:created xsi:type="dcterms:W3CDTF">2024-08-18T17:13:00Z</dcterms:created>
  <dcterms:modified xsi:type="dcterms:W3CDTF">2024-08-18T17:59:00Z</dcterms:modified>
</cp:coreProperties>
</file>