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D773E9" w14:textId="77777777" w:rsidR="000D4953" w:rsidRPr="00163470" w:rsidRDefault="000D4953" w:rsidP="000D4953">
      <w:pPr>
        <w:keepNext/>
        <w:keepLines/>
        <w:spacing w:before="360" w:after="80" w:line="240" w:lineRule="auto"/>
        <w:outlineLvl w:val="0"/>
        <w:rPr>
          <w:rFonts w:asciiTheme="majorHAnsi" w:eastAsiaTheme="majorEastAsia" w:hAnsiTheme="majorHAnsi" w:cstheme="majorBidi"/>
          <w:color w:val="0F4761" w:themeColor="accent1" w:themeShade="BF"/>
          <w:sz w:val="40"/>
          <w:szCs w:val="40"/>
        </w:rPr>
      </w:pPr>
      <w:r w:rsidRPr="00163470">
        <w:rPr>
          <w:rFonts w:asciiTheme="majorHAnsi" w:eastAsiaTheme="majorEastAsia" w:hAnsiTheme="majorHAnsi" w:cstheme="majorBidi"/>
          <w:color w:val="0F4761" w:themeColor="accent1" w:themeShade="BF"/>
          <w:sz w:val="40"/>
          <w:szCs w:val="40"/>
        </w:rPr>
        <w:t>Financial Services</w:t>
      </w:r>
    </w:p>
    <w:tbl>
      <w:tblPr>
        <w:tblStyle w:val="TableGrid"/>
        <w:tblW w:w="0" w:type="auto"/>
        <w:tblLook w:val="04A0" w:firstRow="1" w:lastRow="0" w:firstColumn="1" w:lastColumn="0" w:noHBand="0" w:noVBand="1"/>
      </w:tblPr>
      <w:tblGrid>
        <w:gridCol w:w="3140"/>
        <w:gridCol w:w="10808"/>
      </w:tblGrid>
      <w:tr w:rsidR="000D4953" w:rsidRPr="00163470" w14:paraId="37023721" w14:textId="77777777" w:rsidTr="00A64796">
        <w:tc>
          <w:tcPr>
            <w:tcW w:w="2683" w:type="dxa"/>
          </w:tcPr>
          <w:p w14:paraId="4D86BB70"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Name</w:t>
            </w:r>
          </w:p>
        </w:tc>
        <w:tc>
          <w:tcPr>
            <w:tcW w:w="11062" w:type="dxa"/>
          </w:tcPr>
          <w:p w14:paraId="44D19306"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Abstract</w:t>
            </w:r>
          </w:p>
        </w:tc>
      </w:tr>
      <w:tr w:rsidR="000D4953" w:rsidRPr="00163470" w14:paraId="641E768F" w14:textId="77777777" w:rsidTr="00A64796">
        <w:tc>
          <w:tcPr>
            <w:tcW w:w="2683" w:type="dxa"/>
          </w:tcPr>
          <w:p w14:paraId="6B09C0AE"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Sousa Ferro, Miguel</w:t>
            </w:r>
          </w:p>
        </w:tc>
        <w:tc>
          <w:tcPr>
            <w:tcW w:w="11062" w:type="dxa"/>
          </w:tcPr>
          <w:p w14:paraId="7031CF4A" w14:textId="77777777" w:rsidR="000D4953" w:rsidRPr="00163470" w:rsidRDefault="000D4953" w:rsidP="000D4953">
            <w:pPr>
              <w:keepLines/>
              <w:widowControl w:val="0"/>
              <w:rPr>
                <w:rFonts w:eastAsiaTheme="minorEastAsia"/>
                <w:b/>
                <w:bCs/>
                <w:szCs w:val="20"/>
              </w:rPr>
            </w:pPr>
            <w:r w:rsidRPr="00163470">
              <w:rPr>
                <w:rFonts w:eastAsiaTheme="minorEastAsia"/>
                <w:b/>
                <w:bCs/>
                <w:szCs w:val="20"/>
              </w:rPr>
              <w:t>Neglect and heterogeneity of consumer protection for antitrust infringements in the European Union: a case study focused on the Visa and Mastercard Decisions</w:t>
            </w:r>
          </w:p>
          <w:p w14:paraId="41EA424B" w14:textId="76ACAE4B" w:rsidR="000D4953" w:rsidRPr="00163470" w:rsidRDefault="000D4953" w:rsidP="000D4953">
            <w:pPr>
              <w:keepLines/>
              <w:widowControl w:val="0"/>
              <w:rPr>
                <w:rFonts w:eastAsiaTheme="minorEastAsia"/>
                <w:szCs w:val="20"/>
              </w:rPr>
            </w:pPr>
            <w:r w:rsidRPr="00163470">
              <w:rPr>
                <w:rFonts w:eastAsiaTheme="minorEastAsia"/>
                <w:szCs w:val="20"/>
              </w:rPr>
              <w:t>This paper aims at moving away from an abstract or theoretical approach o</w:t>
            </w:r>
            <w:r w:rsidR="00163470">
              <w:rPr>
                <w:rFonts w:eastAsiaTheme="minorEastAsia"/>
                <w:szCs w:val="20"/>
              </w:rPr>
              <w:t>f</w:t>
            </w:r>
            <w:r w:rsidRPr="00163470">
              <w:rPr>
                <w:rFonts w:eastAsiaTheme="minorEastAsia"/>
                <w:szCs w:val="20"/>
              </w:rPr>
              <w:t>ten used in literature on this topic, and instead focus on a case study in the financial sector – the Decisions adopted by the European Commission identifying single and continuous (homogenous) antitrust infringements in the entire European Economic Area by Visa and Mastercard. The goal is to use an empirical study of this specific example to discuss the reality of consumer protection for antitrust protection for antitrust infringements in the European Union, when it comes to compensation for damage, not only to take a snapshot of that reality (placing it against a broader picture as provided in more extensive empirical research), but also to seek practical explanations for it.</w:t>
            </w:r>
          </w:p>
          <w:p w14:paraId="52FE0D30" w14:textId="77777777" w:rsidR="000D4953" w:rsidRPr="00163470" w:rsidRDefault="000D4953" w:rsidP="000D4953">
            <w:pPr>
              <w:keepLines/>
              <w:widowControl w:val="0"/>
              <w:rPr>
                <w:rFonts w:eastAsiaTheme="minorEastAsia"/>
                <w:szCs w:val="20"/>
              </w:rPr>
            </w:pPr>
            <w:r w:rsidRPr="00163470">
              <w:rPr>
                <w:rFonts w:eastAsiaTheme="minorEastAsia"/>
                <w:szCs w:val="20"/>
              </w:rPr>
              <w:t>Given the limitations of the (in)existence of cases throughout Europe, the paper will work with case-specific data from the UK and Portuguese, as well as with analogous or related-case data from the Dutch, Spanish, Italian, Polish and Slovenian jurisdictions, among others.</w:t>
            </w:r>
          </w:p>
          <w:p w14:paraId="774CD163" w14:textId="77777777" w:rsidR="000D4953" w:rsidRPr="00163470" w:rsidRDefault="000D4953" w:rsidP="000D4953">
            <w:pPr>
              <w:keepLines/>
              <w:widowControl w:val="0"/>
              <w:rPr>
                <w:rFonts w:eastAsiaTheme="minorEastAsia"/>
                <w:szCs w:val="20"/>
              </w:rPr>
            </w:pPr>
            <w:r w:rsidRPr="00163470">
              <w:rPr>
                <w:rFonts w:eastAsiaTheme="minorEastAsia"/>
                <w:szCs w:val="20"/>
              </w:rPr>
              <w:t xml:space="preserve">It will provide an update on the current situation of consumer antitrust damages action in the few jurisdictions where this has occurred (in the context of this case study), contrasting the rhythm, approaches, challenges </w:t>
            </w:r>
            <w:proofErr w:type="spellStart"/>
            <w:r w:rsidRPr="00163470">
              <w:rPr>
                <w:rFonts w:eastAsiaTheme="minorEastAsia"/>
                <w:szCs w:val="20"/>
              </w:rPr>
              <w:t>ahd</w:t>
            </w:r>
            <w:proofErr w:type="spellEnd"/>
            <w:r w:rsidRPr="00163470">
              <w:rPr>
                <w:rFonts w:eastAsiaTheme="minorEastAsia"/>
                <w:szCs w:val="20"/>
              </w:rPr>
              <w:t xml:space="preserve"> solutions which have been reached.</w:t>
            </w:r>
          </w:p>
          <w:p w14:paraId="5909B2D5" w14:textId="77777777" w:rsidR="000D4953" w:rsidRPr="00163470" w:rsidRDefault="000D4953" w:rsidP="000D4953">
            <w:pPr>
              <w:keepLines/>
              <w:widowControl w:val="0"/>
              <w:rPr>
                <w:rFonts w:eastAsiaTheme="minorEastAsia"/>
                <w:szCs w:val="20"/>
              </w:rPr>
            </w:pPr>
            <w:r w:rsidRPr="00163470">
              <w:rPr>
                <w:rFonts w:eastAsiaTheme="minorEastAsia"/>
                <w:szCs w:val="20"/>
              </w:rPr>
              <w:t>This case study is also particularly interesting to the extent that it provides specific examples of discussions of passing-on of damage along the distribution chain. The paper will also tackle how courts have been faced with arguments on pass on, and on the different attitude that Defendants have taken in B2B and B2C litigation</w:t>
            </w:r>
          </w:p>
        </w:tc>
      </w:tr>
      <w:tr w:rsidR="000D4953" w:rsidRPr="00163470" w14:paraId="31385C06" w14:textId="77777777" w:rsidTr="00A64796">
        <w:tc>
          <w:tcPr>
            <w:tcW w:w="2683" w:type="dxa"/>
          </w:tcPr>
          <w:p w14:paraId="7FB73C57"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 xml:space="preserve">Aleksandra Hyla </w:t>
            </w:r>
          </w:p>
          <w:p w14:paraId="3392C121"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 xml:space="preserve">University of Adam Mickiewicz, </w:t>
            </w:r>
            <w:proofErr w:type="spellStart"/>
            <w:r w:rsidRPr="00163470">
              <w:rPr>
                <w:rFonts w:asciiTheme="majorHAnsi" w:eastAsiaTheme="majorEastAsia" w:hAnsiTheme="majorHAnsi" w:cstheme="majorBidi"/>
                <w:color w:val="0F4761" w:themeColor="accent1" w:themeShade="BF"/>
                <w:sz w:val="32"/>
                <w:szCs w:val="32"/>
              </w:rPr>
              <w:t>Poznań</w:t>
            </w:r>
            <w:proofErr w:type="spellEnd"/>
            <w:r w:rsidRPr="00163470">
              <w:rPr>
                <w:rFonts w:asciiTheme="majorHAnsi" w:eastAsiaTheme="majorEastAsia" w:hAnsiTheme="majorHAnsi" w:cstheme="majorBidi"/>
                <w:color w:val="0F4761" w:themeColor="accent1" w:themeShade="BF"/>
                <w:sz w:val="32"/>
                <w:szCs w:val="32"/>
              </w:rPr>
              <w:t xml:space="preserve">, Poland </w:t>
            </w:r>
          </w:p>
          <w:p w14:paraId="2007DBA4"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 xml:space="preserve">Aleksandra </w:t>
            </w:r>
            <w:proofErr w:type="spellStart"/>
            <w:r w:rsidRPr="00163470">
              <w:rPr>
                <w:rFonts w:asciiTheme="majorHAnsi" w:eastAsiaTheme="majorEastAsia" w:hAnsiTheme="majorHAnsi" w:cstheme="majorBidi"/>
                <w:color w:val="0F4761" w:themeColor="accent1" w:themeShade="BF"/>
                <w:sz w:val="32"/>
                <w:szCs w:val="32"/>
              </w:rPr>
              <w:t>Olbryk</w:t>
            </w:r>
            <w:proofErr w:type="spellEnd"/>
            <w:r w:rsidRPr="00163470">
              <w:rPr>
                <w:rFonts w:asciiTheme="majorHAnsi" w:eastAsiaTheme="majorEastAsia" w:hAnsiTheme="majorHAnsi" w:cstheme="majorBidi"/>
                <w:color w:val="0F4761" w:themeColor="accent1" w:themeShade="BF"/>
                <w:sz w:val="32"/>
                <w:szCs w:val="32"/>
              </w:rPr>
              <w:t xml:space="preserve"> </w:t>
            </w:r>
          </w:p>
          <w:p w14:paraId="6881F572"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 xml:space="preserve">University of </w:t>
            </w:r>
            <w:proofErr w:type="spellStart"/>
            <w:r w:rsidRPr="00163470">
              <w:rPr>
                <w:rFonts w:asciiTheme="majorHAnsi" w:eastAsiaTheme="majorEastAsia" w:hAnsiTheme="majorHAnsi" w:cstheme="majorBidi"/>
                <w:color w:val="0F4761" w:themeColor="accent1" w:themeShade="BF"/>
                <w:sz w:val="32"/>
                <w:szCs w:val="32"/>
              </w:rPr>
              <w:t>Łódź</w:t>
            </w:r>
            <w:proofErr w:type="spellEnd"/>
            <w:r w:rsidRPr="00163470">
              <w:rPr>
                <w:rFonts w:asciiTheme="majorHAnsi" w:eastAsiaTheme="majorEastAsia" w:hAnsiTheme="majorHAnsi" w:cstheme="majorBidi"/>
                <w:color w:val="0F4761" w:themeColor="accent1" w:themeShade="BF"/>
                <w:sz w:val="32"/>
                <w:szCs w:val="32"/>
              </w:rPr>
              <w:t xml:space="preserve">, Poland </w:t>
            </w:r>
          </w:p>
          <w:p w14:paraId="5CB21292"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p>
        </w:tc>
        <w:tc>
          <w:tcPr>
            <w:tcW w:w="11062" w:type="dxa"/>
          </w:tcPr>
          <w:p w14:paraId="367F440E" w14:textId="77777777" w:rsidR="000D4953" w:rsidRPr="00163470" w:rsidRDefault="000D4953" w:rsidP="000D4953">
            <w:pPr>
              <w:keepLines/>
              <w:widowControl w:val="0"/>
              <w:rPr>
                <w:rFonts w:eastAsiaTheme="minorEastAsia"/>
                <w:b/>
                <w:bCs/>
                <w:szCs w:val="20"/>
              </w:rPr>
            </w:pPr>
            <w:r w:rsidRPr="00163470">
              <w:rPr>
                <w:rFonts w:eastAsiaTheme="minorEastAsia"/>
                <w:b/>
                <w:bCs/>
                <w:szCs w:val="20"/>
              </w:rPr>
              <w:lastRenderedPageBreak/>
              <w:t>The Sustainable Lending Dilemma in the New Consumer Credit Directive: Ensuring Social Justice in Today’s Sales Models</w:t>
            </w:r>
          </w:p>
          <w:p w14:paraId="4B629ED5" w14:textId="77777777" w:rsidR="000D4953" w:rsidRPr="00163470" w:rsidRDefault="000D4953" w:rsidP="000D4953">
            <w:pPr>
              <w:keepLines/>
              <w:widowControl w:val="0"/>
              <w:rPr>
                <w:rFonts w:eastAsiaTheme="minorEastAsia"/>
                <w:szCs w:val="20"/>
              </w:rPr>
            </w:pPr>
            <w:r w:rsidRPr="00163470">
              <w:rPr>
                <w:rFonts w:eastAsiaTheme="minorEastAsia"/>
                <w:szCs w:val="20"/>
              </w:rPr>
              <w:t>(abstract)</w:t>
            </w:r>
          </w:p>
          <w:p w14:paraId="217431BD" w14:textId="77777777" w:rsidR="000D4953" w:rsidRPr="00163470" w:rsidRDefault="000D4953" w:rsidP="000D4953">
            <w:pPr>
              <w:keepLines/>
              <w:widowControl w:val="0"/>
              <w:rPr>
                <w:rFonts w:eastAsiaTheme="minorEastAsia"/>
                <w:szCs w:val="20"/>
              </w:rPr>
            </w:pPr>
            <w:r w:rsidRPr="00163470">
              <w:rPr>
                <w:rFonts w:eastAsiaTheme="minorEastAsia"/>
                <w:szCs w:val="20"/>
              </w:rPr>
              <w:lastRenderedPageBreak/>
              <w:t>In this presentation, we aim to identify the risks associated with the exemption provided for in Article 2(2)(h) of the new Consumer Credit Directive (“CCD2”) and propose ways to address this problem in both EU and national legislations to ensure consumer protection when suppliers of goods or services offer interest-free credit without involving a third party.</w:t>
            </w:r>
          </w:p>
          <w:p w14:paraId="01A4E9C5" w14:textId="77777777" w:rsidR="000D4953" w:rsidRPr="00163470" w:rsidRDefault="000D4953" w:rsidP="000D4953">
            <w:pPr>
              <w:keepLines/>
              <w:widowControl w:val="0"/>
              <w:rPr>
                <w:rFonts w:eastAsiaTheme="minorEastAsia"/>
                <w:szCs w:val="20"/>
              </w:rPr>
            </w:pPr>
            <w:r w:rsidRPr="00163470">
              <w:rPr>
                <w:rFonts w:eastAsiaTheme="minorEastAsia"/>
                <w:szCs w:val="20"/>
              </w:rPr>
              <w:t>Consumer loans have become increasingly significant in the EU market in recent years. The option to purchase goods or services on credit often involves an interest-free financial product with no additional costs, assuming timely repayment by the consumer. However, this practice can lead to significant social and environmental consequences despite the economic benefits. The credit-based sales model carries the risk of irresponsible consumption and consumer over-indebtedness. The CCD2 introduces the concept of sustainable lending and underscores the importance of aligning financial products with consumers' needs and abilities. While the CCD2 appears to provide tools to counteract irresponsible lending, it does not apply to suppliers who provide</w:t>
            </w:r>
          </w:p>
          <w:p w14:paraId="2EA8D055" w14:textId="77777777" w:rsidR="000D4953" w:rsidRPr="00163470" w:rsidRDefault="000D4953" w:rsidP="000D4953">
            <w:pPr>
              <w:keepLines/>
              <w:widowControl w:val="0"/>
              <w:rPr>
                <w:rFonts w:eastAsiaTheme="minorEastAsia"/>
                <w:szCs w:val="20"/>
              </w:rPr>
            </w:pPr>
            <w:r w:rsidRPr="00163470">
              <w:rPr>
                <w:rFonts w:eastAsiaTheme="minorEastAsia"/>
                <w:szCs w:val="20"/>
              </w:rPr>
              <w:t>financing for the product themselves. This creates a significant loophole where suppliers may opt not to rely on third-party consumer credit providers, thereby offering such products themselves to circumvent CCD2 provisions.</w:t>
            </w:r>
          </w:p>
          <w:p w14:paraId="1D4D1557" w14:textId="77777777" w:rsidR="000D4953" w:rsidRPr="00163470" w:rsidRDefault="000D4953" w:rsidP="000D4953">
            <w:pPr>
              <w:keepLines/>
              <w:widowControl w:val="0"/>
              <w:rPr>
                <w:rFonts w:eastAsiaTheme="minorEastAsia"/>
                <w:szCs w:val="20"/>
              </w:rPr>
            </w:pPr>
            <w:r w:rsidRPr="00163470">
              <w:rPr>
                <w:rFonts w:eastAsiaTheme="minorEastAsia"/>
                <w:szCs w:val="20"/>
              </w:rPr>
              <w:t>Therefore, exploring which legal instruments should be employed to ensure consumer protection where CCD2 falls short is essential. In our presentation, we propose possible solutions to this problem, considering not only legislative instruments but also the decision-making practices of the Polish President of the Office of Competition and Consumer Protection in the field of consumer credit (specifically decision no. RLU-2/2023 regarding the operation of a store selling electronics and household appliances on credit).</w:t>
            </w:r>
          </w:p>
        </w:tc>
      </w:tr>
      <w:tr w:rsidR="000D4953" w:rsidRPr="00163470" w14:paraId="5C98E10F" w14:textId="77777777" w:rsidTr="00A64796">
        <w:tc>
          <w:tcPr>
            <w:tcW w:w="2683" w:type="dxa"/>
          </w:tcPr>
          <w:p w14:paraId="5A2F10DB"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lastRenderedPageBreak/>
              <w:t>Steennot</w:t>
            </w:r>
            <w:proofErr w:type="spellEnd"/>
            <w:r w:rsidRPr="00163470">
              <w:rPr>
                <w:rFonts w:asciiTheme="majorHAnsi" w:eastAsiaTheme="majorEastAsia" w:hAnsiTheme="majorHAnsi" w:cstheme="majorBidi"/>
                <w:color w:val="0F4761" w:themeColor="accent1" w:themeShade="BF"/>
                <w:sz w:val="32"/>
                <w:szCs w:val="32"/>
              </w:rPr>
              <w:t>, Reinhard</w:t>
            </w:r>
          </w:p>
        </w:tc>
        <w:tc>
          <w:tcPr>
            <w:tcW w:w="11062" w:type="dxa"/>
          </w:tcPr>
          <w:p w14:paraId="5AA68C5E" w14:textId="77777777" w:rsidR="000D4953" w:rsidRPr="00163470" w:rsidRDefault="000D4953" w:rsidP="000D4953">
            <w:pPr>
              <w:rPr>
                <w:rFonts w:eastAsiaTheme="minorEastAsia"/>
                <w:b/>
                <w:bCs/>
                <w:szCs w:val="20"/>
                <w:u w:val="single"/>
              </w:rPr>
            </w:pPr>
            <w:r w:rsidRPr="00163470">
              <w:rPr>
                <w:rFonts w:eastAsiaTheme="minorEastAsia"/>
                <w:b/>
                <w:bCs/>
                <w:szCs w:val="20"/>
                <w:u w:val="single"/>
              </w:rPr>
              <w:t xml:space="preserve">Consumers’ liability in case of phishing, Reinhard </w:t>
            </w:r>
            <w:proofErr w:type="spellStart"/>
            <w:r w:rsidRPr="00163470">
              <w:rPr>
                <w:rFonts w:eastAsiaTheme="minorEastAsia"/>
                <w:b/>
                <w:bCs/>
                <w:szCs w:val="20"/>
                <w:u w:val="single"/>
              </w:rPr>
              <w:t>Steennot</w:t>
            </w:r>
            <w:proofErr w:type="spellEnd"/>
            <w:r w:rsidRPr="00163470">
              <w:rPr>
                <w:rFonts w:eastAsiaTheme="minorEastAsia"/>
                <w:b/>
                <w:bCs/>
                <w:szCs w:val="20"/>
                <w:u w:val="single"/>
              </w:rPr>
              <w:t>, Full Professor Ghent University (Belgium)</w:t>
            </w:r>
          </w:p>
          <w:p w14:paraId="4263DC66" w14:textId="77777777" w:rsidR="000D4953" w:rsidRPr="00163470" w:rsidRDefault="000D4953" w:rsidP="000D4953">
            <w:pPr>
              <w:rPr>
                <w:rFonts w:eastAsiaTheme="minorEastAsia"/>
                <w:szCs w:val="20"/>
              </w:rPr>
            </w:pPr>
            <w:r w:rsidRPr="00163470">
              <w:rPr>
                <w:rFonts w:eastAsiaTheme="minorEastAsia"/>
                <w:szCs w:val="20"/>
              </w:rPr>
              <w:t>Fraudulent activities, such as phishing, are increasingly affecting payment service users (PSUs). In cases where fraudulently debited funds cannot be recovered from the perpetrator, the extent to which payment service providers (PSPs) can be held liable becomes a pertinent question. The existing Payment Services Directive (PSD2) fails to provide sufficient consumer protection. Although the Commission's proposal for a new Payment Services Regulation (PSR1) introduces several provisions aimed at enhancing consumer protection against payment fraud, it still falls short of offering adequate safeguards for phishing victims.</w:t>
            </w:r>
          </w:p>
          <w:p w14:paraId="0C0AFE43" w14:textId="77777777" w:rsidR="000D4953" w:rsidRPr="00163470" w:rsidRDefault="000D4953" w:rsidP="000D4953">
            <w:pPr>
              <w:rPr>
                <w:rFonts w:eastAsiaTheme="minorEastAsia"/>
                <w:szCs w:val="20"/>
              </w:rPr>
            </w:pPr>
            <w:r w:rsidRPr="00163470">
              <w:rPr>
                <w:rFonts w:eastAsiaTheme="minorEastAsia"/>
                <w:szCs w:val="20"/>
              </w:rPr>
              <w:t xml:space="preserve">Firstly, the definition of an unauthorized payment transaction remains vague, posing a risk that some PSPs might equate authentication with authorization. This could lead them to argue that simply adhering to the agreed-upon payment initiation procedure proves authorization, undermining the cap on consumer liability for </w:t>
            </w:r>
            <w:r w:rsidRPr="00163470">
              <w:rPr>
                <w:rFonts w:eastAsiaTheme="minorEastAsia"/>
                <w:i/>
                <w:iCs/>
                <w:szCs w:val="20"/>
              </w:rPr>
              <w:t>unauthorized</w:t>
            </w:r>
            <w:r w:rsidRPr="00163470">
              <w:rPr>
                <w:rFonts w:eastAsiaTheme="minorEastAsia"/>
                <w:szCs w:val="20"/>
              </w:rPr>
              <w:t xml:space="preserve"> transactions at 50 euros. It should be explicitly stated that a transaction is only authorized when the PSU has </w:t>
            </w:r>
            <w:r w:rsidRPr="00163470">
              <w:rPr>
                <w:rFonts w:eastAsiaTheme="minorEastAsia"/>
                <w:i/>
                <w:iCs/>
                <w:szCs w:val="20"/>
              </w:rPr>
              <w:t>personally</w:t>
            </w:r>
            <w:r w:rsidRPr="00163470">
              <w:rPr>
                <w:rFonts w:eastAsiaTheme="minorEastAsia"/>
                <w:szCs w:val="20"/>
              </w:rPr>
              <w:t xml:space="preserve"> instructed the transfer of a </w:t>
            </w:r>
            <w:r w:rsidRPr="00163470">
              <w:rPr>
                <w:rFonts w:eastAsiaTheme="minorEastAsia"/>
                <w:i/>
                <w:iCs/>
                <w:szCs w:val="20"/>
              </w:rPr>
              <w:t>specific</w:t>
            </w:r>
            <w:r w:rsidRPr="00163470">
              <w:rPr>
                <w:rFonts w:eastAsiaTheme="minorEastAsia"/>
                <w:szCs w:val="20"/>
              </w:rPr>
              <w:t xml:space="preserve"> amount to the recipient's account.</w:t>
            </w:r>
          </w:p>
          <w:p w14:paraId="1CC91593" w14:textId="77777777" w:rsidR="000D4953" w:rsidRPr="00163470" w:rsidRDefault="000D4953" w:rsidP="000D4953">
            <w:pPr>
              <w:rPr>
                <w:rFonts w:eastAsiaTheme="minorEastAsia"/>
                <w:szCs w:val="20"/>
              </w:rPr>
            </w:pPr>
            <w:r w:rsidRPr="00163470">
              <w:rPr>
                <w:rFonts w:eastAsiaTheme="minorEastAsia"/>
                <w:szCs w:val="20"/>
              </w:rPr>
              <w:t xml:space="preserve">Secondly, liability for unauthorized transactions is predominantly assigned based on the </w:t>
            </w:r>
            <w:proofErr w:type="spellStart"/>
            <w:r w:rsidRPr="00163470">
              <w:rPr>
                <w:rFonts w:eastAsiaTheme="minorEastAsia"/>
                <w:szCs w:val="20"/>
              </w:rPr>
              <w:t>behavior</w:t>
            </w:r>
            <w:proofErr w:type="spellEnd"/>
            <w:r w:rsidRPr="00163470">
              <w:rPr>
                <w:rFonts w:eastAsiaTheme="minorEastAsia"/>
                <w:szCs w:val="20"/>
              </w:rPr>
              <w:t xml:space="preserve"> of the PSU. If PSUs act with gross negligence, their liability escalates from 50 euros to cover all transactions occurring prior to the fraud being reported, facilitated by their negligence. The damages can then amount to several thousand euros. It is crucial to argue that liability rules should consider not only the consumer's actions but also the preventative and detective measures implemented by PSPs against fraud. </w:t>
            </w:r>
          </w:p>
          <w:p w14:paraId="694D7BF2" w14:textId="77777777" w:rsidR="000D4953" w:rsidRPr="00163470" w:rsidRDefault="000D4953" w:rsidP="000D4953">
            <w:pPr>
              <w:rPr>
                <w:rFonts w:eastAsiaTheme="minorEastAsia"/>
              </w:rPr>
            </w:pPr>
            <w:r w:rsidRPr="00163470">
              <w:rPr>
                <w:rFonts w:eastAsiaTheme="minorEastAsia"/>
                <w:szCs w:val="20"/>
              </w:rPr>
              <w:t>Lastly, enhancing consumer protection involves educating consumers on the importance of establishing spending limits that reflect their personal spending habits. Additionally, if fraud occurs, consumer liability should be confined to these pre-set limits. This approach will encourage PSPs to implement more secure methods for modifying these limits.</w:t>
            </w:r>
          </w:p>
        </w:tc>
      </w:tr>
      <w:tr w:rsidR="000D4953" w:rsidRPr="00163470" w14:paraId="48591C43" w14:textId="77777777" w:rsidTr="00A64796">
        <w:tc>
          <w:tcPr>
            <w:tcW w:w="2683" w:type="dxa"/>
          </w:tcPr>
          <w:p w14:paraId="6FFED6BC"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lastRenderedPageBreak/>
              <w:t>Bertoncello</w:t>
            </w:r>
            <w:proofErr w:type="spellEnd"/>
            <w:r w:rsidRPr="00163470">
              <w:rPr>
                <w:rFonts w:asciiTheme="majorHAnsi" w:eastAsiaTheme="majorEastAsia" w:hAnsiTheme="majorHAnsi" w:cstheme="majorBidi"/>
                <w:color w:val="0F4761" w:themeColor="accent1" w:themeShade="BF"/>
                <w:sz w:val="32"/>
                <w:szCs w:val="32"/>
              </w:rPr>
              <w:t>, Karen</w:t>
            </w:r>
          </w:p>
        </w:tc>
        <w:tc>
          <w:tcPr>
            <w:tcW w:w="11062" w:type="dxa"/>
          </w:tcPr>
          <w:p w14:paraId="1E80E5C8"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hAnsiTheme="majorHAnsi" w:cstheme="majorBidi"/>
                <w:color w:val="0F4761" w:themeColor="accent1" w:themeShade="BF"/>
                <w:sz w:val="32"/>
                <w:szCs w:val="32"/>
              </w:rPr>
              <w:t>The Brazilian Consumer Code and the prevention of Over-indebtedness</w:t>
            </w:r>
          </w:p>
          <w:p w14:paraId="51FBEA52" w14:textId="0932A6E0" w:rsidR="000D4953" w:rsidRPr="00163470" w:rsidRDefault="000D4953" w:rsidP="000D4953">
            <w:pPr>
              <w:rPr>
                <w:rFonts w:eastAsiaTheme="minorEastAsia"/>
              </w:rPr>
            </w:pPr>
            <w:r w:rsidRPr="00163470">
              <w:rPr>
                <w:rFonts w:eastAsiaTheme="minorEastAsia"/>
              </w:rPr>
              <w:t xml:space="preserve">This essay presents the reform of the Brazilian Consumer </w:t>
            </w:r>
            <w:proofErr w:type="spellStart"/>
            <w:r w:rsidRPr="00163470">
              <w:rPr>
                <w:rFonts w:eastAsiaTheme="minorEastAsia"/>
              </w:rPr>
              <w:t>Defense</w:t>
            </w:r>
            <w:proofErr w:type="spellEnd"/>
            <w:r w:rsidRPr="00163470">
              <w:rPr>
                <w:rFonts w:eastAsiaTheme="minorEastAsia"/>
              </w:rPr>
              <w:t xml:space="preserve"> Code (CDC) under Law No. 14,181, 2021, identifying the </w:t>
            </w:r>
            <w:r w:rsidR="00163470" w:rsidRPr="00163470">
              <w:rPr>
                <w:rFonts w:eastAsiaTheme="minorEastAsia"/>
              </w:rPr>
              <w:t>high-level</w:t>
            </w:r>
            <w:r w:rsidRPr="00163470">
              <w:rPr>
                <w:rFonts w:eastAsiaTheme="minorEastAsia"/>
              </w:rPr>
              <w:t xml:space="preserve"> principles in the Over-Indebtedness prevention and treatment. The legal procedure encourages as a public policy the joint effort between National consumer protection system, Law Schools and the Judiciary for the installation of the Over-Indebtedness Service </w:t>
            </w:r>
            <w:proofErr w:type="spellStart"/>
            <w:r w:rsidRPr="00163470">
              <w:rPr>
                <w:rFonts w:eastAsiaTheme="minorEastAsia"/>
              </w:rPr>
              <w:t>Center</w:t>
            </w:r>
            <w:proofErr w:type="spellEnd"/>
            <w:r w:rsidRPr="00163470">
              <w:rPr>
                <w:rFonts w:eastAsiaTheme="minorEastAsia"/>
              </w:rPr>
              <w:t xml:space="preserve"> in a multidisciplinary and integrative way to achieve the principles set out in articles 5 and 6, both of the Consumer Protection Code. As final observations the text point out the consumers over-indebtedness general profile (more than 6.300 in Rio Grande do Sul State) and the best practices as a result from a specialized jurisdiction.</w:t>
            </w:r>
          </w:p>
        </w:tc>
      </w:tr>
      <w:tr w:rsidR="000D4953" w:rsidRPr="00163470" w14:paraId="3EB86319" w14:textId="77777777" w:rsidTr="00A64796">
        <w:trPr>
          <w:trHeight w:val="5294"/>
        </w:trPr>
        <w:tc>
          <w:tcPr>
            <w:tcW w:w="2683" w:type="dxa"/>
          </w:tcPr>
          <w:p w14:paraId="1D9E1354"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t>Sørenson</w:t>
            </w:r>
            <w:proofErr w:type="spellEnd"/>
            <w:r w:rsidRPr="00163470">
              <w:rPr>
                <w:rFonts w:asciiTheme="majorHAnsi" w:eastAsiaTheme="majorEastAsia" w:hAnsiTheme="majorHAnsi" w:cstheme="majorBidi"/>
                <w:color w:val="0F4761" w:themeColor="accent1" w:themeShade="BF"/>
                <w:sz w:val="32"/>
                <w:szCs w:val="32"/>
              </w:rPr>
              <w:t>, Marie Jull</w:t>
            </w:r>
          </w:p>
        </w:tc>
        <w:tc>
          <w:tcPr>
            <w:tcW w:w="11062" w:type="dxa"/>
          </w:tcPr>
          <w:p w14:paraId="545840F3"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The unfairness test</w:t>
            </w:r>
          </w:p>
          <w:p w14:paraId="58C09666" w14:textId="77777777" w:rsidR="000D4953" w:rsidRPr="00163470" w:rsidRDefault="000D4953" w:rsidP="000D4953">
            <w:pPr>
              <w:rPr>
                <w:rFonts w:eastAsiaTheme="minorEastAsia"/>
              </w:rPr>
            </w:pPr>
            <w:r w:rsidRPr="00163470">
              <w:rPr>
                <w:rFonts w:eastAsiaTheme="minorEastAsia"/>
              </w:rPr>
              <w:t xml:space="preserve">With broad concepts and working within a field potentially very intrusive into consumer contract law, the UCTD has all the elements of being the centre of attention in consumer protection law. The UCTD is undoubtedly very interesting, and despite it being 30 years old and off to a slow start, it is also a relevant directive that has resulted and most likely will keep providing case law bringing food for thought for researchers and lawyers on different aspects of consumer protection against unfair terms. Especially within consumer protection in the financial sphere, the UCTD has shown its great effect and, on several occasions, has gone to great lengths to secure consumer rights. </w:t>
            </w:r>
          </w:p>
          <w:p w14:paraId="6F56A503" w14:textId="77777777" w:rsidR="000D4953" w:rsidRPr="00163470" w:rsidRDefault="000D4953" w:rsidP="000D4953">
            <w:pPr>
              <w:rPr>
                <w:rFonts w:eastAsiaTheme="minorEastAsia"/>
              </w:rPr>
            </w:pPr>
            <w:r w:rsidRPr="00163470">
              <w:rPr>
                <w:rFonts w:eastAsiaTheme="minorEastAsia"/>
              </w:rPr>
              <w:t xml:space="preserve">As with most consumer protection laws, elements of freedom and fairness can be identified in the UCTD when dealing with the assessment of potentially unfair terms. </w:t>
            </w:r>
          </w:p>
          <w:p w14:paraId="6A055BC0" w14:textId="77777777" w:rsidR="000D4953" w:rsidRPr="00163470" w:rsidRDefault="000D4953" w:rsidP="000D4953">
            <w:pPr>
              <w:rPr>
                <w:rFonts w:eastAsiaTheme="minorEastAsia"/>
              </w:rPr>
            </w:pPr>
            <w:r w:rsidRPr="00163470">
              <w:rPr>
                <w:rFonts w:eastAsiaTheme="minorEastAsia"/>
              </w:rPr>
              <w:t>Depending on the terms in question, the unfairness test consisting of good faith and balance is carried out by the ECJ by applying a comparative test (comparative to national law), a ‘possible agreement test’, a proportionality test and a transparency test. In the end, national courts apply these tests but ECJ case law provides specific elements/criteria to consider that depend on the terms in question and the nature of the goods or services. The grey list supplies some anchor points to specific types of unfair terms and thus creates a comparative benchmark of its own.   This will be elaborated on in the talk at the conference.</w:t>
            </w:r>
          </w:p>
          <w:p w14:paraId="6A9DB1BC" w14:textId="77777777" w:rsidR="000D4953" w:rsidRPr="00163470" w:rsidRDefault="000D4953" w:rsidP="000D4953">
            <w:pPr>
              <w:rPr>
                <w:rFonts w:eastAsiaTheme="minorEastAsia"/>
              </w:rPr>
            </w:pPr>
          </w:p>
        </w:tc>
      </w:tr>
      <w:tr w:rsidR="000D4953" w:rsidRPr="00163470" w14:paraId="6CEE4B7A" w14:textId="77777777" w:rsidTr="00A64796">
        <w:tc>
          <w:tcPr>
            <w:tcW w:w="2683" w:type="dxa"/>
          </w:tcPr>
          <w:p w14:paraId="42BE7BD7"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Salazar, Alberto</w:t>
            </w:r>
          </w:p>
        </w:tc>
        <w:tc>
          <w:tcPr>
            <w:tcW w:w="11062" w:type="dxa"/>
          </w:tcPr>
          <w:p w14:paraId="20A1C511"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Financial Data Oligopolies, Financial Exclusion, and Consumer Data Trusts in Europe</w:t>
            </w:r>
          </w:p>
          <w:p w14:paraId="7911EE78" w14:textId="77777777" w:rsidR="000D4953" w:rsidRPr="00163470" w:rsidRDefault="000D4953" w:rsidP="000D4953">
            <w:pPr>
              <w:keepLines/>
              <w:widowControl w:val="0"/>
              <w:rPr>
                <w:rFonts w:eastAsiaTheme="minorEastAsia"/>
              </w:rPr>
            </w:pPr>
            <w:r w:rsidRPr="00163470">
              <w:rPr>
                <w:rFonts w:eastAsiaTheme="minorEastAsia"/>
              </w:rPr>
              <w:t xml:space="preserve">This paper explores the potential role of consumer data trusts in mitigating exploitation and exclusion by financial data oligopolies within the regulatory framework of the General Data Protection Regulation (GDPR) in Europe. In the context of the burgeoning financial technology industry, the collection and utilization of consumer data by financial data oligopolies have raised concerns about exacerbating financial exclusion and exploitation, particularly among vulnerable populations. On the other hand, data trusts are emerging as alternative to safeguard data subjects, given the shortcomings of privacy consent mechanisms. Data trusts representing data subjects can support efforts to scrutinize financial institutions and promote financial inclusion by enabling more accurate and comprehensive assessments of individuals' creditworthiness and financial </w:t>
            </w:r>
            <w:proofErr w:type="spellStart"/>
            <w:r w:rsidRPr="00163470">
              <w:rPr>
                <w:rFonts w:eastAsiaTheme="minorEastAsia"/>
              </w:rPr>
              <w:t>behavior</w:t>
            </w:r>
            <w:proofErr w:type="spellEnd"/>
            <w:r w:rsidRPr="00163470">
              <w:rPr>
                <w:rFonts w:eastAsiaTheme="minorEastAsia"/>
              </w:rPr>
              <w:t>. By aggregating data from multiple sources and incorporating alternative data sources, such as utility payments or rental history, data trusts can provide a more holistic view of individuals' financial profiles, potentially expanding access to credit and other financial services for those with limited or no traditional credit history. Moreover, by implementing transparent and accountable governance structures, data trusts can help mitigate bias and discrimination in financial decision-making processes, thereby addressing systemic inequalities that may perpetuate financial exclusion and exploitation of marginalized populations. Thus, this project delves into the extent to which consumer data trusts can empower consumers, especially those from marginalized communities, to combat exclusion and exploitation by financial institutions that increasingly control financial data through fintech.</w:t>
            </w:r>
          </w:p>
          <w:p w14:paraId="3FF674DE" w14:textId="77777777" w:rsidR="000D4953" w:rsidRPr="00163470" w:rsidRDefault="000D4953" w:rsidP="000D4953">
            <w:pPr>
              <w:keepLines/>
              <w:widowControl w:val="0"/>
              <w:rPr>
                <w:rFonts w:eastAsiaTheme="minorEastAsia"/>
              </w:rPr>
            </w:pPr>
            <w:r w:rsidRPr="00163470">
              <w:rPr>
                <w:rFonts w:eastAsiaTheme="minorEastAsia"/>
              </w:rPr>
              <w:t xml:space="preserve">The paper discusses the argument through a case study, namely, BlackRock’s Aladdin and its potential role in facilitating financial exclusion and exploitation of vulnerable consumers, particularly regarding consumer profiling and creditworthiness assessment. While Aladdin is primarily utilized by institutional investors, asset managers, and financial institutions, its widespread use raises concerns about its indirect impact on financial inclusion and exploitation. For example, if algorithms or models within such platforms inadvertently reinforce biases or overlook certain demographics, it could result in unequal access to financial products or services for marginalized groups. Additionally, if these platforms are used by entities engaging in predatory lending practices or discriminatory decision-making, they could contribute to financial exploitation. It is thus worth exploring the impact of </w:t>
            </w:r>
            <w:r w:rsidRPr="00163470">
              <w:rPr>
                <w:rFonts w:eastAsiaTheme="minorEastAsia"/>
              </w:rPr>
              <w:lastRenderedPageBreak/>
              <w:t xml:space="preserve">BlackRock’s Aladdin on financial exclusion and exploitation of consumers and the role that data trusts may play in scrutinizing Aladdin and mitigating such problems. A discussion of some decisions by European regulators and courts can shed light on these issues, notably the decision in </w:t>
            </w:r>
            <w:r w:rsidRPr="00163470">
              <w:rPr>
                <w:rFonts w:eastAsiaTheme="minorEastAsia"/>
                <w:i/>
                <w:iCs/>
              </w:rPr>
              <w:t xml:space="preserve">Meta Platforms Ireland v. </w:t>
            </w:r>
            <w:proofErr w:type="spellStart"/>
            <w:r w:rsidRPr="00163470">
              <w:rPr>
                <w:rFonts w:eastAsiaTheme="minorEastAsia"/>
                <w:i/>
                <w:iCs/>
              </w:rPr>
              <w:t>Bundesverband</w:t>
            </w:r>
            <w:proofErr w:type="spellEnd"/>
            <w:r w:rsidRPr="00163470">
              <w:rPr>
                <w:rFonts w:eastAsiaTheme="minorEastAsia"/>
                <w:i/>
                <w:iCs/>
              </w:rPr>
              <w:t xml:space="preserve"> Der </w:t>
            </w:r>
            <w:proofErr w:type="spellStart"/>
            <w:r w:rsidRPr="00163470">
              <w:rPr>
                <w:rFonts w:eastAsiaTheme="minorEastAsia"/>
                <w:i/>
                <w:iCs/>
              </w:rPr>
              <w:t>Verbraucherzentralen</w:t>
            </w:r>
            <w:proofErr w:type="spellEnd"/>
            <w:r w:rsidRPr="00163470">
              <w:rPr>
                <w:rFonts w:eastAsiaTheme="minorEastAsia"/>
                <w:i/>
                <w:iCs/>
              </w:rPr>
              <w:t xml:space="preserve"> Und </w:t>
            </w:r>
            <w:proofErr w:type="spellStart"/>
            <w:r w:rsidRPr="00163470">
              <w:rPr>
                <w:rFonts w:eastAsiaTheme="minorEastAsia"/>
                <w:i/>
                <w:iCs/>
              </w:rPr>
              <w:t>Verbraucherverbaende</w:t>
            </w:r>
            <w:proofErr w:type="spellEnd"/>
            <w:r w:rsidRPr="00163470">
              <w:rPr>
                <w:rFonts w:eastAsiaTheme="minorEastAsia"/>
              </w:rPr>
              <w:t xml:space="preserve"> (VZVB) (C.J.E.U.), judgment of the Court (Third Chamber) of 28 April 2022, allowing a German consumer association representing data subjects to bring a legal action under a national legislation to protect data subjects against the infringement of their rights.</w:t>
            </w:r>
          </w:p>
        </w:tc>
      </w:tr>
      <w:tr w:rsidR="000D4953" w:rsidRPr="00163470" w14:paraId="70967512" w14:textId="77777777" w:rsidTr="00A64796">
        <w:tc>
          <w:tcPr>
            <w:tcW w:w="2683" w:type="dxa"/>
          </w:tcPr>
          <w:p w14:paraId="0CD27791"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Jacquemin, Hervé</w:t>
            </w:r>
          </w:p>
          <w:p w14:paraId="0141AD0D" w14:textId="77777777" w:rsidR="000D4953" w:rsidRPr="00163470" w:rsidRDefault="000D4953" w:rsidP="000D4953">
            <w:pPr>
              <w:rPr>
                <w:rFonts w:eastAsiaTheme="minorEastAsia"/>
              </w:rPr>
            </w:pPr>
            <w:r w:rsidRPr="00163470">
              <w:rPr>
                <w:rFonts w:eastAsiaTheme="minorEastAsia"/>
              </w:rPr>
              <w:t xml:space="preserve">Professor at the University of Namur (Belgium), Director of the CRIDS/NADI, member of the Brussels Bar </w:t>
            </w:r>
          </w:p>
          <w:p w14:paraId="4F98881D" w14:textId="77777777" w:rsidR="000D4953" w:rsidRPr="00163470" w:rsidRDefault="000D4953" w:rsidP="000D4953">
            <w:pPr>
              <w:rPr>
                <w:rFonts w:eastAsiaTheme="minorEastAsia"/>
              </w:rPr>
            </w:pPr>
          </w:p>
        </w:tc>
        <w:tc>
          <w:tcPr>
            <w:tcW w:w="11062" w:type="dxa"/>
          </w:tcPr>
          <w:p w14:paraId="29AAA9D0" w14:textId="77777777" w:rsidR="000D4953" w:rsidRPr="00163470" w:rsidRDefault="000D4953" w:rsidP="000D4953">
            <w:pPr>
              <w:keepLines/>
              <w:widowControl w:val="0"/>
              <w:rPr>
                <w:rFonts w:eastAsiaTheme="minorEastAsia"/>
              </w:rPr>
            </w:pPr>
            <w:r w:rsidRPr="00163470">
              <w:rPr>
                <w:rFonts w:eastAsiaTheme="minorEastAsia"/>
                <w:b/>
              </w:rPr>
              <w:t xml:space="preserve">Financial exclusion of the consumers suffering from the digital divide </w:t>
            </w:r>
            <w:r w:rsidRPr="00163470">
              <w:rPr>
                <w:rFonts w:eastAsiaTheme="minorEastAsia"/>
              </w:rPr>
              <w:t xml:space="preserve">Hervé Jacquemin </w:t>
            </w:r>
          </w:p>
          <w:p w14:paraId="1341575F" w14:textId="77777777" w:rsidR="000D4953" w:rsidRPr="00163470" w:rsidRDefault="000D4953" w:rsidP="000D4953">
            <w:pPr>
              <w:keepLines/>
              <w:widowControl w:val="0"/>
              <w:rPr>
                <w:rFonts w:eastAsiaTheme="minorEastAsia"/>
              </w:rPr>
            </w:pPr>
            <w:r w:rsidRPr="00163470">
              <w:rPr>
                <w:rFonts w:eastAsiaTheme="minorEastAsia"/>
              </w:rPr>
              <w:t xml:space="preserve">Although the situation is improving in some respects, the digital divide unfortunately remains a reality for many consumers in Europe. They may suffer from digital-related social inequalities due to a lack of access to the internet or digital technologies (computer, smartphone), or due to insufficient skills in this area. This situation of vulnerability is further exacerbated by the proliferation of essential services for which the use of digital technology is becoming indispensable (education, employment, health, energy, etc.). Financial services (banking, insurance) are no exception to this phenomenon: electronic payments (excluding cash payments) are preferred (and sometimes the only ones available); products can (or even must) be subscribed to via a website or mobile application; the only means of communication available are electronic (email, chatbot or online form), etc.   Consumers who are victims of the digital divide could therefore be excluded from financial services or forced to use them under less competitive conditions. </w:t>
            </w:r>
          </w:p>
          <w:p w14:paraId="4CC1A3F0" w14:textId="77777777" w:rsidR="000D4953" w:rsidRPr="00163470" w:rsidRDefault="000D4953" w:rsidP="000D4953">
            <w:pPr>
              <w:keepLines/>
              <w:widowControl w:val="0"/>
              <w:rPr>
                <w:rFonts w:eastAsiaTheme="minorEastAsia"/>
              </w:rPr>
            </w:pPr>
            <w:r w:rsidRPr="00163470">
              <w:rPr>
                <w:rFonts w:eastAsiaTheme="minorEastAsia"/>
              </w:rPr>
              <w:t xml:space="preserve">The presentation will </w:t>
            </w:r>
            <w:proofErr w:type="spellStart"/>
            <w:r w:rsidRPr="00163470">
              <w:rPr>
                <w:rFonts w:eastAsiaTheme="minorEastAsia"/>
              </w:rPr>
              <w:t>analyze</w:t>
            </w:r>
            <w:proofErr w:type="spellEnd"/>
            <w:r w:rsidRPr="00163470">
              <w:rPr>
                <w:rFonts w:eastAsiaTheme="minorEastAsia"/>
              </w:rPr>
              <w:t xml:space="preserve"> some sector-specific rules, as well as transversal regulations that may be mobilized to guarantee the financial inclusion of consumers. More particularly, it will determine whether consumers have the right not to use digital technology to perform legal acts in the financial sector (e.g. conclude, amend or terminate a contract) or to communicate with service providers. </w:t>
            </w:r>
          </w:p>
          <w:p w14:paraId="3BBB1284" w14:textId="77777777" w:rsidR="000D4953" w:rsidRPr="00163470" w:rsidRDefault="000D4953" w:rsidP="000D4953">
            <w:pPr>
              <w:keepLines/>
              <w:widowControl w:val="0"/>
              <w:rPr>
                <w:rFonts w:eastAsiaTheme="minorEastAsia"/>
              </w:rPr>
            </w:pPr>
            <w:r w:rsidRPr="00163470">
              <w:rPr>
                <w:rFonts w:eastAsiaTheme="minorEastAsia"/>
              </w:rPr>
              <w:t xml:space="preserve">The EU legal framework or, where relevant, certain national laws will be covered by the paper. </w:t>
            </w:r>
          </w:p>
          <w:p w14:paraId="12C2341D" w14:textId="77777777" w:rsidR="000D4953" w:rsidRPr="00163470" w:rsidRDefault="000D4953" w:rsidP="000D4953">
            <w:pPr>
              <w:keepLines/>
              <w:widowControl w:val="0"/>
              <w:rPr>
                <w:rFonts w:eastAsiaTheme="minorEastAsia"/>
              </w:rPr>
            </w:pPr>
            <w:r w:rsidRPr="00163470">
              <w:rPr>
                <w:rFonts w:eastAsiaTheme="minorEastAsia"/>
              </w:rPr>
              <w:t xml:space="preserve">Specific rules include the consumer's right to pay in cash, to receive communications from insurance companies on paper (or on a durable medium, but subject to the consumer's consent) or to change the method of communication used in distance contracts.  Some transversal rules could also be invoked by consumers (with more or less success), such as the prohibition of discrimination, unfair commercial practices or unfair contract terms.  </w:t>
            </w:r>
          </w:p>
          <w:p w14:paraId="3F55EE10" w14:textId="77777777" w:rsidR="000D4953" w:rsidRPr="00163470" w:rsidRDefault="000D4953" w:rsidP="000D4953">
            <w:pPr>
              <w:keepLines/>
              <w:widowControl w:val="0"/>
              <w:rPr>
                <w:rFonts w:eastAsiaTheme="minorEastAsia"/>
              </w:rPr>
            </w:pPr>
            <w:r w:rsidRPr="00163470">
              <w:rPr>
                <w:rFonts w:eastAsiaTheme="minorEastAsia"/>
              </w:rPr>
              <w:t xml:space="preserve">Unfortunately, the presentation will have to conclude that the current regulatory framework is inadequate and that additional rules are needed.  </w:t>
            </w:r>
          </w:p>
          <w:p w14:paraId="5E9AB81F" w14:textId="77777777" w:rsidR="000D4953" w:rsidRPr="00163470" w:rsidRDefault="000D4953" w:rsidP="000D4953">
            <w:pPr>
              <w:keepLines/>
              <w:widowControl w:val="0"/>
              <w:rPr>
                <w:rFonts w:eastAsiaTheme="minorEastAsia"/>
              </w:rPr>
            </w:pPr>
          </w:p>
        </w:tc>
      </w:tr>
      <w:tr w:rsidR="000D4953" w:rsidRPr="00163470" w14:paraId="748EDB0E" w14:textId="77777777" w:rsidTr="00A64796">
        <w:tc>
          <w:tcPr>
            <w:tcW w:w="2683" w:type="dxa"/>
          </w:tcPr>
          <w:p w14:paraId="57161E63"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Damar-Blanken, Duygu</w:t>
            </w:r>
          </w:p>
        </w:tc>
        <w:tc>
          <w:tcPr>
            <w:tcW w:w="11062" w:type="dxa"/>
          </w:tcPr>
          <w:p w14:paraId="069896B5" w14:textId="77777777" w:rsidR="000D4953" w:rsidRPr="00163470" w:rsidRDefault="000D4953" w:rsidP="000D4953">
            <w:pPr>
              <w:rPr>
                <w:rFonts w:eastAsiaTheme="minorEastAsia"/>
              </w:rPr>
            </w:pPr>
            <w:r w:rsidRPr="00163470">
              <w:rPr>
                <w:rFonts w:eastAsiaTheme="minorEastAsia"/>
                <w:b/>
              </w:rPr>
              <w:t xml:space="preserve">Age discrimination in lending – German perspective </w:t>
            </w:r>
          </w:p>
          <w:p w14:paraId="26DA4FF5" w14:textId="77777777" w:rsidR="000D4953" w:rsidRPr="00163470" w:rsidRDefault="000D4953" w:rsidP="000D4953">
            <w:pPr>
              <w:rPr>
                <w:rFonts w:eastAsiaTheme="minorEastAsia"/>
              </w:rPr>
            </w:pPr>
            <w:r w:rsidRPr="00163470">
              <w:rPr>
                <w:rFonts w:eastAsiaTheme="minorEastAsia"/>
              </w:rPr>
              <w:t xml:space="preserve"> </w:t>
            </w:r>
          </w:p>
          <w:p w14:paraId="203A384E" w14:textId="77777777" w:rsidR="000D4953" w:rsidRPr="00163470" w:rsidRDefault="000D4953" w:rsidP="000D4953">
            <w:pPr>
              <w:rPr>
                <w:rFonts w:eastAsiaTheme="minorEastAsia"/>
              </w:rPr>
            </w:pPr>
            <w:r w:rsidRPr="00163470">
              <w:rPr>
                <w:rFonts w:eastAsiaTheme="minorEastAsia"/>
              </w:rPr>
              <w:t xml:space="preserve">Age discrimination in lending is a widespread reality in Germany. Banks generally apply age limits, be it for the credit application or for the full repayment of the credit. Some banks consider even a credit application from an elderly person troublesome so that they unofficially (orally) prevent elderly people from applying for a credit. The Institute for Responsible Finance conducted in 2023 an interdisciplinary research project on the topic which was funded by the German Federal </w:t>
            </w:r>
            <w:proofErr w:type="spellStart"/>
            <w:r w:rsidRPr="00163470">
              <w:rPr>
                <w:rFonts w:eastAsiaTheme="minorEastAsia"/>
              </w:rPr>
              <w:t>AntiDiscrimination</w:t>
            </w:r>
            <w:proofErr w:type="spellEnd"/>
            <w:r w:rsidRPr="00163470">
              <w:rPr>
                <w:rFonts w:eastAsiaTheme="minorEastAsia"/>
              </w:rPr>
              <w:t xml:space="preserve"> Agency. The goals of the project were to ascertain the ways in which the age discrimination manifests itself and the reasons for age-related differentiations in lending practice in Germany as well as to offer solutions. To this end, expert interviews and surveys among banks, anti-discrimination advice </w:t>
            </w:r>
            <w:proofErr w:type="spellStart"/>
            <w:r w:rsidRPr="00163470">
              <w:rPr>
                <w:rFonts w:eastAsiaTheme="minorEastAsia"/>
              </w:rPr>
              <w:t>centers</w:t>
            </w:r>
            <w:proofErr w:type="spellEnd"/>
            <w:r w:rsidRPr="00163470">
              <w:rPr>
                <w:rFonts w:eastAsiaTheme="minorEastAsia"/>
              </w:rPr>
              <w:t xml:space="preserve"> and consumer advice </w:t>
            </w:r>
            <w:proofErr w:type="spellStart"/>
            <w:r w:rsidRPr="00163470">
              <w:rPr>
                <w:rFonts w:eastAsiaTheme="minorEastAsia"/>
              </w:rPr>
              <w:t>centers</w:t>
            </w:r>
            <w:proofErr w:type="spellEnd"/>
            <w:r w:rsidRPr="00163470">
              <w:rPr>
                <w:rFonts w:eastAsiaTheme="minorEastAsia"/>
              </w:rPr>
              <w:t xml:space="preserve"> were conducted. Furthermore, the project </w:t>
            </w:r>
            <w:proofErr w:type="spellStart"/>
            <w:r w:rsidRPr="00163470">
              <w:rPr>
                <w:rFonts w:eastAsiaTheme="minorEastAsia"/>
              </w:rPr>
              <w:t>analyzed</w:t>
            </w:r>
            <w:proofErr w:type="spellEnd"/>
            <w:r w:rsidRPr="00163470">
              <w:rPr>
                <w:rFonts w:eastAsiaTheme="minorEastAsia"/>
              </w:rPr>
              <w:t xml:space="preserve"> German Equality Act which prohibits discriminations, </w:t>
            </w:r>
            <w:r w:rsidRPr="00163470">
              <w:rPr>
                <w:rFonts w:eastAsiaTheme="minorEastAsia"/>
                <w:i/>
              </w:rPr>
              <w:t>inter alia</w:t>
            </w:r>
            <w:r w:rsidRPr="00163470">
              <w:rPr>
                <w:rFonts w:eastAsiaTheme="minorEastAsia"/>
              </w:rPr>
              <w:t xml:space="preserve">, in selected private transactions as well as private and regulatory legal framework applicable to consumer credit contracts. The paper will, if accepted, provide an overview to age-related problems in lending practice, assess the relevant legal norms of German law and also discuss the proposed solutions which are based on, among others, the new Consumer Credit Directive of 2023. </w:t>
            </w:r>
          </w:p>
        </w:tc>
      </w:tr>
      <w:tr w:rsidR="000D4953" w:rsidRPr="00163470" w14:paraId="00ABE0C3" w14:textId="77777777" w:rsidTr="00A64796">
        <w:tc>
          <w:tcPr>
            <w:tcW w:w="2683" w:type="dxa"/>
          </w:tcPr>
          <w:p w14:paraId="2776964F"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de Vogel, Josje</w:t>
            </w:r>
          </w:p>
        </w:tc>
        <w:tc>
          <w:tcPr>
            <w:tcW w:w="11062" w:type="dxa"/>
          </w:tcPr>
          <w:p w14:paraId="0B710FAC" w14:textId="77777777" w:rsidR="000D4953" w:rsidRPr="00163470" w:rsidRDefault="000D4953" w:rsidP="000D4953">
            <w:pPr>
              <w:rPr>
                <w:rFonts w:eastAsiaTheme="minorEastAsia"/>
                <w:b/>
                <w:bCs/>
              </w:rPr>
            </w:pPr>
            <w:r w:rsidRPr="00163470">
              <w:rPr>
                <w:rFonts w:eastAsiaTheme="minorEastAsia"/>
                <w:b/>
                <w:bCs/>
              </w:rPr>
              <w:t xml:space="preserve">Shifting Gears: Exploring the Right to Withdraw for Vehicle Leasing </w:t>
            </w:r>
          </w:p>
          <w:p w14:paraId="0B72EB17" w14:textId="77777777" w:rsidR="000D4953" w:rsidRPr="00163470" w:rsidRDefault="000D4953" w:rsidP="000D4953">
            <w:pPr>
              <w:rPr>
                <w:rFonts w:eastAsiaTheme="minorEastAsia"/>
              </w:rPr>
            </w:pPr>
            <w:r w:rsidRPr="00163470">
              <w:rPr>
                <w:rFonts w:eastAsiaTheme="minorEastAsia"/>
              </w:rPr>
              <w:t>The transition from ownership to usership is regarded by policymakers to render consumer choices more sustainable. This transition seems to be taking off, especially within the mobility sector. Consider, for example, leasing (without purchase obligation), where consumers no longer necessarily own vehicles but instead remain users of them. With the lease provider retaining ownership, there's an incentive to prolong the product’s life cycle through diligent maintenance and repairs. Especially because leasing (without purchase obligation) seems to gain momentum, it is important to consider its effect on consumers and their protection. The European Court of Justice has recently clarified the right to withdraw of consumers in the field of leasing and financing of vehicles.</w:t>
            </w:r>
            <w:r w:rsidRPr="00163470">
              <w:rPr>
                <w:rFonts w:eastAsiaTheme="minorEastAsia"/>
                <w:vertAlign w:val="superscript"/>
              </w:rPr>
              <w:footnoteReference w:id="1"/>
            </w:r>
            <w:r w:rsidRPr="00163470">
              <w:rPr>
                <w:rFonts w:eastAsiaTheme="minorEastAsia"/>
              </w:rPr>
              <w:t xml:space="preserve"> The Court confirms that the consumer of a credit in principle always has a right of withdrawal, while with a lease agreement without a purchase obligation, there is no right of withdrawal for the consumer under EU law, even if the agreement was concluded at a distance or away from commercial premises. This discrepancy in consumer protection, whereby the consumer of a lease (without purchase obligation) has no right of withdrawal at all compared to financing of vehicles, is not justified given the comparable position in which the consumer finds himself, i.e. a large financial obligation is entered into for a longer period of time. In this contribution I will examine the parallels between these contracts from a consumer perspective and the difference in the right of withdrawal in the current European legal framework and assess whether this discrepancy is justified and logical in general, but also considering the surge of the mobility transition as this could possibly be an obstacle for consumer protection. Additionally, I will propose solutions for the lack of the right of withdrawal in scenarios where ownership of a vehicle is not transferred, such as leasing.</w:t>
            </w:r>
          </w:p>
          <w:p w14:paraId="52B18E45" w14:textId="77777777" w:rsidR="000D4953" w:rsidRPr="00163470" w:rsidRDefault="000D4953" w:rsidP="000D4953">
            <w:pPr>
              <w:rPr>
                <w:rFonts w:eastAsiaTheme="minorEastAsia"/>
              </w:rPr>
            </w:pPr>
          </w:p>
        </w:tc>
      </w:tr>
      <w:tr w:rsidR="000D4953" w:rsidRPr="00163470" w14:paraId="44AD9B9B" w14:textId="77777777" w:rsidTr="00A64796">
        <w:tc>
          <w:tcPr>
            <w:tcW w:w="2683" w:type="dxa"/>
          </w:tcPr>
          <w:p w14:paraId="5CDA3756"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 xml:space="preserve">de Elizalde, Francisco, </w:t>
            </w:r>
          </w:p>
          <w:p w14:paraId="3A89B550" w14:textId="77777777" w:rsidR="000D4953" w:rsidRPr="00163470" w:rsidRDefault="000D4953" w:rsidP="000D4953">
            <w:pPr>
              <w:rPr>
                <w:rFonts w:eastAsiaTheme="minorEastAsia"/>
              </w:rPr>
            </w:pPr>
          </w:p>
          <w:p w14:paraId="4FFD7F8D" w14:textId="77777777" w:rsidR="000D4953" w:rsidRPr="00163470" w:rsidRDefault="000D4953" w:rsidP="000D4953">
            <w:pPr>
              <w:rPr>
                <w:rFonts w:eastAsiaTheme="minorEastAsia"/>
              </w:rPr>
            </w:pPr>
            <w:r w:rsidRPr="00163470">
              <w:rPr>
                <w:rFonts w:eastAsiaTheme="minorEastAsia"/>
              </w:rPr>
              <w:t xml:space="preserve">IE Law School, </w:t>
            </w:r>
          </w:p>
        </w:tc>
        <w:tc>
          <w:tcPr>
            <w:tcW w:w="11062" w:type="dxa"/>
          </w:tcPr>
          <w:p w14:paraId="4B13149F" w14:textId="77777777" w:rsidR="000D4953" w:rsidRPr="00163470" w:rsidRDefault="000D4953" w:rsidP="000D4953">
            <w:pPr>
              <w:rPr>
                <w:rFonts w:eastAsiaTheme="minorEastAsia"/>
              </w:rPr>
            </w:pPr>
            <w:r w:rsidRPr="00163470">
              <w:rPr>
                <w:rFonts w:eastAsiaTheme="minorEastAsia"/>
                <w:b/>
              </w:rPr>
              <w:t xml:space="preserve">Remedies for unfair terms in light of the general principles of EU law – an interpretation of the ECJ case law on banking and financial contracts </w:t>
            </w:r>
            <w:r w:rsidRPr="00163470">
              <w:rPr>
                <w:rFonts w:eastAsiaTheme="minorEastAsia"/>
              </w:rPr>
              <w:t xml:space="preserve"> </w:t>
            </w:r>
          </w:p>
          <w:p w14:paraId="360AEDC8" w14:textId="77777777" w:rsidR="000D4953" w:rsidRPr="00163470" w:rsidRDefault="000D4953" w:rsidP="000D4953">
            <w:pPr>
              <w:rPr>
                <w:rFonts w:eastAsiaTheme="minorEastAsia"/>
              </w:rPr>
            </w:pPr>
            <w:r w:rsidRPr="00163470">
              <w:rPr>
                <w:rFonts w:eastAsiaTheme="minorEastAsia"/>
              </w:rPr>
              <w:t xml:space="preserve">The presentation will provide an interpretation of the case law of the European Court of Justice (ECJ) on the consequences of unfair terms (Art 6(1) of Directive 93/13, on unfair terms in consumer contracts, UCTD). That case law has mostly developed in the context of banking and financial contracts, which could explain some of its outcomes. The UCTD has granted economic relief to indebted consumers and has intertwined with fundamental rights, including housing and the right to an effective remedy.  </w:t>
            </w:r>
          </w:p>
          <w:p w14:paraId="5C50D936" w14:textId="77777777" w:rsidR="000D4953" w:rsidRPr="00163470" w:rsidRDefault="000D4953" w:rsidP="000D4953">
            <w:pPr>
              <w:rPr>
                <w:rFonts w:eastAsiaTheme="minorEastAsia"/>
              </w:rPr>
            </w:pPr>
            <w:r w:rsidRPr="00163470">
              <w:rPr>
                <w:rFonts w:eastAsiaTheme="minorEastAsia"/>
              </w:rPr>
              <w:t xml:space="preserve">The case law of the ECJ on the UCTD has provoked changes in national private and procedural laws. It has expanded an autonomous concept of the remedies for unfair terms but with uncertain contours. National lawyers are confronted with new rules stemming from the ECJ’s interpretation, which contradict established notions under national private law. Overall, the case law on the UCTD has highlighted the complexities of the EU’s pluralistic, multilayered, legal system. </w:t>
            </w:r>
          </w:p>
          <w:p w14:paraId="24A9D85E" w14:textId="77777777" w:rsidR="000D4953" w:rsidRPr="00163470" w:rsidRDefault="000D4953" w:rsidP="000D4953">
            <w:pPr>
              <w:rPr>
                <w:rFonts w:eastAsiaTheme="minorEastAsia"/>
              </w:rPr>
            </w:pPr>
            <w:r w:rsidRPr="00163470">
              <w:rPr>
                <w:rFonts w:eastAsiaTheme="minorEastAsia"/>
              </w:rPr>
              <w:t xml:space="preserve">The presentation expects to find an explanation for seemingly contradictory ECJ judgments while engaging with inconsistent rulings. The working hypothesis is that the remedy for unfair terms is anchored in the general principles of EU law (including effectiveness, dissuasiveness, framed autonomy, weaker party protection, and legal certainty), even beyond those that are explicit in the ECJ’s decisions. It is claimed that those general principles explain the evolution of the remedy for unfair terms and its follow-on consequences. They could also bring light to the clashes between EU law and national private law in the application of the UCTD. </w:t>
            </w:r>
          </w:p>
          <w:p w14:paraId="22DE4945" w14:textId="77777777" w:rsidR="000D4953" w:rsidRPr="00163470" w:rsidRDefault="000D4953" w:rsidP="000D4953">
            <w:pPr>
              <w:rPr>
                <w:rFonts w:eastAsiaTheme="minorEastAsia"/>
              </w:rPr>
            </w:pPr>
          </w:p>
        </w:tc>
      </w:tr>
      <w:tr w:rsidR="000D4953" w:rsidRPr="00163470" w14:paraId="1AD8DC4B" w14:textId="77777777" w:rsidTr="00A64796">
        <w:tc>
          <w:tcPr>
            <w:tcW w:w="2683" w:type="dxa"/>
          </w:tcPr>
          <w:p w14:paraId="53376458"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lastRenderedPageBreak/>
              <w:t>Fejos</w:t>
            </w:r>
            <w:proofErr w:type="spellEnd"/>
            <w:r w:rsidRPr="00163470">
              <w:rPr>
                <w:rFonts w:asciiTheme="majorHAnsi" w:eastAsiaTheme="majorEastAsia" w:hAnsiTheme="majorHAnsi" w:cstheme="majorBidi"/>
                <w:color w:val="0F4761" w:themeColor="accent1" w:themeShade="BF"/>
                <w:sz w:val="32"/>
                <w:szCs w:val="32"/>
              </w:rPr>
              <w:t xml:space="preserve">, Andrea (Essex) and </w:t>
            </w:r>
            <w:proofErr w:type="spellStart"/>
            <w:r w:rsidRPr="00163470">
              <w:rPr>
                <w:rFonts w:asciiTheme="majorHAnsi" w:eastAsiaTheme="majorEastAsia" w:hAnsiTheme="majorHAnsi" w:cstheme="majorBidi"/>
                <w:color w:val="0F4761" w:themeColor="accent1" w:themeShade="BF"/>
                <w:sz w:val="32"/>
                <w:szCs w:val="32"/>
              </w:rPr>
              <w:t>Bonohr</w:t>
            </w:r>
            <w:proofErr w:type="spellEnd"/>
            <w:r w:rsidRPr="00163470">
              <w:rPr>
                <w:rFonts w:asciiTheme="majorHAnsi" w:eastAsiaTheme="majorEastAsia" w:hAnsiTheme="majorHAnsi" w:cstheme="majorBidi"/>
                <w:color w:val="0F4761" w:themeColor="accent1" w:themeShade="BF"/>
                <w:sz w:val="32"/>
                <w:szCs w:val="32"/>
              </w:rPr>
              <w:t>, Iris (Southampton)</w:t>
            </w:r>
          </w:p>
        </w:tc>
        <w:tc>
          <w:tcPr>
            <w:tcW w:w="11062" w:type="dxa"/>
          </w:tcPr>
          <w:p w14:paraId="0F117869" w14:textId="77777777" w:rsidR="000D4953" w:rsidRPr="00163470" w:rsidRDefault="000D4953" w:rsidP="000D4953">
            <w:pPr>
              <w:rPr>
                <w:rFonts w:eastAsiaTheme="minorEastAsia"/>
                <w:b/>
                <w:bCs/>
              </w:rPr>
            </w:pPr>
            <w:r w:rsidRPr="00163470">
              <w:rPr>
                <w:rFonts w:eastAsiaTheme="minorEastAsia"/>
                <w:b/>
                <w:bCs/>
              </w:rPr>
              <w:t>Basic bank accounts and financial inclusion in the EU</w:t>
            </w:r>
          </w:p>
          <w:p w14:paraId="2C4511F6" w14:textId="77777777" w:rsidR="000D4953" w:rsidRPr="00163470" w:rsidRDefault="000D4953" w:rsidP="000D4953">
            <w:pPr>
              <w:rPr>
                <w:rFonts w:eastAsiaTheme="minorEastAsia"/>
              </w:rPr>
            </w:pPr>
          </w:p>
          <w:p w14:paraId="70CEDE95" w14:textId="77777777" w:rsidR="000D4953" w:rsidRPr="00163470" w:rsidRDefault="000D4953" w:rsidP="000D4953">
            <w:pPr>
              <w:rPr>
                <w:rFonts w:eastAsiaTheme="minorEastAsia"/>
              </w:rPr>
            </w:pPr>
            <w:r w:rsidRPr="00163470">
              <w:rPr>
                <w:rFonts w:eastAsiaTheme="minorEastAsia"/>
              </w:rPr>
              <w:t xml:space="preserve">Financial inclusion, ensuring access to useful and affordable financial products and services for individuals regardless of their background or income, is considered a key enabler in promoting economic development and reduction of poverty (World Bank 2024; UK Government 2017). Access to payment accounts is the foundation for broader financial inclusion because it allows safe money storage, the execution of everyday payment transactions and access to other financial services, such as credit and insurance (World Bank 2024). </w:t>
            </w:r>
          </w:p>
          <w:p w14:paraId="4B3E00A0" w14:textId="77777777" w:rsidR="000D4953" w:rsidRPr="00163470" w:rsidRDefault="000D4953" w:rsidP="000D4953">
            <w:pPr>
              <w:rPr>
                <w:rFonts w:eastAsiaTheme="minorEastAsia"/>
              </w:rPr>
            </w:pPr>
          </w:p>
          <w:p w14:paraId="24AAD5C4" w14:textId="77777777" w:rsidR="000D4953" w:rsidRPr="00163470" w:rsidRDefault="000D4953" w:rsidP="000D4953">
            <w:pPr>
              <w:rPr>
                <w:rFonts w:eastAsiaTheme="minorEastAsia"/>
              </w:rPr>
            </w:pPr>
            <w:r w:rsidRPr="00163470">
              <w:rPr>
                <w:rFonts w:eastAsiaTheme="minorEastAsia"/>
              </w:rPr>
              <w:t xml:space="preserve">The EU’s Directive 2014/92/EU on access to payment accounts is guided by the rationale that the universal provision of payment accounts with at least basic features is necessary for the smooth functioning of the internal market and the development of a socially inclusive economy. The Directive thus establishes the right to access payment accounts. However, recent studies revealed that a decade later many consumers are unable to access these basic accounts (e.g., European Commission Report on Payment Accounts (2023), Finance Watch (forthcoming), due to high bank account fees, excessive document requirements, as well as insufficient marketing and awareness of these accounts. The paper argues that banks have a social role in society to contribute to a more inclusive financial services system, a crucial part of which is the provision of basic bank accounts to vulnerable consumers. </w:t>
            </w:r>
          </w:p>
          <w:p w14:paraId="48D7794C" w14:textId="77777777" w:rsidR="000D4953" w:rsidRPr="00163470" w:rsidRDefault="000D4953" w:rsidP="000D4953">
            <w:pPr>
              <w:rPr>
                <w:rFonts w:eastAsiaTheme="minorEastAsia"/>
              </w:rPr>
            </w:pPr>
          </w:p>
          <w:p w14:paraId="0D554230" w14:textId="77777777" w:rsidR="000D4953" w:rsidRPr="00163470" w:rsidRDefault="000D4953" w:rsidP="000D4953">
            <w:pPr>
              <w:rPr>
                <w:rFonts w:eastAsiaTheme="minorEastAsia"/>
              </w:rPr>
            </w:pPr>
            <w:r w:rsidRPr="00163470">
              <w:rPr>
                <w:rFonts w:eastAsiaTheme="minorEastAsia"/>
              </w:rPr>
              <w:t xml:space="preserve">The paper provides a detailed account of the theoretical framework for the social role of banks, placing it in the broader discussion of international principles, the digital vulnerability of financial users and the role of economic, social and governance (ESG) values in financial consumer protection. It starts by assessing the concept of basic bank accounts, outlining their essential features and significance in fostering financial inclusion and economic empowerment, particularly for marginalised individuals. Then it examines international guidelines and EU rules, assessing their effectiveness and limitations in promoting financial inclusion. It explores new avenues that might facilitate access to financial services, such as virtual bank accounts and best practices that could promote financial inclusion. The paper concludes with concrete recommendations for regulatory reforms and best practices responsive to the financial inclusion needs of vulnerable EU consumers. </w:t>
            </w:r>
          </w:p>
        </w:tc>
      </w:tr>
      <w:tr w:rsidR="000D4953" w:rsidRPr="00163470" w14:paraId="4D2B11AB" w14:textId="77777777" w:rsidTr="00A64796">
        <w:tc>
          <w:tcPr>
            <w:tcW w:w="2683" w:type="dxa"/>
          </w:tcPr>
          <w:p w14:paraId="0C87ED36"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lang w:bidi="hr-HR"/>
              </w:rPr>
            </w:pPr>
            <w:r w:rsidRPr="00163470">
              <w:rPr>
                <w:rFonts w:asciiTheme="majorHAnsi" w:eastAsiaTheme="majorEastAsia" w:hAnsiTheme="majorHAnsi" w:cstheme="majorBidi"/>
                <w:b/>
                <w:color w:val="0F4761" w:themeColor="accent1" w:themeShade="BF"/>
                <w:sz w:val="32"/>
                <w:szCs w:val="32"/>
                <w:lang w:bidi="hr-HR"/>
              </w:rPr>
              <w:lastRenderedPageBreak/>
              <w:t xml:space="preserve">Piotr </w:t>
            </w:r>
            <w:proofErr w:type="spellStart"/>
            <w:r w:rsidRPr="00163470">
              <w:rPr>
                <w:rFonts w:asciiTheme="majorHAnsi" w:eastAsiaTheme="majorEastAsia" w:hAnsiTheme="majorHAnsi" w:cstheme="majorBidi"/>
                <w:b/>
                <w:color w:val="0F4761" w:themeColor="accent1" w:themeShade="BF"/>
                <w:sz w:val="32"/>
                <w:szCs w:val="32"/>
                <w:lang w:bidi="hr-HR"/>
              </w:rPr>
              <w:t>Tereszkiewicz</w:t>
            </w:r>
            <w:proofErr w:type="spellEnd"/>
            <w:r w:rsidRPr="00163470">
              <w:rPr>
                <w:rFonts w:asciiTheme="majorHAnsi" w:eastAsiaTheme="majorEastAsia" w:hAnsiTheme="majorHAnsi" w:cstheme="majorBidi"/>
                <w:color w:val="0F4761" w:themeColor="accent1" w:themeShade="BF"/>
                <w:sz w:val="32"/>
                <w:szCs w:val="32"/>
                <w:lang w:bidi="hr-HR"/>
              </w:rPr>
              <w:t xml:space="preserve">, </w:t>
            </w:r>
          </w:p>
          <w:p w14:paraId="55A3DA6D"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lang w:bidi="hr-HR"/>
              </w:rPr>
            </w:pPr>
            <w:r w:rsidRPr="00163470">
              <w:rPr>
                <w:rFonts w:asciiTheme="majorHAnsi" w:eastAsiaTheme="majorEastAsia" w:hAnsiTheme="majorHAnsi" w:cstheme="majorBidi"/>
                <w:b/>
                <w:color w:val="0F4761" w:themeColor="accent1" w:themeShade="BF"/>
                <w:sz w:val="32"/>
                <w:szCs w:val="32"/>
                <w:lang w:bidi="hr-HR"/>
              </w:rPr>
              <w:t xml:space="preserve">Emilia </w:t>
            </w:r>
            <w:proofErr w:type="spellStart"/>
            <w:r w:rsidRPr="00163470">
              <w:rPr>
                <w:rFonts w:asciiTheme="majorHAnsi" w:eastAsiaTheme="majorEastAsia" w:hAnsiTheme="majorHAnsi" w:cstheme="majorBidi"/>
                <w:b/>
                <w:color w:val="0F4761" w:themeColor="accent1" w:themeShade="BF"/>
                <w:sz w:val="32"/>
                <w:szCs w:val="32"/>
                <w:lang w:bidi="hr-HR"/>
              </w:rPr>
              <w:t>Mišćenić</w:t>
            </w:r>
            <w:proofErr w:type="spellEnd"/>
            <w:r w:rsidRPr="00163470">
              <w:rPr>
                <w:rFonts w:asciiTheme="majorHAnsi" w:eastAsiaTheme="majorEastAsia" w:hAnsiTheme="majorHAnsi" w:cstheme="majorBidi"/>
                <w:color w:val="0F4761" w:themeColor="accent1" w:themeShade="BF"/>
                <w:sz w:val="32"/>
                <w:szCs w:val="32"/>
                <w:lang w:bidi="hr-HR"/>
              </w:rPr>
              <w:t xml:space="preserve">, </w:t>
            </w:r>
          </w:p>
          <w:p w14:paraId="09FF6F14"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lang w:bidi="hr-HR"/>
              </w:rPr>
            </w:pPr>
            <w:r w:rsidRPr="00163470">
              <w:rPr>
                <w:rFonts w:asciiTheme="majorHAnsi" w:eastAsiaTheme="majorEastAsia" w:hAnsiTheme="majorHAnsi" w:cstheme="majorBidi"/>
                <w:b/>
                <w:color w:val="0F4761" w:themeColor="accent1" w:themeShade="BF"/>
                <w:sz w:val="32"/>
                <w:szCs w:val="32"/>
                <w:lang w:bidi="hr-HR"/>
              </w:rPr>
              <w:t>Marta Infantino</w:t>
            </w:r>
            <w:r w:rsidRPr="00163470">
              <w:rPr>
                <w:rFonts w:asciiTheme="majorHAnsi" w:eastAsiaTheme="majorEastAsia" w:hAnsiTheme="majorHAnsi" w:cstheme="majorBidi"/>
                <w:color w:val="0F4761" w:themeColor="accent1" w:themeShade="BF"/>
                <w:sz w:val="32"/>
                <w:szCs w:val="32"/>
                <w:lang w:bidi="hr-HR"/>
              </w:rPr>
              <w:t xml:space="preserve">, </w:t>
            </w:r>
          </w:p>
          <w:p w14:paraId="2754FFD3"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062" w:type="dxa"/>
          </w:tcPr>
          <w:p w14:paraId="02E705EB" w14:textId="77777777" w:rsidR="000D4953" w:rsidRPr="00163470" w:rsidRDefault="000D4953" w:rsidP="000D4953">
            <w:pPr>
              <w:rPr>
                <w:rFonts w:eastAsiaTheme="minorEastAsia"/>
                <w:lang w:bidi="hr-HR"/>
              </w:rPr>
            </w:pPr>
            <w:r w:rsidRPr="00163470">
              <w:rPr>
                <w:rFonts w:eastAsiaTheme="minorEastAsia"/>
                <w:b/>
                <w:lang w:bidi="hr-HR"/>
              </w:rPr>
              <w:t xml:space="preserve"> </w:t>
            </w:r>
            <w:r w:rsidRPr="00163470">
              <w:rPr>
                <w:rFonts w:eastAsiaTheme="minorEastAsia"/>
                <w:b/>
                <w:i/>
                <w:lang w:bidi="hr-HR"/>
              </w:rPr>
              <w:t>Consumers in Insurance 4.0: Is Digitalization Making Consumers More or Less Vulnerable?</w:t>
            </w:r>
            <w:r w:rsidRPr="00163470">
              <w:rPr>
                <w:rFonts w:eastAsiaTheme="minorEastAsia"/>
                <w:b/>
                <w:lang w:bidi="hr-HR"/>
              </w:rPr>
              <w:t xml:space="preserve"> </w:t>
            </w:r>
          </w:p>
          <w:p w14:paraId="73DAA7B0" w14:textId="77777777" w:rsidR="000D4953" w:rsidRPr="00163470" w:rsidRDefault="000D4953" w:rsidP="000D4953">
            <w:pPr>
              <w:rPr>
                <w:rFonts w:eastAsiaTheme="minorEastAsia"/>
                <w:lang w:bidi="hr-HR"/>
              </w:rPr>
            </w:pPr>
            <w:r w:rsidRPr="00163470">
              <w:rPr>
                <w:rFonts w:eastAsiaTheme="minorEastAsia"/>
                <w:b/>
                <w:lang w:bidi="hr-HR"/>
              </w:rPr>
              <w:t xml:space="preserve">Abstract: </w:t>
            </w:r>
            <w:r w:rsidRPr="00163470">
              <w:rPr>
                <w:rFonts w:eastAsiaTheme="minorEastAsia"/>
                <w:lang w:bidi="hr-HR"/>
              </w:rPr>
              <w:t xml:space="preserve">In recent years, developments in computing, information and communication technologies have radically changed the business models of established insurance companies and set unprecedented trends for the emergence and development of new market players. The improved availability of granular data and the increasing sophistication of data collection and processing, including through AI, have facilitated the increasing automation and mass customization of products and services, as well as the gradual shift of insurance products into the digital sphere. The modern insurance industry therefore also includes, in Europe as elsewhere, digitally active market operators (insurance companies, but also intermediaries) and the use of all kinds of technological innovations in the sector. At the same time, the needs and expectations of individual consumers have also changed. Consumers expect a flexible range of services, including the ability to select products via comparison websites or to conclude, execute, amend and terminate contracts using online solutions. When analysing the position and protection of the consumer in the insurance market in the 21st century, key issues such as the conclusion of insurance contracts at a distance, the automation of underwriting procedures and the fairness of online mechanisms for price determination and claim management, need to be reassessed to see whether an adequate level of consumer protection is ensured. How transparent, clear and comprehensible, plain and intelligible are the terms and conditions that are accepted by ticking a box when concluding an online insurance? To what extent does financial and digital literacy affect the contractual position of insurance consumers? Is the will of the insured party really autonomous and free if it is guided by possibly unfair digital techniques such as black patterns, profiling, manipulative web designs? The aim of this paper is therefore to investigate whether current and prospective policyholders, instead of becoming better protected, are actually becoming more vulnerable and at risk in digitally concluded insurance contracts under EU consumer law. </w:t>
            </w:r>
            <w:r w:rsidRPr="00163470">
              <w:rPr>
                <w:rFonts w:eastAsiaTheme="minorEastAsia"/>
                <w:b/>
                <w:lang w:bidi="hr-HR"/>
              </w:rPr>
              <w:t xml:space="preserve"> </w:t>
            </w:r>
          </w:p>
          <w:p w14:paraId="2660084C" w14:textId="77777777" w:rsidR="000D4953" w:rsidRPr="00163470" w:rsidRDefault="000D4953" w:rsidP="000D4953">
            <w:pPr>
              <w:rPr>
                <w:rFonts w:eastAsiaTheme="minorEastAsia"/>
              </w:rPr>
            </w:pPr>
          </w:p>
        </w:tc>
      </w:tr>
      <w:tr w:rsidR="000D4953" w:rsidRPr="00163470" w14:paraId="6ECFF7B2" w14:textId="77777777" w:rsidTr="00A64796">
        <w:tc>
          <w:tcPr>
            <w:tcW w:w="2683" w:type="dxa"/>
          </w:tcPr>
          <w:p w14:paraId="0851A098"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Lynch Shally, Karen</w:t>
            </w:r>
          </w:p>
        </w:tc>
        <w:tc>
          <w:tcPr>
            <w:tcW w:w="11062" w:type="dxa"/>
          </w:tcPr>
          <w:p w14:paraId="3E8AA808" w14:textId="77777777" w:rsidR="000D4953" w:rsidRPr="00163470" w:rsidRDefault="000D4953" w:rsidP="000D4953">
            <w:pPr>
              <w:keepLines/>
              <w:widowControl w:val="0"/>
              <w:rPr>
                <w:rFonts w:eastAsiaTheme="minorEastAsia"/>
              </w:rPr>
            </w:pPr>
            <w:r w:rsidRPr="00163470">
              <w:rPr>
                <w:rFonts w:eastAsiaTheme="minorEastAsia"/>
                <w:b/>
              </w:rPr>
              <w:t xml:space="preserve">The Evolution of Consumer Protection in Irish Financial Services – Regulatory Fragmentation, Coherence and the Chameleon Consumer </w:t>
            </w:r>
          </w:p>
          <w:p w14:paraId="685D1950" w14:textId="2E797FE4" w:rsidR="000D4953" w:rsidRPr="00163470" w:rsidRDefault="000D4953" w:rsidP="000D4953">
            <w:pPr>
              <w:keepLines/>
              <w:widowControl w:val="0"/>
              <w:rPr>
                <w:rFonts w:eastAsiaTheme="minorEastAsia"/>
              </w:rPr>
            </w:pPr>
            <w:r w:rsidRPr="00163470">
              <w:rPr>
                <w:rFonts w:eastAsiaTheme="minorEastAsia"/>
              </w:rPr>
              <w:lastRenderedPageBreak/>
              <w:t>In the 21</w:t>
            </w:r>
            <w:r w:rsidRPr="00163470">
              <w:rPr>
                <w:rFonts w:eastAsiaTheme="minorEastAsia"/>
                <w:vertAlign w:val="superscript"/>
              </w:rPr>
              <w:t>st</w:t>
            </w:r>
            <w:r w:rsidRPr="00163470">
              <w:rPr>
                <w:rFonts w:eastAsiaTheme="minorEastAsia"/>
              </w:rPr>
              <w:t xml:space="preserve"> century, one of the notable characteristics of consumer protection in financial services is its increased scope and structural complexity. This is reflective of a bifurcation of regulatory competence on a vertical and horizontal basis. Accordingly, consumer </w:t>
            </w:r>
            <w:r w:rsidR="00163470" w:rsidRPr="00163470">
              <w:rPr>
                <w:rFonts w:eastAsiaTheme="minorEastAsia"/>
              </w:rPr>
              <w:t>protection</w:t>
            </w:r>
            <w:r w:rsidR="00163470">
              <w:rPr>
                <w:rFonts w:eastAsiaTheme="minorEastAsia"/>
              </w:rPr>
              <w:t>-oriented</w:t>
            </w:r>
            <w:r w:rsidRPr="00163470">
              <w:rPr>
                <w:rFonts w:eastAsiaTheme="minorEastAsia"/>
              </w:rPr>
              <w:t xml:space="preserve"> conduct of business requirements may emanate both from legislatures and public bodies with delegated normative competence, whilst enforcement functions may be dispersed between bodies with differential consumer protection orientations. This is certainly true of the Irish framework and the respective standard setting roles of the national and EU legislature and the Central Bank of Ireland, and the enforcement functions of the latter alongside those of the Competition and Consumer Protection Commission (CCPC). </w:t>
            </w:r>
          </w:p>
          <w:p w14:paraId="56A10D2B" w14:textId="4EBA3A23" w:rsidR="000D4953" w:rsidRPr="00163470" w:rsidRDefault="000D4953" w:rsidP="000D4953">
            <w:pPr>
              <w:keepLines/>
              <w:widowControl w:val="0"/>
              <w:rPr>
                <w:rFonts w:eastAsiaTheme="minorEastAsia"/>
              </w:rPr>
            </w:pPr>
            <w:r w:rsidRPr="00163470">
              <w:rPr>
                <w:rFonts w:eastAsiaTheme="minorEastAsia"/>
              </w:rPr>
              <w:t xml:space="preserve">The current competence of the Central Bank and the centrality of consumer protection as a supervisory policy priority are developments which are inextricably linked to the recognition through the financial crisis of the systemic import of conduct of business in retail financial services. Notwithstanding, longstanding instrumentalization of consumer protection within EU Single Market policy, heightened awareness of its systemic stability potential provided a catalyst to an enhancement of the Central Banks role within developing national policy framed by idiosyncratic consumer protection concerns. Ultimately this has resulted in an expansion of the national consumer protection framework beyond the imprint of EU law, </w:t>
            </w:r>
            <w:r w:rsidR="00163470" w:rsidRPr="00163470">
              <w:rPr>
                <w:rFonts w:eastAsiaTheme="minorEastAsia"/>
              </w:rPr>
              <w:t>a point</w:t>
            </w:r>
            <w:r w:rsidRPr="00163470">
              <w:rPr>
                <w:rFonts w:eastAsiaTheme="minorEastAsia"/>
              </w:rPr>
              <w:t xml:space="preserve"> which was illuminated by the recent national transposition of the EU representative redress action.  </w:t>
            </w:r>
          </w:p>
          <w:p w14:paraId="7B83152A" w14:textId="77777777" w:rsidR="000D4953" w:rsidRPr="00163470" w:rsidRDefault="000D4953" w:rsidP="000D4953">
            <w:pPr>
              <w:keepLines/>
              <w:widowControl w:val="0"/>
              <w:rPr>
                <w:rFonts w:eastAsiaTheme="minorEastAsia"/>
              </w:rPr>
            </w:pPr>
            <w:r w:rsidRPr="00163470">
              <w:rPr>
                <w:rFonts w:eastAsiaTheme="minorEastAsia"/>
              </w:rPr>
              <w:lastRenderedPageBreak/>
              <w:t xml:space="preserve">Notwithstanding the universality of ‘consumer protection’ as an objective underpinning all aspects of the national framework, it is clear that the Central Banks market mandate and regulatory focus is inherently broader than the regulatory frame of reference embedded in national legislation derived from EU consumer policy. This paper argues that the development of the Central Banks role and the hybridity of national regulation raise questions of systemic coherence and legal certainty which need to be addressed, in particular, with reference to forthcoming changes in the legal status of Central Bank codes. One clear manifestation of the current regulatory complexity is the differential ‘consumer’ concept within the respective EU derived and national regimes. Notwithstanding some tension in judicial application, the statutory definition derived from EU law is at least consistent in its legislative framing, an observation which is not true of the definition within the national supervisory regime. The broadening of scope of the latter, whilst consistent with G20/OECD principles, nonetheless, raises increasing questions of coherence and clarity in respect of the national framework, and ultimately, the question of whether it is time for a reconsideration and realignment of the ‘consumer’ and of the scope of consumer protection in financial services. </w:t>
            </w:r>
          </w:p>
        </w:tc>
      </w:tr>
      <w:tr w:rsidR="000D4953" w:rsidRPr="00163470" w14:paraId="15517D21" w14:textId="77777777" w:rsidTr="00A64796">
        <w:tc>
          <w:tcPr>
            <w:tcW w:w="2683" w:type="dxa"/>
          </w:tcPr>
          <w:p w14:paraId="3B5E6937"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Stanescu, Catalin, University of Southern Denmark</w:t>
            </w:r>
          </w:p>
          <w:p w14:paraId="2FF73F12" w14:textId="77777777" w:rsidR="000D4953" w:rsidRPr="00163470" w:rsidRDefault="000D4953" w:rsidP="000D4953">
            <w:pPr>
              <w:keepLines/>
              <w:widowControl w:val="0"/>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t>Kepinski</w:t>
            </w:r>
            <w:proofErr w:type="spellEnd"/>
            <w:r w:rsidRPr="00163470">
              <w:rPr>
                <w:rFonts w:asciiTheme="majorHAnsi" w:eastAsiaTheme="majorEastAsia" w:hAnsiTheme="majorHAnsi" w:cstheme="majorBidi"/>
                <w:color w:val="0F4761" w:themeColor="accent1" w:themeShade="BF"/>
                <w:sz w:val="32"/>
                <w:szCs w:val="32"/>
              </w:rPr>
              <w:t>, Jakub (University of Poznan)</w:t>
            </w:r>
          </w:p>
        </w:tc>
        <w:tc>
          <w:tcPr>
            <w:tcW w:w="11062" w:type="dxa"/>
          </w:tcPr>
          <w:p w14:paraId="3B3B5215" w14:textId="77777777" w:rsidR="000D4953" w:rsidRPr="00163470" w:rsidRDefault="000D4953" w:rsidP="000D4953">
            <w:pPr>
              <w:keepLines/>
              <w:widowControl w:val="0"/>
              <w:rPr>
                <w:rFonts w:eastAsiaTheme="minorEastAsia"/>
                <w:b/>
                <w:bCs/>
              </w:rPr>
            </w:pPr>
            <w:r w:rsidRPr="00163470">
              <w:rPr>
                <w:rFonts w:eastAsiaTheme="minorEastAsia"/>
                <w:b/>
                <w:bCs/>
              </w:rPr>
              <w:t xml:space="preserve">The Role of Codes of Conduct in Regulating Abusive Debt Collection: </w:t>
            </w:r>
            <w:r w:rsidRPr="00163470">
              <w:rPr>
                <w:rFonts w:eastAsiaTheme="minorEastAsia"/>
                <w:i/>
                <w:iCs/>
              </w:rPr>
              <w:t>Evidence from FENCA Members</w:t>
            </w:r>
          </w:p>
          <w:p w14:paraId="6DC8C079" w14:textId="77777777" w:rsidR="000D4953" w:rsidRPr="00163470" w:rsidRDefault="000D4953" w:rsidP="000D4953">
            <w:pPr>
              <w:keepLines/>
              <w:widowControl w:val="0"/>
              <w:rPr>
                <w:rFonts w:eastAsiaTheme="minorEastAsia"/>
              </w:rPr>
            </w:pPr>
          </w:p>
          <w:p w14:paraId="498CE1C9" w14:textId="77777777" w:rsidR="000D4953" w:rsidRPr="00163470" w:rsidRDefault="000D4953" w:rsidP="000D4953">
            <w:pPr>
              <w:keepLines/>
              <w:widowControl w:val="0"/>
              <w:rPr>
                <w:rFonts w:eastAsiaTheme="minorEastAsia"/>
              </w:rPr>
            </w:pPr>
            <w:r w:rsidRPr="00163470">
              <w:rPr>
                <w:rFonts w:eastAsiaTheme="minorEastAsia"/>
              </w:rPr>
              <w:t xml:space="preserve">The proposed article aims to assess the effectiveness of the Codes of Conduct of the debt collectors' associations affiliated with the Federation of European National Collection Associations (FENCA). The evaluation will focus on whether and how these Codes of Conduct improve consumer protection against abusive debt collection practices at the national or Union level. </w:t>
            </w:r>
          </w:p>
          <w:p w14:paraId="3CBEB15D" w14:textId="77777777" w:rsidR="000D4953" w:rsidRPr="00163470" w:rsidRDefault="000D4953" w:rsidP="000D4953">
            <w:pPr>
              <w:keepLines/>
              <w:widowControl w:val="0"/>
              <w:rPr>
                <w:rFonts w:eastAsiaTheme="minorEastAsia"/>
              </w:rPr>
            </w:pPr>
            <w:r w:rsidRPr="00163470">
              <w:rPr>
                <w:rFonts w:eastAsiaTheme="minorEastAsia"/>
              </w:rPr>
              <w:t xml:space="preserve">The Unfair Commercial Practices Directive encourages the development of (EU-wide) industry codes. In theory, these could help to harmonise commercial practices as long as they are widely and publicly endorsed by the European Commission, rigorously enforced by the code proponents and public authorities, play a significant part in concretising the UCPD's general provisions, and are drafted in cooperation with consumer organisations. However, the CJEU held in </w:t>
            </w:r>
            <w:r w:rsidRPr="00163470">
              <w:rPr>
                <w:rFonts w:eastAsiaTheme="minorEastAsia"/>
                <w:i/>
                <w:iCs/>
              </w:rPr>
              <w:t xml:space="preserve">Bankia SA v Merino and others </w:t>
            </w:r>
            <w:r w:rsidRPr="00163470">
              <w:rPr>
                <w:rFonts w:eastAsiaTheme="minorEastAsia"/>
              </w:rPr>
              <w:t>(C-109/17) that the UCPD does not require Member States to make industry codes of conduct legally enforceable, undermining their effectiveness.</w:t>
            </w:r>
          </w:p>
          <w:p w14:paraId="7AA7125A" w14:textId="65540FCD" w:rsidR="000D4953" w:rsidRPr="00163470" w:rsidRDefault="000D4953" w:rsidP="000D4953">
            <w:pPr>
              <w:keepLines/>
              <w:widowControl w:val="0"/>
              <w:rPr>
                <w:rFonts w:eastAsiaTheme="minorEastAsia"/>
              </w:rPr>
            </w:pPr>
            <w:r w:rsidRPr="00163470">
              <w:rPr>
                <w:rFonts w:eastAsiaTheme="minorEastAsia"/>
              </w:rPr>
              <w:lastRenderedPageBreak/>
              <w:t>To test whether and how these codes work in practice, we take several steps. Firstly, we collect the Codes of Conduct of debt collectors' associations in the European Union, at both union and national levels and set up a database for a black-letter law analysis. Then, we use specialised software (NVivo) to code and group all codes' provisions on several major themes, such as personnel selection, banned practices, and enforcement, to conduct an initial qualitative analysis. Thirdly, we verify the codes' practical application and potential impact on consumer protection by corroborating our findings with data from debt collectors' associations, public authorities, supervising bodies, and courts, adding an empirical dimension. Finally, we juxtapose our findings with the debt collector</w:t>
            </w:r>
            <w:r w:rsidR="00163470">
              <w:rPr>
                <w:rFonts w:eastAsiaTheme="minorEastAsia"/>
              </w:rPr>
              <w:t>s</w:t>
            </w:r>
            <w:r w:rsidRPr="00163470">
              <w:rPr>
                <w:rFonts w:eastAsiaTheme="minorEastAsia"/>
              </w:rPr>
              <w:t xml:space="preserve"> associations' own self-evaluations to measure the Codes of Conduct roles and adequacy in curbing abusive debt collection practices and make several policy recommendations.</w:t>
            </w:r>
          </w:p>
          <w:p w14:paraId="7677F12A" w14:textId="77777777" w:rsidR="000D4953" w:rsidRPr="00163470" w:rsidRDefault="000D4953" w:rsidP="000D4953">
            <w:pPr>
              <w:keepLines/>
              <w:widowControl w:val="0"/>
              <w:rPr>
                <w:rFonts w:eastAsiaTheme="minorEastAsia"/>
              </w:rPr>
            </w:pPr>
          </w:p>
          <w:p w14:paraId="726BDCCE" w14:textId="77777777" w:rsidR="000D4953" w:rsidRPr="00163470" w:rsidRDefault="000D4953" w:rsidP="000D4953">
            <w:pPr>
              <w:keepLines/>
              <w:widowControl w:val="0"/>
              <w:rPr>
                <w:rFonts w:eastAsiaTheme="minorEastAsia"/>
              </w:rPr>
            </w:pPr>
            <w:r w:rsidRPr="00163470">
              <w:rPr>
                <w:rFonts w:eastAsiaTheme="minorEastAsia"/>
              </w:rPr>
              <w:t>Thus, the article will provide a comprehensive and concrete understanding of the impact of self-regulatory practices in the EU, with a specific focus on the often-overlooked debt-collection industry.</w:t>
            </w:r>
          </w:p>
          <w:p w14:paraId="2F02B11D" w14:textId="77777777" w:rsidR="000D4953" w:rsidRPr="00163470" w:rsidRDefault="000D4953" w:rsidP="000D4953">
            <w:pPr>
              <w:keepLines/>
              <w:widowControl w:val="0"/>
              <w:rPr>
                <w:rFonts w:eastAsiaTheme="minorEastAsia"/>
              </w:rPr>
            </w:pPr>
          </w:p>
        </w:tc>
      </w:tr>
      <w:tr w:rsidR="000D4953" w:rsidRPr="00163470" w14:paraId="22FD5072" w14:textId="77777777" w:rsidTr="00A64796">
        <w:tc>
          <w:tcPr>
            <w:tcW w:w="2683" w:type="dxa"/>
          </w:tcPr>
          <w:p w14:paraId="723A1B6D"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lastRenderedPageBreak/>
              <w:t>Georgosouli</w:t>
            </w:r>
            <w:proofErr w:type="spellEnd"/>
            <w:r w:rsidRPr="00163470">
              <w:rPr>
                <w:rFonts w:asciiTheme="majorHAnsi" w:eastAsiaTheme="majorEastAsia" w:hAnsiTheme="majorHAnsi" w:cstheme="majorBidi"/>
                <w:color w:val="0F4761" w:themeColor="accent1" w:themeShade="BF"/>
                <w:sz w:val="32"/>
                <w:szCs w:val="32"/>
              </w:rPr>
              <w:t>, Andromachi,</w:t>
            </w:r>
          </w:p>
          <w:p w14:paraId="3A3B0688" w14:textId="77777777" w:rsidR="000D4953" w:rsidRPr="00163470" w:rsidRDefault="000D4953" w:rsidP="000D4953">
            <w:pPr>
              <w:rPr>
                <w:rFonts w:eastAsiaTheme="minorEastAsia"/>
              </w:rPr>
            </w:pPr>
            <w:r w:rsidRPr="00163470">
              <w:rPr>
                <w:rFonts w:eastAsiaTheme="minorEastAsia"/>
              </w:rPr>
              <w:t xml:space="preserve">Reader in Financial Law and Regulation, CCLS, School of Law, QMUL </w:t>
            </w:r>
          </w:p>
          <w:p w14:paraId="05765279" w14:textId="77777777" w:rsidR="000D4953" w:rsidRPr="00163470" w:rsidRDefault="000D4953" w:rsidP="000D4953">
            <w:pPr>
              <w:rPr>
                <w:rFonts w:eastAsiaTheme="minorEastAsia"/>
              </w:rPr>
            </w:pPr>
          </w:p>
        </w:tc>
        <w:tc>
          <w:tcPr>
            <w:tcW w:w="11062" w:type="dxa"/>
          </w:tcPr>
          <w:p w14:paraId="27468EE0" w14:textId="77777777" w:rsidR="000D4953" w:rsidRPr="00163470" w:rsidRDefault="000D4953" w:rsidP="000D4953">
            <w:pPr>
              <w:rPr>
                <w:rFonts w:eastAsiaTheme="minorEastAsia"/>
              </w:rPr>
            </w:pPr>
            <w:r w:rsidRPr="00163470">
              <w:rPr>
                <w:rFonts w:eastAsiaTheme="minorEastAsia"/>
                <w:b/>
              </w:rPr>
              <w:t>Title</w:t>
            </w:r>
            <w:r w:rsidRPr="00163470">
              <w:rPr>
                <w:rFonts w:eastAsiaTheme="minorEastAsia"/>
              </w:rPr>
              <w:t xml:space="preserve">: ‘Inclusion, resilience and the protection of financial consumers in the UK’ </w:t>
            </w:r>
          </w:p>
          <w:p w14:paraId="58E3F393" w14:textId="77777777" w:rsidR="000D4953" w:rsidRPr="00163470" w:rsidRDefault="000D4953" w:rsidP="000D4953">
            <w:pPr>
              <w:rPr>
                <w:rFonts w:eastAsiaTheme="minorEastAsia"/>
              </w:rPr>
            </w:pPr>
            <w:r w:rsidRPr="00163470">
              <w:rPr>
                <w:rFonts w:eastAsiaTheme="minorEastAsia"/>
                <w:b/>
              </w:rPr>
              <w:t xml:space="preserve"> </w:t>
            </w:r>
          </w:p>
          <w:p w14:paraId="3C044431" w14:textId="77777777" w:rsidR="000D4953" w:rsidRPr="00163470" w:rsidRDefault="000D4953" w:rsidP="000D4953">
            <w:pPr>
              <w:rPr>
                <w:rFonts w:eastAsiaTheme="minorEastAsia"/>
              </w:rPr>
            </w:pPr>
            <w:r w:rsidRPr="00163470">
              <w:rPr>
                <w:rFonts w:eastAsiaTheme="minorEastAsia"/>
                <w:b/>
              </w:rPr>
              <w:t>Abstract</w:t>
            </w:r>
            <w:r w:rsidRPr="00163470">
              <w:rPr>
                <w:rFonts w:eastAsiaTheme="minorEastAsia"/>
              </w:rPr>
              <w:t>: We are all financial consumers in one way or another. We purchase loans, mortgages, and pension plans, and we enter into insurance contracts. We open up savings accounts, use credit cards to make payments and a good number of us engage in securities trading as investors. All these financial transactions are currently subject to regulation which is meant to protect us from certain types of risk -for instance, the risk of being misled due to our limited bargaining power as consumers compared to our contractual counterparties. The regulation of financial consumer protection is not static. It evolves over-time as it is clearly evident from its ever-expanding scope, aims and nuance. My aim in this paper is to offer a critical overview of the present state and future development of financial consumer protection in the UK focusing in particular on two emerging themes: financial inclusion and consumer resilience. My analysis is animated by two major milestones: The status of the UK as a ‘third country’ vis a vis the EU namely a jurisdiction which several of the UK consumer protection requirements originate from; and the fact that for the first time in the statutory history of the Financial Services and Markets Act 2000, we see international competitiveness and economic growth to figure amongst the statutory objectives of financial regulators.</w:t>
            </w:r>
            <w:r w:rsidRPr="00163470">
              <w:rPr>
                <w:rFonts w:eastAsiaTheme="minorEastAsia"/>
                <w:vertAlign w:val="superscript"/>
              </w:rPr>
              <w:t xml:space="preserve"> </w:t>
            </w:r>
            <w:r w:rsidRPr="00163470">
              <w:rPr>
                <w:rFonts w:eastAsiaTheme="minorEastAsia"/>
              </w:rPr>
              <w:t xml:space="preserve">Taken together, these developments suggest that financial consumer protection is at a crossroads and that, as a result, the hard-won albeit imperfect protections that are currently afforded to consumers of financial products and services should not be taken for granted. The purpose of the critical overview is not to provide definite answers to long-standing questions on financial consumer protection; but rather to explain why relevant debates still matter to us, and to map how they are likely to inform the regulation of the retail financial sector in the future. Consequently, a further aim of my analysis is to organise the discussion in a way that can serve as a point of reference for those interested in the future development of consumer protection in the field of financial services post-Brexit. (347 words) </w:t>
            </w:r>
          </w:p>
          <w:p w14:paraId="0AB8D3F6" w14:textId="77777777" w:rsidR="000D4953" w:rsidRPr="00163470" w:rsidRDefault="000D4953" w:rsidP="000D4953">
            <w:pPr>
              <w:rPr>
                <w:rFonts w:eastAsiaTheme="minorEastAsia"/>
              </w:rPr>
            </w:pPr>
            <w:r w:rsidRPr="00163470">
              <w:rPr>
                <w:rFonts w:eastAsiaTheme="minorEastAsia"/>
                <w:b/>
              </w:rPr>
              <w:t xml:space="preserve"> </w:t>
            </w:r>
          </w:p>
          <w:p w14:paraId="6FA834C5" w14:textId="77777777" w:rsidR="000D4953" w:rsidRPr="00163470" w:rsidRDefault="000D4953" w:rsidP="000D4953">
            <w:pPr>
              <w:rPr>
                <w:rFonts w:eastAsiaTheme="minorEastAsia"/>
              </w:rPr>
            </w:pPr>
          </w:p>
        </w:tc>
      </w:tr>
      <w:tr w:rsidR="000D4953" w:rsidRPr="00163470" w14:paraId="5B6F5138" w14:textId="77777777" w:rsidTr="00A64796">
        <w:tc>
          <w:tcPr>
            <w:tcW w:w="2683" w:type="dxa"/>
          </w:tcPr>
          <w:p w14:paraId="6B03E806"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 xml:space="preserve">Da Silva Pinto, Adriana, </w:t>
            </w:r>
          </w:p>
          <w:p w14:paraId="0FE91A61"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 xml:space="preserve">Doll, Johannes, </w:t>
            </w:r>
          </w:p>
          <w:p w14:paraId="7CA5B9CD"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t>Rosângela</w:t>
            </w:r>
            <w:proofErr w:type="spellEnd"/>
            <w:r w:rsidRPr="00163470">
              <w:rPr>
                <w:rFonts w:asciiTheme="majorHAnsi" w:eastAsiaTheme="majorEastAsia" w:hAnsiTheme="majorHAnsi" w:cstheme="majorBidi"/>
                <w:color w:val="0F4761" w:themeColor="accent1" w:themeShade="BF"/>
                <w:sz w:val="32"/>
                <w:szCs w:val="32"/>
              </w:rPr>
              <w:t xml:space="preserve"> </w:t>
            </w:r>
            <w:proofErr w:type="spellStart"/>
            <w:r w:rsidRPr="00163470">
              <w:rPr>
                <w:rFonts w:asciiTheme="majorHAnsi" w:eastAsiaTheme="majorEastAsia" w:hAnsiTheme="majorHAnsi" w:cstheme="majorBidi"/>
                <w:color w:val="0F4761" w:themeColor="accent1" w:themeShade="BF"/>
                <w:sz w:val="32"/>
                <w:szCs w:val="32"/>
              </w:rPr>
              <w:t>Lunardelli</w:t>
            </w:r>
            <w:proofErr w:type="spellEnd"/>
            <w:r w:rsidRPr="00163470">
              <w:rPr>
                <w:rFonts w:asciiTheme="majorHAnsi" w:eastAsiaTheme="majorEastAsia" w:hAnsiTheme="majorHAnsi" w:cstheme="majorBidi"/>
                <w:color w:val="0F4761" w:themeColor="accent1" w:themeShade="BF"/>
                <w:sz w:val="32"/>
                <w:szCs w:val="32"/>
              </w:rPr>
              <w:t xml:space="preserve"> </w:t>
            </w:r>
            <w:proofErr w:type="spellStart"/>
            <w:r w:rsidRPr="00163470">
              <w:rPr>
                <w:rFonts w:asciiTheme="majorHAnsi" w:eastAsiaTheme="majorEastAsia" w:hAnsiTheme="majorHAnsi" w:cstheme="majorBidi"/>
                <w:color w:val="0F4761" w:themeColor="accent1" w:themeShade="BF"/>
                <w:sz w:val="32"/>
                <w:szCs w:val="32"/>
              </w:rPr>
              <w:t>Cavallazzi</w:t>
            </w:r>
            <w:proofErr w:type="spellEnd"/>
          </w:p>
        </w:tc>
        <w:tc>
          <w:tcPr>
            <w:tcW w:w="11062" w:type="dxa"/>
          </w:tcPr>
          <w:p w14:paraId="7CD5E102" w14:textId="77777777" w:rsidR="000D4953" w:rsidRPr="00163470" w:rsidRDefault="000D4953" w:rsidP="000D4953">
            <w:pPr>
              <w:rPr>
                <w:rFonts w:eastAsiaTheme="minorEastAsia"/>
                <w:b/>
                <w:bCs/>
              </w:rPr>
            </w:pPr>
            <w:r w:rsidRPr="00163470">
              <w:rPr>
                <w:rFonts w:eastAsiaTheme="minorEastAsia"/>
                <w:b/>
                <w:bCs/>
              </w:rPr>
              <w:t>Community based Financial Education as a way to “bring balance to the force”: an experience with older members in an Brazilian Quilombo (afro-</w:t>
            </w:r>
            <w:proofErr w:type="spellStart"/>
            <w:r w:rsidRPr="00163470">
              <w:rPr>
                <w:rFonts w:eastAsiaTheme="minorEastAsia"/>
                <w:b/>
                <w:bCs/>
              </w:rPr>
              <w:t>brazilian</w:t>
            </w:r>
            <w:proofErr w:type="spellEnd"/>
            <w:r w:rsidRPr="00163470">
              <w:rPr>
                <w:rFonts w:eastAsiaTheme="minorEastAsia"/>
                <w:b/>
                <w:bCs/>
              </w:rPr>
              <w:t xml:space="preserve"> community) </w:t>
            </w:r>
          </w:p>
          <w:p w14:paraId="34260D87" w14:textId="77777777" w:rsidR="000D4953" w:rsidRPr="00163470" w:rsidRDefault="000D4953" w:rsidP="000D4953">
            <w:pPr>
              <w:rPr>
                <w:rFonts w:eastAsiaTheme="minorEastAsia"/>
              </w:rPr>
            </w:pPr>
            <w:r w:rsidRPr="00163470">
              <w:rPr>
                <w:rFonts w:eastAsiaTheme="minorEastAsia"/>
              </w:rPr>
              <w:t xml:space="preserve">Authors: Adriana da Silva Pinto, Johannes Doll, </w:t>
            </w:r>
            <w:proofErr w:type="spellStart"/>
            <w:r w:rsidRPr="00163470">
              <w:rPr>
                <w:rFonts w:eastAsiaTheme="minorEastAsia"/>
              </w:rPr>
              <w:t>Rosângela</w:t>
            </w:r>
            <w:proofErr w:type="spellEnd"/>
            <w:r w:rsidRPr="00163470">
              <w:rPr>
                <w:rFonts w:eastAsiaTheme="minorEastAsia"/>
              </w:rPr>
              <w:t xml:space="preserve"> </w:t>
            </w:r>
            <w:proofErr w:type="spellStart"/>
            <w:r w:rsidRPr="00163470">
              <w:rPr>
                <w:rFonts w:eastAsiaTheme="minorEastAsia"/>
              </w:rPr>
              <w:t>Lunardelli</w:t>
            </w:r>
            <w:proofErr w:type="spellEnd"/>
            <w:r w:rsidRPr="00163470">
              <w:rPr>
                <w:rFonts w:eastAsiaTheme="minorEastAsia"/>
              </w:rPr>
              <w:t xml:space="preserve"> </w:t>
            </w:r>
            <w:proofErr w:type="spellStart"/>
            <w:r w:rsidRPr="00163470">
              <w:rPr>
                <w:rFonts w:eastAsiaTheme="minorEastAsia"/>
              </w:rPr>
              <w:t>Cavallazzi</w:t>
            </w:r>
            <w:proofErr w:type="spellEnd"/>
          </w:p>
          <w:p w14:paraId="32E1BB00" w14:textId="77777777" w:rsidR="000D4953" w:rsidRPr="00163470" w:rsidRDefault="000D4953" w:rsidP="000D4953">
            <w:pPr>
              <w:rPr>
                <w:rFonts w:eastAsiaTheme="minorEastAsia"/>
              </w:rPr>
            </w:pPr>
            <w:r w:rsidRPr="00163470">
              <w:rPr>
                <w:rFonts w:eastAsiaTheme="minorEastAsia"/>
              </w:rPr>
              <w:t>Consumer protection presupposes the principle of objective good faith and its attached duties: loyalty, transparency and trust between contracting parties. One of the main objectives is establishing harmony in consumer relations between supplier and consumer, what transparent and correct information is necessary for. From this perspective, financial education can play an important role in relation to financial services, especially in economies marked by complex financial systems, high interest rates and consumer harassment of consumption by the supplier in contrast to the vulnerable conditions of the consumer.</w:t>
            </w:r>
          </w:p>
          <w:p w14:paraId="18CFC95E" w14:textId="77777777" w:rsidR="000D4953" w:rsidRPr="00163470" w:rsidRDefault="000D4953" w:rsidP="000D4953">
            <w:pPr>
              <w:rPr>
                <w:rFonts w:eastAsiaTheme="minorEastAsia"/>
              </w:rPr>
            </w:pPr>
            <w:r w:rsidRPr="00163470">
              <w:rPr>
                <w:rFonts w:eastAsiaTheme="minorEastAsia"/>
              </w:rPr>
              <w:t>Financial education, expressly mentioned in consumer protection laws, has the potential to inform, alert and guide consumers although it does not constitute an exclusive solution for situations of debt and over-indebtedness, especially when they are caused by factors such as low income, high interest rates and low level of social security.</w:t>
            </w:r>
          </w:p>
          <w:p w14:paraId="766CD0DE" w14:textId="594A8150" w:rsidR="000D4953" w:rsidRPr="00163470" w:rsidRDefault="000D4953" w:rsidP="000D4953">
            <w:pPr>
              <w:rPr>
                <w:rFonts w:eastAsiaTheme="minorEastAsia"/>
              </w:rPr>
            </w:pPr>
            <w:r w:rsidRPr="00163470">
              <w:rPr>
                <w:rFonts w:eastAsiaTheme="minorEastAsia"/>
              </w:rPr>
              <w:t xml:space="preserve">The </w:t>
            </w:r>
            <w:r w:rsidR="00163470" w:rsidRPr="00163470">
              <w:rPr>
                <w:rFonts w:eastAsiaTheme="minorEastAsia"/>
              </w:rPr>
              <w:t>paper presents</w:t>
            </w:r>
            <w:r w:rsidRPr="00163470">
              <w:rPr>
                <w:rFonts w:eastAsiaTheme="minorEastAsia"/>
              </w:rPr>
              <w:t xml:space="preserve"> data from an interdisciplinary empirical research with older people in a </w:t>
            </w:r>
            <w:proofErr w:type="spellStart"/>
            <w:r w:rsidRPr="00163470">
              <w:rPr>
                <w:rFonts w:eastAsiaTheme="minorEastAsia"/>
              </w:rPr>
              <w:t>quilombola</w:t>
            </w:r>
            <w:proofErr w:type="spellEnd"/>
            <w:r w:rsidRPr="00163470">
              <w:rPr>
                <w:rFonts w:eastAsiaTheme="minorEastAsia"/>
              </w:rPr>
              <w:t xml:space="preserve"> community (Afro-Brazilian community) in the </w:t>
            </w:r>
            <w:r w:rsidR="00163470" w:rsidRPr="00163470">
              <w:rPr>
                <w:rFonts w:eastAsiaTheme="minorEastAsia"/>
              </w:rPr>
              <w:t>countryside</w:t>
            </w:r>
            <w:r w:rsidRPr="00163470">
              <w:rPr>
                <w:rFonts w:eastAsiaTheme="minorEastAsia"/>
              </w:rPr>
              <w:t xml:space="preserve"> of Rio Grande do Sul, Brazil, carried out from June 2023 to March 2024, developed in four phases. 1. The older population was mapped, seeking to understand the characteristics of this </w:t>
            </w:r>
            <w:proofErr w:type="spellStart"/>
            <w:r w:rsidRPr="00163470">
              <w:rPr>
                <w:rFonts w:eastAsiaTheme="minorEastAsia"/>
              </w:rPr>
              <w:t>quilombola</w:t>
            </w:r>
            <w:proofErr w:type="spellEnd"/>
            <w:r w:rsidRPr="00163470">
              <w:rPr>
                <w:rFonts w:eastAsiaTheme="minorEastAsia"/>
              </w:rPr>
              <w:t xml:space="preserve"> community, identifying access and use of cell phones and the main financial practices through semi-structured interviews with the participants, 17 older people, both sexes. aged between 61 and 85 years and with up to six years of education. 2. After systematization and analysis of field data applied intervention was planned with a proposal for a process of raising awareness of rights and community financial education. Because of the difficulty of gathering the participants in one place, it was decided to use the community radio as a means of communication. 3. Podcasts were produced with the following themes: the countryside and money, sources of income, emergency reserves, debt, strategies for getting out of debt and guidelines for avoiding virtual financial scams. 4. The podcasts created for this community were transmitted in the messaging app group and on community radio. In conclusion, the relevance of Consumer Law and Community Financial Education was observed as a way of “bringing balance to the force”. </w:t>
            </w:r>
          </w:p>
          <w:p w14:paraId="4795DDEB" w14:textId="77777777" w:rsidR="000D4953" w:rsidRPr="00163470" w:rsidRDefault="000D4953" w:rsidP="000D4953">
            <w:pPr>
              <w:rPr>
                <w:rFonts w:eastAsiaTheme="minorEastAsia"/>
              </w:rPr>
            </w:pPr>
          </w:p>
        </w:tc>
      </w:tr>
      <w:tr w:rsidR="000D4953" w:rsidRPr="00163470" w14:paraId="3FE1B906" w14:textId="77777777" w:rsidTr="00A64796">
        <w:tc>
          <w:tcPr>
            <w:tcW w:w="2683" w:type="dxa"/>
          </w:tcPr>
          <w:p w14:paraId="588BAACF"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lastRenderedPageBreak/>
              <w:t>Coggiola</w:t>
            </w:r>
            <w:proofErr w:type="spellEnd"/>
            <w:r w:rsidRPr="00163470">
              <w:rPr>
                <w:rFonts w:asciiTheme="majorHAnsi" w:eastAsiaTheme="majorEastAsia" w:hAnsiTheme="majorHAnsi" w:cstheme="majorBidi"/>
                <w:color w:val="0F4761" w:themeColor="accent1" w:themeShade="BF"/>
                <w:sz w:val="32"/>
                <w:szCs w:val="32"/>
              </w:rPr>
              <w:t>, Nadia,</w:t>
            </w:r>
          </w:p>
          <w:p w14:paraId="01249C66" w14:textId="77777777" w:rsidR="000D4953" w:rsidRPr="00163470" w:rsidRDefault="000D4953" w:rsidP="000D4953">
            <w:pPr>
              <w:rPr>
                <w:rFonts w:eastAsiaTheme="minorEastAsia"/>
              </w:rPr>
            </w:pPr>
            <w:r w:rsidRPr="00163470">
              <w:rPr>
                <w:rFonts w:eastAsiaTheme="minorEastAsia"/>
              </w:rPr>
              <w:t>Associate Professor Private Law, University of Torino, Italy</w:t>
            </w:r>
          </w:p>
        </w:tc>
        <w:tc>
          <w:tcPr>
            <w:tcW w:w="11062" w:type="dxa"/>
          </w:tcPr>
          <w:p w14:paraId="74909652" w14:textId="77777777" w:rsidR="000D4953" w:rsidRPr="00163470" w:rsidRDefault="000D4953" w:rsidP="000D4953">
            <w:pPr>
              <w:rPr>
                <w:rFonts w:eastAsiaTheme="minorEastAsia"/>
                <w:b/>
              </w:rPr>
            </w:pPr>
            <w:r w:rsidRPr="00163470">
              <w:rPr>
                <w:rFonts w:eastAsiaTheme="minorEastAsia"/>
                <w:b/>
              </w:rPr>
              <w:t>Protecting consumers from financial risks associated with new investment tools</w:t>
            </w:r>
          </w:p>
          <w:p w14:paraId="69E3BA81" w14:textId="77777777" w:rsidR="000D4953" w:rsidRPr="00163470" w:rsidRDefault="000D4953" w:rsidP="000D4953">
            <w:pPr>
              <w:rPr>
                <w:rFonts w:eastAsiaTheme="minorEastAsia"/>
              </w:rPr>
            </w:pPr>
            <w:r w:rsidRPr="00163470">
              <w:rPr>
                <w:rFonts w:eastAsiaTheme="minorEastAsia"/>
              </w:rPr>
              <w:t>A growing number of financial service providers are now offering their online services to European consumers at competitive prices. However, these companies often take advantage of consumers' vulnerabilities, which can have severe economic consequences, particularly when they market their services through mobile applications.</w:t>
            </w:r>
          </w:p>
          <w:p w14:paraId="6076CFD6" w14:textId="77777777" w:rsidR="000D4953" w:rsidRPr="00163470" w:rsidRDefault="000D4953" w:rsidP="000D4953">
            <w:pPr>
              <w:rPr>
                <w:rFonts w:eastAsiaTheme="minorEastAsia"/>
              </w:rPr>
            </w:pPr>
            <w:r w:rsidRPr="00163470">
              <w:rPr>
                <w:rFonts w:eastAsiaTheme="minorEastAsia"/>
              </w:rPr>
              <w:t>The use of mobile phone applications for distance investment contracts may in fact increase the risk of negative economic outcomes for consumers and markets, because they can influence consumers' choices regarding financial products, potentially favouring professional investment service providers.</w:t>
            </w:r>
          </w:p>
          <w:p w14:paraId="491030F0" w14:textId="5CEA217D" w:rsidR="000D4953" w:rsidRPr="00163470" w:rsidRDefault="000D4953" w:rsidP="000D4953">
            <w:pPr>
              <w:rPr>
                <w:rFonts w:eastAsiaTheme="minorEastAsia"/>
              </w:rPr>
            </w:pPr>
            <w:r w:rsidRPr="00163470">
              <w:rPr>
                <w:rFonts w:eastAsiaTheme="minorEastAsia"/>
              </w:rPr>
              <w:t xml:space="preserve">The potential risks associated with using mobile phones for investment activities have been considered in several behavioural studies. The outcomes of these studies were partially used by the European Union legislator when drafting Directive 23/2673/EU on 22 November 2023. </w:t>
            </w:r>
            <w:r w:rsidR="00163470" w:rsidRPr="00163470">
              <w:rPr>
                <w:rFonts w:eastAsiaTheme="minorEastAsia"/>
              </w:rPr>
              <w:t>Therefore,</w:t>
            </w:r>
            <w:r w:rsidRPr="00163470">
              <w:rPr>
                <w:rFonts w:eastAsiaTheme="minorEastAsia"/>
              </w:rPr>
              <w:t xml:space="preserve"> the Directive includes provisions aimed at protecting consumers from negative and misleading nudges in their investment activities, perpetrated by professional financial product providers through the use of smartphone applications or other tools that manipulate consumers' behaviours.</w:t>
            </w:r>
          </w:p>
          <w:p w14:paraId="0D324C1F" w14:textId="77777777" w:rsidR="000D4953" w:rsidRPr="00163470" w:rsidRDefault="000D4953" w:rsidP="000D4953">
            <w:pPr>
              <w:rPr>
                <w:rFonts w:eastAsiaTheme="minorEastAsia"/>
              </w:rPr>
            </w:pPr>
            <w:r w:rsidRPr="00163470">
              <w:rPr>
                <w:rFonts w:eastAsiaTheme="minorEastAsia"/>
              </w:rPr>
              <w:t>The aim of this paper is to analyse potential behavioural impairments experienced by consumers when using mobile applications to conclude distance contracts for financial services.</w:t>
            </w:r>
          </w:p>
          <w:p w14:paraId="5D9EE813" w14:textId="77777777" w:rsidR="000D4953" w:rsidRPr="00163470" w:rsidRDefault="000D4953" w:rsidP="000D4953">
            <w:pPr>
              <w:rPr>
                <w:rFonts w:eastAsiaTheme="minorEastAsia"/>
              </w:rPr>
            </w:pPr>
            <w:r w:rsidRPr="00163470">
              <w:rPr>
                <w:rFonts w:eastAsiaTheme="minorEastAsia"/>
              </w:rPr>
              <w:t>Moreover, it seeks to understand the effectiveness of the new European provisions in protecting retail investors in such scenarios. As we are dealing with rules that require ascertaining the behavioural impact on consumers of different commercialisation strategies, it is indeed currently unclear what the consequences of implementing these new rules will be.</w:t>
            </w:r>
          </w:p>
          <w:p w14:paraId="3439FE30" w14:textId="77777777" w:rsidR="000D4953" w:rsidRPr="00163470" w:rsidRDefault="000D4953" w:rsidP="000D4953">
            <w:pPr>
              <w:rPr>
                <w:rFonts w:eastAsiaTheme="minorEastAsia"/>
              </w:rPr>
            </w:pPr>
            <w:r w:rsidRPr="00163470">
              <w:rPr>
                <w:rFonts w:eastAsiaTheme="minorEastAsia"/>
              </w:rPr>
              <w:t>The final question is whether their implementation will require frequent and penetrating judicial interventions or if it will lead to a bureaucratization of practices, with a formal distinction between allowed and prohibited practices.</w:t>
            </w:r>
          </w:p>
          <w:p w14:paraId="2FD956BF" w14:textId="77777777" w:rsidR="000D4953" w:rsidRPr="00163470" w:rsidRDefault="000D4953" w:rsidP="000D4953">
            <w:pPr>
              <w:rPr>
                <w:rFonts w:eastAsiaTheme="minorEastAsia"/>
              </w:rPr>
            </w:pPr>
          </w:p>
        </w:tc>
      </w:tr>
      <w:tr w:rsidR="000D4953" w:rsidRPr="00163470" w14:paraId="06CA1AAF" w14:textId="77777777" w:rsidTr="00A64796">
        <w:tc>
          <w:tcPr>
            <w:tcW w:w="2683" w:type="dxa"/>
          </w:tcPr>
          <w:p w14:paraId="5183FAA3"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Howell, Nicola</w:t>
            </w:r>
          </w:p>
          <w:p w14:paraId="4F3328CA" w14:textId="77777777" w:rsidR="000D4953" w:rsidRPr="00163470" w:rsidRDefault="000D4953" w:rsidP="000D4953">
            <w:pPr>
              <w:rPr>
                <w:rFonts w:eastAsiaTheme="minorEastAsia"/>
              </w:rPr>
            </w:pPr>
            <w:r w:rsidRPr="00163470">
              <w:rPr>
                <w:rFonts w:eastAsiaTheme="minorEastAsia"/>
              </w:rPr>
              <w:br/>
              <w:t xml:space="preserve">Queensland University of Technology </w:t>
            </w:r>
            <w:r w:rsidRPr="00163470">
              <w:rPr>
                <w:rFonts w:eastAsiaTheme="minorEastAsia"/>
              </w:rPr>
              <w:br/>
              <w:t xml:space="preserve">Brisbane Australia </w:t>
            </w:r>
          </w:p>
          <w:p w14:paraId="78B0A499" w14:textId="77777777" w:rsidR="000D4953" w:rsidRPr="00163470" w:rsidRDefault="000D4953" w:rsidP="000D4953">
            <w:pPr>
              <w:rPr>
                <w:rFonts w:eastAsiaTheme="minorEastAsia"/>
              </w:rPr>
            </w:pPr>
          </w:p>
        </w:tc>
        <w:tc>
          <w:tcPr>
            <w:tcW w:w="11062" w:type="dxa"/>
          </w:tcPr>
          <w:p w14:paraId="2BA76BE8" w14:textId="77777777" w:rsidR="000D4953" w:rsidRPr="00163470" w:rsidRDefault="000D4953" w:rsidP="000D4953">
            <w:pPr>
              <w:rPr>
                <w:rFonts w:eastAsiaTheme="minorEastAsia"/>
                <w:b/>
                <w:bCs/>
              </w:rPr>
            </w:pPr>
            <w:r w:rsidRPr="00163470">
              <w:rPr>
                <w:rFonts w:eastAsiaTheme="minorEastAsia"/>
                <w:b/>
                <w:bCs/>
              </w:rPr>
              <w:t>Financial services misconduct in Australia: Providing an expanded role for fairness through a ‘Treating Customers Fairly’ model</w:t>
            </w:r>
          </w:p>
          <w:p w14:paraId="50E37387" w14:textId="77777777" w:rsidR="000D4953" w:rsidRPr="00163470" w:rsidRDefault="000D4953" w:rsidP="000D4953">
            <w:pPr>
              <w:rPr>
                <w:rFonts w:eastAsiaTheme="minorEastAsia"/>
              </w:rPr>
            </w:pPr>
            <w:r w:rsidRPr="00163470">
              <w:rPr>
                <w:rFonts w:eastAsiaTheme="minorEastAsia"/>
              </w:rPr>
              <w:t xml:space="preserve">The UK was the first jurisdiction to implement an explicit ‘Treating Customers Fairly’ model for consumer financial services regulation. This model has subsequently adopted or adapted in other jurisdictions, including New Zealand, where amendments to the Financial Market Conduct Act include the implementation of a ‘fair conduct principle’ and are due to come into effect in 2025. </w:t>
            </w:r>
          </w:p>
          <w:p w14:paraId="40D3F07D" w14:textId="77777777" w:rsidR="000D4953" w:rsidRPr="00163470" w:rsidRDefault="000D4953" w:rsidP="000D4953">
            <w:pPr>
              <w:rPr>
                <w:rFonts w:eastAsiaTheme="minorEastAsia"/>
              </w:rPr>
            </w:pPr>
            <w:r w:rsidRPr="00163470">
              <w:rPr>
                <w:rFonts w:eastAsiaTheme="minorEastAsia"/>
              </w:rPr>
              <w:t>In Australia, fairness as a regulatory standard has become increasingly prevalent in consumer financial services regulation. Unfair contract terms in consumer and small business contracts are prohibited, firms must belong to an alternative dispute resolution scheme that includes ‘fairness in all the circumstances’ as a decision-making criterion, and firms have a licensing obligation to ensure that their services are provided ‘efficiently, honestly and fairly’.</w:t>
            </w:r>
          </w:p>
          <w:p w14:paraId="1DBDBB36" w14:textId="77777777" w:rsidR="000D4953" w:rsidRPr="00163470" w:rsidRDefault="000D4953" w:rsidP="000D4953">
            <w:pPr>
              <w:rPr>
                <w:rFonts w:eastAsiaTheme="minorEastAsia"/>
              </w:rPr>
            </w:pPr>
            <w:r w:rsidRPr="00163470">
              <w:rPr>
                <w:rFonts w:eastAsiaTheme="minorEastAsia"/>
              </w:rPr>
              <w:t xml:space="preserve">Despite this focus on fairness, in recent years, Australians have been confronted by evidence of widespread misconduct by consumer financial services firms. A Royal Commission into Misconduct in the Banking, Superannuation and Financial Services Industry delivered some scathing assessments of the conduct of many of financial institutions and individuals, and the final report (in 2019) concluded that ‘[t]he damage done by that conduct to individuals and to the overall health and reputation of the financial services industry has been large’.  </w:t>
            </w:r>
          </w:p>
          <w:p w14:paraId="12C3CB41" w14:textId="77777777" w:rsidR="000D4953" w:rsidRPr="00163470" w:rsidRDefault="000D4953" w:rsidP="000D4953">
            <w:pPr>
              <w:rPr>
                <w:rFonts w:eastAsiaTheme="minorEastAsia"/>
              </w:rPr>
            </w:pPr>
            <w:r w:rsidRPr="00163470">
              <w:rPr>
                <w:rFonts w:eastAsiaTheme="minorEastAsia"/>
              </w:rPr>
              <w:t>In the Royal Commission’s final report, acting ‘fairly’ was identified as one of six norms of conduct for financial firms. However, its presence (and the presence of other norms) in the regulatory framework was regarded as piecemeal. More recently, the Australian Law Reform Commission’s report on financial services regulation recommended the six norms (including fairness) be specified in an objects clause for a new Financial Services Law. However, this report’s focus was on reducing complexity, and it did not explore possible alternative policy settings that might provide a more expansive role for fairness.</w:t>
            </w:r>
          </w:p>
          <w:p w14:paraId="7C593EC6" w14:textId="77777777" w:rsidR="000D4953" w:rsidRPr="00163470" w:rsidRDefault="000D4953" w:rsidP="000D4953">
            <w:pPr>
              <w:rPr>
                <w:rFonts w:eastAsiaTheme="minorEastAsia"/>
              </w:rPr>
            </w:pPr>
            <w:r w:rsidRPr="00163470">
              <w:rPr>
                <w:rFonts w:eastAsiaTheme="minorEastAsia"/>
              </w:rPr>
              <w:t xml:space="preserve">This paper explores the current and prospective role of fairness in consumer financial services regulation in Australia. It explores how a ‘treating customers fairly’ model, inspired by the original UK model and later adaptions, may be a solution to two key challenges of financial services regulation: improving firm conduct and reducing regulatory complexity. </w:t>
            </w:r>
          </w:p>
        </w:tc>
      </w:tr>
      <w:tr w:rsidR="000D4953" w:rsidRPr="00163470" w14:paraId="3BDC1A46" w14:textId="77777777" w:rsidTr="00A64796">
        <w:tc>
          <w:tcPr>
            <w:tcW w:w="2683" w:type="dxa"/>
          </w:tcPr>
          <w:p w14:paraId="126E5CA8"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 xml:space="preserve">Verdun Perez, Francisco </w:t>
            </w:r>
          </w:p>
        </w:tc>
        <w:tc>
          <w:tcPr>
            <w:tcW w:w="11062" w:type="dxa"/>
          </w:tcPr>
          <w:p w14:paraId="2EE54B89" w14:textId="14656CCD"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 xml:space="preserve">"Proposed Amendments to Directive 93/13/EEC on unfair terms in consumer </w:t>
            </w:r>
            <w:r w:rsidR="00163470" w:rsidRPr="00163470">
              <w:rPr>
                <w:rFonts w:asciiTheme="majorHAnsi" w:eastAsiaTheme="majorEastAsia" w:hAnsiTheme="majorHAnsi" w:cstheme="majorBidi"/>
                <w:color w:val="0F4761" w:themeColor="accent1" w:themeShade="BF"/>
                <w:sz w:val="32"/>
                <w:szCs w:val="32"/>
              </w:rPr>
              <w:t>contracts and</w:t>
            </w:r>
            <w:r w:rsidRPr="00163470">
              <w:rPr>
                <w:rFonts w:asciiTheme="majorHAnsi" w:eastAsiaTheme="majorEastAsia" w:hAnsiTheme="majorHAnsi" w:cstheme="majorBidi"/>
                <w:color w:val="0F4761" w:themeColor="accent1" w:themeShade="BF"/>
                <w:sz w:val="32"/>
                <w:szCs w:val="32"/>
              </w:rPr>
              <w:t xml:space="preserve"> to Regulation (EC) No 1896/2006 creating a European order for payment procedure".</w:t>
            </w:r>
          </w:p>
          <w:p w14:paraId="2D8F8A95" w14:textId="77777777" w:rsidR="000D4953" w:rsidRPr="00163470" w:rsidRDefault="000D4953" w:rsidP="000D4953">
            <w:pPr>
              <w:rPr>
                <w:rFonts w:eastAsiaTheme="minorEastAsia"/>
              </w:rPr>
            </w:pPr>
            <w:r w:rsidRPr="00163470">
              <w:rPr>
                <w:rFonts w:eastAsiaTheme="minorEastAsia"/>
              </w:rPr>
              <w:t>In the light of the CJEU caselaw interpreting the Council Directive 93/13/EEC of 5 April 1993 on unfair contract terms in consumer contracts, with the aim of increasing the level of protection of the European consumer, from my point of view, the European legislator should carry out the amendment of the UCTD adopting three specific measures.</w:t>
            </w:r>
          </w:p>
          <w:p w14:paraId="76C4385D" w14:textId="77777777" w:rsidR="000D4953" w:rsidRPr="00163470" w:rsidRDefault="000D4953" w:rsidP="000D4953">
            <w:pPr>
              <w:rPr>
                <w:rFonts w:eastAsiaTheme="minorEastAsia"/>
              </w:rPr>
            </w:pPr>
            <w:r w:rsidRPr="00163470">
              <w:rPr>
                <w:rFonts w:eastAsiaTheme="minorEastAsia"/>
              </w:rPr>
              <w:t>Firstly, reducing the exclusion provided for in Art. 1.2 of the UCTD so that this exclusion only applies to clauses reflecting mandatory rules and not to clauses reflecting default rules.</w:t>
            </w:r>
          </w:p>
          <w:p w14:paraId="60B33780" w14:textId="77777777" w:rsidR="000D4953" w:rsidRPr="00163470" w:rsidRDefault="000D4953" w:rsidP="000D4953">
            <w:pPr>
              <w:rPr>
                <w:rFonts w:eastAsiaTheme="minorEastAsia"/>
              </w:rPr>
            </w:pPr>
            <w:r w:rsidRPr="00163470">
              <w:rPr>
                <w:rFonts w:eastAsiaTheme="minorEastAsia"/>
              </w:rPr>
              <w:t>Secondly, modifying the concept of unfair contractual terms in the sense that individually negotiated terms are also covered by Directive 93/13.</w:t>
            </w:r>
          </w:p>
          <w:p w14:paraId="5665231C" w14:textId="77777777" w:rsidR="000D4953" w:rsidRPr="00163470" w:rsidRDefault="000D4953" w:rsidP="000D4953">
            <w:pPr>
              <w:rPr>
                <w:rFonts w:eastAsiaTheme="minorEastAsia"/>
              </w:rPr>
            </w:pPr>
            <w:r w:rsidRPr="00163470">
              <w:rPr>
                <w:rFonts w:eastAsiaTheme="minorEastAsia"/>
              </w:rPr>
              <w:t xml:space="preserve">Thirdly, extending the assessment of the unfair nature of the terms to those which relate to the definition of the main subject matter of the contract and those which concern to the adequacy of the price and remuneration, on the one hand, as against the services or goods supplies in exchange, on the other, even if these terms are in plain intelligible language. </w:t>
            </w:r>
          </w:p>
          <w:p w14:paraId="0100BB73" w14:textId="6530FBB2" w:rsidR="000D4953" w:rsidRPr="00163470" w:rsidRDefault="000D4953" w:rsidP="000D4953">
            <w:pPr>
              <w:rPr>
                <w:rFonts w:eastAsiaTheme="minorEastAsia"/>
              </w:rPr>
            </w:pPr>
            <w:bookmarkStart w:id="0" w:name="_Hlk165396987"/>
            <w:r w:rsidRPr="00163470">
              <w:rPr>
                <w:rFonts w:eastAsiaTheme="minorEastAsia"/>
              </w:rPr>
              <w:t xml:space="preserve">In addition, with the identical aim of achieving that Union policies ensure a high level of consumer protection (art. 38 of the Charter and art. 169.1 of the TFEU), </w:t>
            </w:r>
            <w:bookmarkEnd w:id="0"/>
            <w:r w:rsidRPr="00163470">
              <w:rPr>
                <w:rFonts w:eastAsiaTheme="minorEastAsia"/>
              </w:rPr>
              <w:t>I propose to adapt Regulation (</w:t>
            </w:r>
            <w:r w:rsidR="00163470" w:rsidRPr="00163470">
              <w:rPr>
                <w:rFonts w:eastAsiaTheme="minorEastAsia"/>
              </w:rPr>
              <w:t>EC) 1896</w:t>
            </w:r>
            <w:r w:rsidRPr="00163470">
              <w:rPr>
                <w:rFonts w:eastAsiaTheme="minorEastAsia"/>
              </w:rPr>
              <w:t xml:space="preserve">/2006 of 12 December 2006 creating a European order for payment procedure to the CJEU's doctrine on the mandatory </w:t>
            </w:r>
            <w:r w:rsidRPr="00163470">
              <w:rPr>
                <w:rFonts w:eastAsiaTheme="minorEastAsia"/>
                <w:i/>
                <w:iCs/>
              </w:rPr>
              <w:t>ex officio</w:t>
            </w:r>
            <w:r w:rsidRPr="00163470">
              <w:rPr>
                <w:rFonts w:eastAsiaTheme="minorEastAsia"/>
              </w:rPr>
              <w:t xml:space="preserve"> judicial review of unfair terms.</w:t>
            </w:r>
          </w:p>
          <w:p w14:paraId="1423C8D4" w14:textId="77777777" w:rsidR="000D4953" w:rsidRPr="00163470" w:rsidRDefault="000D4953" w:rsidP="000D4953">
            <w:pPr>
              <w:rPr>
                <w:rFonts w:eastAsiaTheme="minorEastAsia"/>
              </w:rPr>
            </w:pPr>
            <w:bookmarkStart w:id="1" w:name="_Hlk165397481"/>
            <w:r w:rsidRPr="00163470">
              <w:rPr>
                <w:rFonts w:eastAsiaTheme="minorEastAsia"/>
              </w:rPr>
              <w:t xml:space="preserve">In my opinion, without prejudice of the </w:t>
            </w:r>
            <w:proofErr w:type="spellStart"/>
            <w:r w:rsidRPr="00163470">
              <w:rPr>
                <w:rFonts w:eastAsiaTheme="minorEastAsia"/>
                <w:i/>
                <w:iCs/>
              </w:rPr>
              <w:t>Bondora</w:t>
            </w:r>
            <w:proofErr w:type="spellEnd"/>
            <w:r w:rsidRPr="00163470">
              <w:rPr>
                <w:rFonts w:eastAsiaTheme="minorEastAsia"/>
              </w:rPr>
              <w:t xml:space="preserve"> judgment, the current situation is deficient, given that the European order for payment procedure does not provide clearly and explicitly the obligation of the judges to assess of their own motion the unfairness of contractual terms in the documents that serve as the basis for the claims articulated through this procedural mechanism and, prior to such control, the essential duty to require the creditor-plaintiff-professional to provide these documents so that the judge can examine them directly and not by means of transcriptions that, intentionally or through negligence on the part of the creditor, are not accurate. Consequently, I believe that the amendment of the Regulation (EC) 1896/2006 is of great importance. </w:t>
            </w:r>
            <w:bookmarkEnd w:id="1"/>
          </w:p>
        </w:tc>
      </w:tr>
      <w:tr w:rsidR="000D4953" w:rsidRPr="00163470" w14:paraId="45962BA9" w14:textId="77777777" w:rsidTr="00A64796">
        <w:tc>
          <w:tcPr>
            <w:tcW w:w="2683" w:type="dxa"/>
          </w:tcPr>
          <w:p w14:paraId="05E8C9AF"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Tjon Akon, Melvin</w:t>
            </w:r>
          </w:p>
        </w:tc>
        <w:tc>
          <w:tcPr>
            <w:tcW w:w="11062" w:type="dxa"/>
          </w:tcPr>
          <w:p w14:paraId="4E8DFD10" w14:textId="77777777" w:rsidR="000D4953" w:rsidRPr="00163470" w:rsidRDefault="000D4953" w:rsidP="000D4953">
            <w:pPr>
              <w:rPr>
                <w:rFonts w:eastAsiaTheme="minorEastAsia"/>
              </w:rPr>
            </w:pPr>
            <w:r w:rsidRPr="00163470">
              <w:rPr>
                <w:rFonts w:eastAsiaTheme="minorEastAsia"/>
                <w:b/>
              </w:rPr>
              <w:t xml:space="preserve">Hardwiring Protection? An Analysis of the Competition-Harnessing Approach to Price Regulation in Consumer Credit Markets. </w:t>
            </w:r>
          </w:p>
          <w:p w14:paraId="38323B62" w14:textId="77777777" w:rsidR="000D4953" w:rsidRPr="00163470" w:rsidRDefault="000D4953" w:rsidP="000D4953">
            <w:pPr>
              <w:rPr>
                <w:rFonts w:eastAsiaTheme="minorEastAsia"/>
              </w:rPr>
            </w:pPr>
            <w:r w:rsidRPr="00163470">
              <w:rPr>
                <w:rFonts w:eastAsiaTheme="minorEastAsia"/>
              </w:rPr>
              <w:t xml:space="preserve">Product pricing in consumer credit markets is a fundamentally complex issue in the European Union and beyond. While the price mechanism is essential to their allocative function, unrestricted pricing freedom is often considered the root cause of market failures, in particular debt spirals and increasing social costs of personal bankruptcy.  </w:t>
            </w:r>
          </w:p>
          <w:p w14:paraId="7A1D0001" w14:textId="3BD59CFD" w:rsidR="000D4953" w:rsidRPr="00163470" w:rsidRDefault="000D4953" w:rsidP="000D4953">
            <w:pPr>
              <w:rPr>
                <w:rFonts w:eastAsiaTheme="minorEastAsia"/>
              </w:rPr>
            </w:pPr>
            <w:r w:rsidRPr="00163470">
              <w:rPr>
                <w:rFonts w:eastAsiaTheme="minorEastAsia"/>
              </w:rPr>
              <w:t>Authors have elaborated on the menu of regulatory design options to implement price regulation. In the European Union the sector-specific consumer protection act, the Consumer Credit Directive (Directive 2023/2225, CCD), uses a combination of these techniques, namely disclosure obligations, express price controls and requirements for Member States to adopt price controls to curb excessive pricing. In addition, the Court of Justice of the European Union (</w:t>
            </w:r>
            <w:r w:rsidRPr="00163470">
              <w:rPr>
                <w:rFonts w:eastAsiaTheme="minorEastAsia"/>
                <w:b/>
              </w:rPr>
              <w:t>CJEU</w:t>
            </w:r>
            <w:r w:rsidRPr="00163470">
              <w:rPr>
                <w:rFonts w:eastAsiaTheme="minorEastAsia"/>
              </w:rPr>
              <w:t xml:space="preserve">), at the request of national courts, has given guidance on the unfairness test in Article 3.1 of the Unfair Contract Terms Directive instructing these courts to use the test to control prices on an </w:t>
            </w:r>
            <w:r w:rsidR="00163470" w:rsidRPr="00163470">
              <w:rPr>
                <w:rFonts w:eastAsiaTheme="minorEastAsia"/>
              </w:rPr>
              <w:t>ex-control</w:t>
            </w:r>
            <w:r w:rsidRPr="00163470">
              <w:rPr>
                <w:rFonts w:eastAsiaTheme="minorEastAsia"/>
              </w:rPr>
              <w:t xml:space="preserve"> basis.  </w:t>
            </w:r>
          </w:p>
        </w:tc>
      </w:tr>
      <w:tr w:rsidR="000D4953" w:rsidRPr="00163470" w14:paraId="1D2914CB" w14:textId="77777777" w:rsidTr="00A64796">
        <w:tc>
          <w:tcPr>
            <w:tcW w:w="2683" w:type="dxa"/>
          </w:tcPr>
          <w:p w14:paraId="2D15D1A1"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Weber, Anne-Marie</w:t>
            </w:r>
          </w:p>
          <w:p w14:paraId="3917E228"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Herbet-Homenda, Weronika</w:t>
            </w:r>
          </w:p>
          <w:p w14:paraId="644BFC1C" w14:textId="77777777" w:rsidR="000D4953" w:rsidRPr="00163470" w:rsidRDefault="000D4953" w:rsidP="000D4953">
            <w:pPr>
              <w:rPr>
                <w:rFonts w:eastAsiaTheme="minorEastAsia"/>
              </w:rPr>
            </w:pPr>
            <w:r w:rsidRPr="00163470">
              <w:rPr>
                <w:rFonts w:eastAsiaTheme="minorEastAsia"/>
              </w:rPr>
              <w:t>University of Warsaw</w:t>
            </w:r>
          </w:p>
        </w:tc>
        <w:tc>
          <w:tcPr>
            <w:tcW w:w="11062" w:type="dxa"/>
          </w:tcPr>
          <w:p w14:paraId="5213A75F" w14:textId="77777777" w:rsidR="000D4953" w:rsidRPr="00163470" w:rsidRDefault="000D4953" w:rsidP="000D4953">
            <w:pPr>
              <w:rPr>
                <w:rFonts w:eastAsiaTheme="minorEastAsia"/>
                <w:b/>
              </w:rPr>
            </w:pPr>
            <w:r w:rsidRPr="00163470">
              <w:rPr>
                <w:rFonts w:eastAsiaTheme="minorEastAsia"/>
                <w:b/>
              </w:rPr>
              <w:t>Consumer vulnerability in the financial market: is there a need for special protection of the elderly?</w:t>
            </w:r>
          </w:p>
          <w:p w14:paraId="5708C240" w14:textId="77777777" w:rsidR="000D4953" w:rsidRPr="00163470" w:rsidRDefault="000D4953" w:rsidP="000D4953">
            <w:pPr>
              <w:rPr>
                <w:rFonts w:eastAsiaTheme="minorEastAsia"/>
              </w:rPr>
            </w:pPr>
            <w:r w:rsidRPr="00163470">
              <w:rPr>
                <w:rFonts w:eastAsiaTheme="minorEastAsia"/>
              </w:rPr>
              <w:t>The aging of European societies has brought seniors into focus across various aspects of public life and policymaking. Although the elderly are a highly diverse group, performing a wide range of societal roles, they all share one common role – that of a consumer. The New Consumer Agenda (2020-2025) underscores the distinct needs exhibited by older consumers, necessitating attention from consumer policy frameworks. Additionally, age is acknowledged as a factor contributing to consumer vulnerability, a concept introduced in the Unfair Commercial Practices Directive. Against this backdrop, a contentious debate persists regarding the necessity of special consumer protection measures for seniors.</w:t>
            </w:r>
          </w:p>
          <w:p w14:paraId="0610E9D2" w14:textId="77777777" w:rsidR="000D4953" w:rsidRPr="00163470" w:rsidRDefault="000D4953" w:rsidP="000D4953">
            <w:pPr>
              <w:rPr>
                <w:rFonts w:eastAsiaTheme="minorEastAsia"/>
              </w:rPr>
            </w:pPr>
            <w:r w:rsidRPr="00163470">
              <w:rPr>
                <w:rFonts w:eastAsiaTheme="minorEastAsia"/>
              </w:rPr>
              <w:t>This paper seeks to contribute to this discourse from an analytical perspective focused on the elderly’s involvement in the financial markets. Drawing on the general notion of consumer vulnerability, we advocate that the assessment of the necessity for tailored regulations must acknowledge the unique aspects of a given business sector. We posit that the characteristics of the financial market and its rapid digitalization contribute to specific risks of vulnerability and financial exclusion for its senior participants. Consequently, we explore to what extent targeted protection of seniors as particularly vulnerable consumers constitutes a desirable path forward for EU consumer law.</w:t>
            </w:r>
          </w:p>
          <w:p w14:paraId="51E6C53A" w14:textId="77777777" w:rsidR="000D4953" w:rsidRPr="00163470" w:rsidRDefault="000D4953" w:rsidP="000D4953">
            <w:pPr>
              <w:rPr>
                <w:rFonts w:eastAsiaTheme="minorEastAsia"/>
              </w:rPr>
            </w:pPr>
          </w:p>
        </w:tc>
      </w:tr>
      <w:tr w:rsidR="000D4953" w:rsidRPr="00163470" w14:paraId="5B8E4AB5" w14:textId="77777777" w:rsidTr="00A64796">
        <w:tc>
          <w:tcPr>
            <w:tcW w:w="2683" w:type="dxa"/>
          </w:tcPr>
          <w:p w14:paraId="4C0F779A"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 xml:space="preserve">Weber Anne-Marie </w:t>
            </w:r>
          </w:p>
          <w:p w14:paraId="086C3035" w14:textId="77777777" w:rsidR="000D4953" w:rsidRPr="00163470" w:rsidRDefault="000D4953" w:rsidP="000D4953">
            <w:pPr>
              <w:rPr>
                <w:rFonts w:eastAsiaTheme="minorEastAsia"/>
              </w:rPr>
            </w:pPr>
          </w:p>
          <w:p w14:paraId="39820BE4"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Kordasiewicz Helena,</w:t>
            </w:r>
          </w:p>
          <w:p w14:paraId="4D0EEADE" w14:textId="77777777" w:rsidR="000D4953" w:rsidRPr="00163470" w:rsidRDefault="000D4953" w:rsidP="000D4953">
            <w:pPr>
              <w:rPr>
                <w:rFonts w:eastAsiaTheme="minorEastAsia"/>
                <w:iCs/>
              </w:rPr>
            </w:pPr>
            <w:r w:rsidRPr="00163470">
              <w:rPr>
                <w:rFonts w:eastAsiaTheme="minorEastAsia"/>
                <w:iCs/>
              </w:rPr>
              <w:t>University of Warsaw</w:t>
            </w:r>
          </w:p>
        </w:tc>
        <w:tc>
          <w:tcPr>
            <w:tcW w:w="11062" w:type="dxa"/>
          </w:tcPr>
          <w:p w14:paraId="50551399" w14:textId="77777777" w:rsidR="000D4953" w:rsidRPr="00163470" w:rsidRDefault="000D4953" w:rsidP="000D4953">
            <w:pPr>
              <w:rPr>
                <w:rFonts w:eastAsiaTheme="minorEastAsia"/>
              </w:rPr>
            </w:pPr>
            <w:r w:rsidRPr="00163470">
              <w:rPr>
                <w:rFonts w:eastAsiaTheme="minorEastAsia"/>
                <w:b/>
              </w:rPr>
              <w:t xml:space="preserve">Uncharted Territory in Consumer Law and Policy: Exploring the Role of Banks in Financial Education. </w:t>
            </w:r>
          </w:p>
          <w:p w14:paraId="6ADDC353" w14:textId="77777777" w:rsidR="000D4953" w:rsidRPr="00163470" w:rsidRDefault="000D4953" w:rsidP="000D4953">
            <w:pPr>
              <w:rPr>
                <w:rFonts w:eastAsiaTheme="minorEastAsia"/>
              </w:rPr>
            </w:pPr>
            <w:r w:rsidRPr="00163470">
              <w:rPr>
                <w:rFonts w:eastAsiaTheme="minorEastAsia"/>
              </w:rPr>
              <w:t xml:space="preserve">The preliminary findings and research agenda on the topic of financial exclusion in the digital age, which we presented at the 2023 IACL Conference, have been further developed to indicate a key role of financial education in addressing the identified problem. Financial education is vital for fostering consumer protection in financial markets for two main reasons. Firstly, it empowers consumers with the knowledge and skills necessary to access and effectively utilize financial services. Second, it serves as a cornerstone for financial protection, helping individuals navigate financial risks and make informed decisions to safeguard their economic well-being.  </w:t>
            </w:r>
          </w:p>
          <w:p w14:paraId="589B32D3" w14:textId="77777777" w:rsidR="000D4953" w:rsidRPr="00163470" w:rsidRDefault="000D4953" w:rsidP="000D4953">
            <w:pPr>
              <w:rPr>
                <w:rFonts w:eastAsiaTheme="minorEastAsia"/>
              </w:rPr>
            </w:pPr>
            <w:r w:rsidRPr="00163470">
              <w:rPr>
                <w:rFonts w:eastAsiaTheme="minorEastAsia"/>
              </w:rPr>
              <w:t xml:space="preserve">Traditionally, in research and practice, the provision of financial education has been widely recognized as a public task, typically funded by public resources, although often outsourced to private actors. This conventional approach views banks’ involvement in financial education as discretionary and subject to autonomous, self-defined boundaries. However, financial institutions such as banks are one of the key beneficiaries of societal financial activities while also serving as focal points of risk in cases of inadequate financial competencies.  </w:t>
            </w:r>
          </w:p>
          <w:p w14:paraId="54F9A33D" w14:textId="77777777" w:rsidR="000D4953" w:rsidRPr="00163470" w:rsidRDefault="000D4953" w:rsidP="000D4953">
            <w:pPr>
              <w:rPr>
                <w:rFonts w:eastAsiaTheme="minorEastAsia"/>
              </w:rPr>
            </w:pPr>
            <w:r w:rsidRPr="00163470">
              <w:rPr>
                <w:rFonts w:eastAsiaTheme="minorEastAsia"/>
              </w:rPr>
              <w:t xml:space="preserve">Drawing on interdisciplinary scholarship revolving around the question of the role and responsibilities of banks within society, we advocate for a paradigm shift toward recognizing the crucial role of banks in providing financial education. Due to the interconnected nature of banks' activities and the issue of financial competencies, public policy in the field of financial education should assign them a crucial role and strive for concrete delineation of their responsibilities. Current policies primarily describe banks' participation in financial education as voluntary, which seems inadequate for substantially improving the state of financial education and, subsequently, financial competencies and well-being. Our paper explores potential avenues for regulatory interventions and the establishment of legal frameworks that compel banks to actively contribute to financial education initiatives. We posit that the role and involvement of banks should not be left to market mechanisms based on voluntariness and discretion.  </w:t>
            </w:r>
          </w:p>
          <w:p w14:paraId="07F84C28" w14:textId="77777777" w:rsidR="000D4953" w:rsidRPr="00163470" w:rsidRDefault="000D4953" w:rsidP="000D4953">
            <w:pPr>
              <w:rPr>
                <w:rFonts w:eastAsiaTheme="minorEastAsia"/>
              </w:rPr>
            </w:pPr>
          </w:p>
        </w:tc>
      </w:tr>
      <w:tr w:rsidR="000D4953" w:rsidRPr="00163470" w14:paraId="6E82A7F7" w14:textId="77777777" w:rsidTr="00A64796">
        <w:tc>
          <w:tcPr>
            <w:tcW w:w="2683" w:type="dxa"/>
          </w:tcPr>
          <w:p w14:paraId="7CD4FA16"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proofErr w:type="spellStart"/>
            <w:r w:rsidRPr="00163470">
              <w:rPr>
                <w:rFonts w:asciiTheme="majorHAnsi" w:eastAsiaTheme="majorEastAsia" w:hAnsiTheme="majorHAnsi" w:cstheme="majorBidi"/>
                <w:color w:val="0F4761" w:themeColor="accent1" w:themeShade="BF"/>
                <w:sz w:val="32"/>
                <w:szCs w:val="32"/>
              </w:rPr>
              <w:lastRenderedPageBreak/>
              <w:t>Zokaityte</w:t>
            </w:r>
            <w:proofErr w:type="spellEnd"/>
            <w:r w:rsidRPr="00163470">
              <w:rPr>
                <w:rFonts w:asciiTheme="majorHAnsi" w:eastAsiaTheme="majorEastAsia" w:hAnsiTheme="majorHAnsi" w:cstheme="majorBidi"/>
                <w:color w:val="0F4761" w:themeColor="accent1" w:themeShade="BF"/>
                <w:sz w:val="32"/>
                <w:szCs w:val="32"/>
              </w:rPr>
              <w:t>, Asta</w:t>
            </w:r>
          </w:p>
        </w:tc>
        <w:tc>
          <w:tcPr>
            <w:tcW w:w="11062" w:type="dxa"/>
          </w:tcPr>
          <w:p w14:paraId="118B1342" w14:textId="77777777" w:rsidR="000D4953" w:rsidRPr="00163470" w:rsidRDefault="000D4953" w:rsidP="000D4953">
            <w:pPr>
              <w:rPr>
                <w:rFonts w:eastAsiaTheme="minorEastAsia"/>
                <w:b/>
                <w:bCs/>
              </w:rPr>
            </w:pPr>
            <w:proofErr w:type="spellStart"/>
            <w:r w:rsidRPr="00163470">
              <w:rPr>
                <w:rFonts w:eastAsiaTheme="minorEastAsia"/>
                <w:b/>
                <w:bCs/>
              </w:rPr>
              <w:t>FemTech</w:t>
            </w:r>
            <w:proofErr w:type="spellEnd"/>
            <w:r w:rsidRPr="00163470">
              <w:rPr>
                <w:rFonts w:eastAsiaTheme="minorEastAsia"/>
                <w:b/>
                <w:bCs/>
              </w:rPr>
              <w:t xml:space="preserve"> Assets </w:t>
            </w:r>
          </w:p>
          <w:p w14:paraId="1F6E88CB" w14:textId="77777777" w:rsidR="000D4953" w:rsidRPr="00163470" w:rsidRDefault="000D4953" w:rsidP="000D4953">
            <w:pPr>
              <w:rPr>
                <w:rFonts w:eastAsiaTheme="minorEastAsia"/>
                <w:b/>
                <w:bCs/>
              </w:rPr>
            </w:pPr>
            <w:r w:rsidRPr="00163470">
              <w:rPr>
                <w:rFonts w:eastAsiaTheme="minorEastAsia"/>
              </w:rPr>
              <w:t xml:space="preserve">To what extent can </w:t>
            </w:r>
            <w:proofErr w:type="spellStart"/>
            <w:r w:rsidRPr="00163470">
              <w:rPr>
                <w:rFonts w:eastAsiaTheme="minorEastAsia"/>
              </w:rPr>
              <w:t>FemTech</w:t>
            </w:r>
            <w:proofErr w:type="spellEnd"/>
            <w:r w:rsidRPr="00163470">
              <w:rPr>
                <w:rFonts w:eastAsiaTheme="minorEastAsia"/>
              </w:rPr>
              <w:t xml:space="preserve"> and </w:t>
            </w:r>
            <w:proofErr w:type="spellStart"/>
            <w:r w:rsidRPr="00163470">
              <w:rPr>
                <w:rFonts w:eastAsiaTheme="minorEastAsia"/>
              </w:rPr>
              <w:t>FemTech</w:t>
            </w:r>
            <w:proofErr w:type="spellEnd"/>
            <w:r w:rsidRPr="00163470">
              <w:rPr>
                <w:rFonts w:eastAsiaTheme="minorEastAsia"/>
              </w:rPr>
              <w:t xml:space="preserve"> markets tackle structural gender inequalities in health and healthcare? This paper seeks to explore this question through the empirical study of </w:t>
            </w:r>
            <w:proofErr w:type="spellStart"/>
            <w:r w:rsidRPr="00163470">
              <w:rPr>
                <w:rFonts w:eastAsiaTheme="minorEastAsia"/>
              </w:rPr>
              <w:t>FemTech</w:t>
            </w:r>
            <w:proofErr w:type="spellEnd"/>
            <w:r w:rsidRPr="00163470">
              <w:rPr>
                <w:rFonts w:eastAsiaTheme="minorEastAsia"/>
              </w:rPr>
              <w:t xml:space="preserve"> </w:t>
            </w:r>
            <w:proofErr w:type="spellStart"/>
            <w:r w:rsidRPr="00163470">
              <w:rPr>
                <w:rFonts w:eastAsiaTheme="minorEastAsia"/>
              </w:rPr>
              <w:t>assetisation</w:t>
            </w:r>
            <w:proofErr w:type="spellEnd"/>
            <w:r w:rsidRPr="00163470">
              <w:rPr>
                <w:rFonts w:eastAsiaTheme="minorEastAsia"/>
              </w:rPr>
              <w:t xml:space="preserve">. Departing from current feminist engagements with </w:t>
            </w:r>
            <w:proofErr w:type="spellStart"/>
            <w:r w:rsidRPr="00163470">
              <w:rPr>
                <w:rFonts w:eastAsiaTheme="minorEastAsia"/>
              </w:rPr>
              <w:t>FemTech</w:t>
            </w:r>
            <w:proofErr w:type="spellEnd"/>
            <w:r w:rsidRPr="00163470">
              <w:rPr>
                <w:rFonts w:eastAsiaTheme="minorEastAsia"/>
              </w:rPr>
              <w:t xml:space="preserve"> which conceive of </w:t>
            </w:r>
            <w:proofErr w:type="spellStart"/>
            <w:r w:rsidRPr="00163470">
              <w:rPr>
                <w:rFonts w:eastAsiaTheme="minorEastAsia"/>
              </w:rPr>
              <w:t>FemTech</w:t>
            </w:r>
            <w:proofErr w:type="spellEnd"/>
            <w:r w:rsidRPr="00163470">
              <w:rPr>
                <w:rFonts w:eastAsiaTheme="minorEastAsia"/>
              </w:rPr>
              <w:t xml:space="preserve"> as a gendered and harmful technology of surveillance, this paper offers an ontological and normative rethink of </w:t>
            </w:r>
            <w:proofErr w:type="spellStart"/>
            <w:r w:rsidRPr="00163470">
              <w:rPr>
                <w:rFonts w:eastAsiaTheme="minorEastAsia"/>
              </w:rPr>
              <w:t>FemTech</w:t>
            </w:r>
            <w:proofErr w:type="spellEnd"/>
            <w:r w:rsidRPr="00163470">
              <w:rPr>
                <w:rFonts w:eastAsiaTheme="minorEastAsia"/>
              </w:rPr>
              <w:t xml:space="preserve"> as assets. </w:t>
            </w:r>
            <w:proofErr w:type="spellStart"/>
            <w:r w:rsidRPr="00163470">
              <w:rPr>
                <w:rFonts w:eastAsiaTheme="minorEastAsia"/>
              </w:rPr>
              <w:t>FemTech</w:t>
            </w:r>
            <w:proofErr w:type="spellEnd"/>
            <w:r w:rsidRPr="00163470">
              <w:rPr>
                <w:rFonts w:eastAsiaTheme="minorEastAsia"/>
              </w:rPr>
              <w:t xml:space="preserve"> as assets opens an alternative way of thinking about structural inequality in health. It centres its analytical focus on </w:t>
            </w:r>
            <w:proofErr w:type="spellStart"/>
            <w:r w:rsidRPr="00163470">
              <w:rPr>
                <w:rFonts w:eastAsiaTheme="minorEastAsia"/>
              </w:rPr>
              <w:t>FemTech</w:t>
            </w:r>
            <w:proofErr w:type="spellEnd"/>
            <w:r w:rsidRPr="00163470">
              <w:rPr>
                <w:rFonts w:eastAsiaTheme="minorEastAsia"/>
              </w:rPr>
              <w:t xml:space="preserve"> </w:t>
            </w:r>
            <w:proofErr w:type="spellStart"/>
            <w:r w:rsidRPr="00163470">
              <w:rPr>
                <w:rFonts w:eastAsiaTheme="minorEastAsia"/>
              </w:rPr>
              <w:t>assetisation</w:t>
            </w:r>
            <w:proofErr w:type="spellEnd"/>
            <w:r w:rsidRPr="00163470">
              <w:rPr>
                <w:rFonts w:eastAsiaTheme="minorEastAsia"/>
              </w:rPr>
              <w:t xml:space="preserve"> practices, facilitated and driven by venture capital’s logic of scalability and immediate profitability. Most significantly, the paper examines specific instances of consumer access to </w:t>
            </w:r>
            <w:proofErr w:type="spellStart"/>
            <w:r w:rsidRPr="00163470">
              <w:rPr>
                <w:rFonts w:eastAsiaTheme="minorEastAsia"/>
              </w:rPr>
              <w:t>FemTech</w:t>
            </w:r>
            <w:proofErr w:type="spellEnd"/>
            <w:r w:rsidRPr="00163470">
              <w:rPr>
                <w:rFonts w:eastAsiaTheme="minorEastAsia"/>
              </w:rPr>
              <w:t xml:space="preserve"> assets to demonstrate how </w:t>
            </w:r>
            <w:proofErr w:type="spellStart"/>
            <w:r w:rsidRPr="00163470">
              <w:rPr>
                <w:rFonts w:eastAsiaTheme="minorEastAsia"/>
              </w:rPr>
              <w:t>FemTech</w:t>
            </w:r>
            <w:proofErr w:type="spellEnd"/>
            <w:r w:rsidRPr="00163470">
              <w:rPr>
                <w:rFonts w:eastAsiaTheme="minorEastAsia"/>
              </w:rPr>
              <w:t xml:space="preserve"> </w:t>
            </w:r>
            <w:proofErr w:type="spellStart"/>
            <w:r w:rsidRPr="00163470">
              <w:rPr>
                <w:rFonts w:eastAsiaTheme="minorEastAsia"/>
              </w:rPr>
              <w:t>assetisation</w:t>
            </w:r>
            <w:proofErr w:type="spellEnd"/>
            <w:r w:rsidRPr="00163470">
              <w:rPr>
                <w:rFonts w:eastAsiaTheme="minorEastAsia"/>
              </w:rPr>
              <w:t xml:space="preserve"> monetise on, sustain and reproduce rather than challenge structural health inequalities within and beyond </w:t>
            </w:r>
            <w:proofErr w:type="spellStart"/>
            <w:r w:rsidRPr="00163470">
              <w:rPr>
                <w:rFonts w:eastAsiaTheme="minorEastAsia"/>
              </w:rPr>
              <w:t>FemTech</w:t>
            </w:r>
            <w:proofErr w:type="spellEnd"/>
            <w:r w:rsidRPr="00163470">
              <w:rPr>
                <w:rFonts w:eastAsiaTheme="minorEastAsia"/>
              </w:rPr>
              <w:t xml:space="preserve"> markets.</w:t>
            </w:r>
          </w:p>
        </w:tc>
      </w:tr>
      <w:tr w:rsidR="000D4953" w:rsidRPr="00163470" w14:paraId="261C99DF" w14:textId="77777777" w:rsidTr="00A64796">
        <w:tc>
          <w:tcPr>
            <w:tcW w:w="2683" w:type="dxa"/>
          </w:tcPr>
          <w:p w14:paraId="25728EDE" w14:textId="77777777" w:rsidR="000D4953" w:rsidRPr="00163470" w:rsidRDefault="000D4953" w:rsidP="000D4953">
            <w:pPr>
              <w:keepNext/>
              <w:keepLines/>
              <w:spacing w:before="160" w:after="80"/>
              <w:outlineLvl w:val="1"/>
              <w:rPr>
                <w:rFonts w:ascii="Arial" w:eastAsiaTheme="majorEastAsia" w:hAnsi="Arial" w:cs="Arial"/>
                <w:color w:val="000000"/>
                <w:sz w:val="20"/>
                <w:szCs w:val="20"/>
              </w:rPr>
            </w:pPr>
            <w:r w:rsidRPr="00163470">
              <w:rPr>
                <w:rFonts w:ascii="Arial" w:eastAsiaTheme="majorEastAsia" w:hAnsi="Arial" w:cs="Arial"/>
                <w:color w:val="000000"/>
                <w:sz w:val="20"/>
                <w:szCs w:val="20"/>
              </w:rPr>
              <w:lastRenderedPageBreak/>
              <w:t>Henrikson, Ann-Sofie</w:t>
            </w:r>
          </w:p>
        </w:tc>
        <w:tc>
          <w:tcPr>
            <w:tcW w:w="11062" w:type="dxa"/>
          </w:tcPr>
          <w:p w14:paraId="36DF8FEC"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t>E-identification as a Tool for Economic Abuse</w:t>
            </w:r>
          </w:p>
          <w:p w14:paraId="39A13032" w14:textId="77777777" w:rsidR="000D4953" w:rsidRPr="00163470" w:rsidRDefault="000D4953" w:rsidP="000D4953">
            <w:pPr>
              <w:rPr>
                <w:rFonts w:eastAsiaTheme="minorEastAsia"/>
              </w:rPr>
            </w:pPr>
          </w:p>
          <w:p w14:paraId="77C2B15F" w14:textId="77777777" w:rsidR="000D4953" w:rsidRPr="00163470" w:rsidRDefault="000D4953" w:rsidP="000D4953">
            <w:pPr>
              <w:rPr>
                <w:rFonts w:eastAsiaTheme="minorEastAsia"/>
              </w:rPr>
            </w:pPr>
            <w:r w:rsidRPr="00163470">
              <w:rPr>
                <w:rFonts w:eastAsiaTheme="minorEastAsia"/>
              </w:rPr>
              <w:t xml:space="preserve">In our interdisciplinary research project, 18 women who have been exposed to physical violence in close relationships were interviewed about whether they had also been subjected to various forms of economic violence and how this was expressed. We also asked about their economic situation before and after they broke up from the relationship (all those interviewed have left the violent man). A recurring theme in their stories is the use of digital technology and e-ID as tools for control and economic exploitation, often underpinned by threats and violence. </w:t>
            </w:r>
          </w:p>
          <w:p w14:paraId="031B8718" w14:textId="77777777" w:rsidR="000D4953" w:rsidRPr="00163470" w:rsidRDefault="000D4953" w:rsidP="000D4953">
            <w:pPr>
              <w:rPr>
                <w:rFonts w:eastAsiaTheme="minorEastAsia"/>
              </w:rPr>
            </w:pPr>
          </w:p>
          <w:p w14:paraId="521A67AE" w14:textId="77777777" w:rsidR="000D4953" w:rsidRPr="00163470" w:rsidRDefault="000D4953" w:rsidP="000D4953">
            <w:pPr>
              <w:rPr>
                <w:rFonts w:eastAsiaTheme="minorEastAsia"/>
              </w:rPr>
            </w:pPr>
            <w:r w:rsidRPr="00163470">
              <w:rPr>
                <w:rFonts w:eastAsiaTheme="minorEastAsia"/>
              </w:rPr>
              <w:t xml:space="preserve">In Sweden internet use by individuals is widespread, and the digital divides along lines of age, education, and income are narrower than in most OECD countries. Digital financial services provide customers with a range of financial services that are accessible around the clock, regardless of the customer’s physical location. These services offer easily accessible historical and real-time financial information to monitor and track bank account balances, loans, savings, online purchases, and other financial transactions. </w:t>
            </w:r>
          </w:p>
          <w:p w14:paraId="5A084E63" w14:textId="77777777" w:rsidR="000D4953" w:rsidRPr="00163470" w:rsidRDefault="000D4953" w:rsidP="000D4953">
            <w:pPr>
              <w:rPr>
                <w:rFonts w:eastAsiaTheme="minorEastAsia"/>
              </w:rPr>
            </w:pPr>
          </w:p>
          <w:p w14:paraId="0BB40416" w14:textId="77777777" w:rsidR="000D4953" w:rsidRPr="00163470" w:rsidRDefault="000D4953" w:rsidP="000D4953">
            <w:pPr>
              <w:rPr>
                <w:rFonts w:eastAsiaTheme="minorEastAsia"/>
              </w:rPr>
            </w:pPr>
            <w:r w:rsidRPr="00163470">
              <w:rPr>
                <w:rFonts w:eastAsiaTheme="minorEastAsia"/>
              </w:rPr>
              <w:t xml:space="preserve">To perform digital services online, most Swedes use an e-ID, certified and approved according to the EU framework for e-identification, with a trust level of “substantial”. With this e-ID, it is possible to both identify oneself and enter into agreements. This is practical and convenient for many but poses an increased risk of financial abuse for others. </w:t>
            </w:r>
          </w:p>
          <w:p w14:paraId="140D647C" w14:textId="77777777" w:rsidR="000D4953" w:rsidRPr="00163470" w:rsidRDefault="000D4953" w:rsidP="000D4953">
            <w:pPr>
              <w:rPr>
                <w:rFonts w:eastAsiaTheme="minorEastAsia"/>
              </w:rPr>
            </w:pPr>
          </w:p>
          <w:p w14:paraId="60D4AE21" w14:textId="77777777" w:rsidR="000D4953" w:rsidRPr="00163470" w:rsidRDefault="000D4953" w:rsidP="000D4953">
            <w:pPr>
              <w:rPr>
                <w:rFonts w:eastAsiaTheme="minorEastAsia"/>
              </w:rPr>
            </w:pPr>
            <w:r w:rsidRPr="00163470">
              <w:rPr>
                <w:rFonts w:eastAsiaTheme="minorEastAsia"/>
              </w:rPr>
              <w:t>In our study, we see recurring examples of how the man abused her e-identification in various ways, for example by entering into credit agreements in her name, without her knowing about it. In many cases, the indebtedness has made it difficult for the woman to leave the violent relationship, and once it ended, the financial consequences remain.</w:t>
            </w:r>
          </w:p>
          <w:p w14:paraId="5A2913F5" w14:textId="77777777" w:rsidR="000D4953" w:rsidRPr="00163470" w:rsidRDefault="000D4953" w:rsidP="000D4953">
            <w:pPr>
              <w:rPr>
                <w:rFonts w:eastAsiaTheme="minorEastAsia"/>
              </w:rPr>
            </w:pPr>
          </w:p>
          <w:p w14:paraId="74EF9463" w14:textId="20B82C6B" w:rsidR="000D4953" w:rsidRPr="00163470" w:rsidRDefault="000D4953" w:rsidP="000D4953">
            <w:pPr>
              <w:rPr>
                <w:rFonts w:eastAsiaTheme="minorEastAsia"/>
              </w:rPr>
            </w:pPr>
            <w:r w:rsidRPr="00163470">
              <w:rPr>
                <w:rFonts w:eastAsiaTheme="minorEastAsia"/>
              </w:rPr>
              <w:t xml:space="preserve">The women's stories, as seen in the study, are in many aspects generalizable for consumers in general and highlight shortcomings in consumer protection. This underscores the need for legal measures to </w:t>
            </w:r>
            <w:r w:rsidRPr="00163470">
              <w:rPr>
                <w:rFonts w:eastAsiaTheme="minorEastAsia"/>
              </w:rPr>
              <w:lastRenderedPageBreak/>
              <w:t xml:space="preserve">strengthen the individual's protection not only against fraud by strangers but also against fraudulent </w:t>
            </w:r>
            <w:r w:rsidR="00163470" w:rsidRPr="00163470">
              <w:rPr>
                <w:rFonts w:eastAsiaTheme="minorEastAsia"/>
              </w:rPr>
              <w:t>behaviour</w:t>
            </w:r>
            <w:r w:rsidRPr="00163470">
              <w:rPr>
                <w:rFonts w:eastAsiaTheme="minorEastAsia"/>
              </w:rPr>
              <w:t xml:space="preserve"> within the family.</w:t>
            </w:r>
          </w:p>
        </w:tc>
      </w:tr>
      <w:tr w:rsidR="000D4953" w:rsidRPr="00163470" w14:paraId="3FAB1733" w14:textId="77777777" w:rsidTr="00A64796">
        <w:tc>
          <w:tcPr>
            <w:tcW w:w="2683" w:type="dxa"/>
          </w:tcPr>
          <w:p w14:paraId="3247B5E3" w14:textId="77777777" w:rsidR="000D4953" w:rsidRPr="00163470" w:rsidRDefault="000D4953" w:rsidP="000D4953">
            <w:pPr>
              <w:keepNext/>
              <w:keepLines/>
              <w:spacing w:before="160" w:after="80"/>
              <w:outlineLvl w:val="1"/>
              <w:rPr>
                <w:rFonts w:ascii="Arial" w:eastAsiaTheme="majorEastAsia" w:hAnsi="Arial" w:cs="Arial"/>
                <w:color w:val="000000"/>
                <w:sz w:val="20"/>
                <w:szCs w:val="20"/>
              </w:rPr>
            </w:pPr>
            <w:r w:rsidRPr="00163470">
              <w:rPr>
                <w:rFonts w:ascii="Arial" w:eastAsiaTheme="majorEastAsia" w:hAnsi="Arial" w:cs="Arial"/>
                <w:color w:val="000000"/>
                <w:sz w:val="20"/>
                <w:szCs w:val="20"/>
              </w:rPr>
              <w:lastRenderedPageBreak/>
              <w:t>Lutman, Karmen</w:t>
            </w:r>
          </w:p>
          <w:p w14:paraId="04198FF3" w14:textId="77777777" w:rsidR="000D4953" w:rsidRPr="00163470" w:rsidRDefault="000D4953" w:rsidP="000D4953">
            <w:pPr>
              <w:rPr>
                <w:rFonts w:eastAsiaTheme="minorEastAsia"/>
              </w:rPr>
            </w:pPr>
            <w:r w:rsidRPr="00163470">
              <w:rPr>
                <w:rFonts w:eastAsiaTheme="minorEastAsia"/>
              </w:rPr>
              <w:t xml:space="preserve">PhD (University of Ljubljana), LL.M. (HU Berlin), Assistant Professor, Department of Civil Law, Faculty of Law, University of Ljubljana; Researcher at the Institute for Comparative Law at the Faculty of Law in Ljubljana, email: karmen.lutman@pf.uni-lj.si.  </w:t>
            </w:r>
          </w:p>
        </w:tc>
        <w:tc>
          <w:tcPr>
            <w:tcW w:w="11062" w:type="dxa"/>
          </w:tcPr>
          <w:p w14:paraId="63B3FF85" w14:textId="77777777" w:rsidR="000D4953" w:rsidRPr="00163470" w:rsidRDefault="000D4953" w:rsidP="000D4953">
            <w:pPr>
              <w:spacing w:after="118"/>
              <w:rPr>
                <w:rFonts w:eastAsiaTheme="minorEastAsia"/>
              </w:rPr>
            </w:pPr>
            <w:r w:rsidRPr="00163470">
              <w:rPr>
                <w:rFonts w:ascii="Calibri" w:eastAsia="Calibri" w:hAnsi="Calibri" w:cs="Calibri"/>
                <w:b/>
                <w:sz w:val="28"/>
              </w:rPr>
              <w:t xml:space="preserve">Restitution of Void Foreign Currency Loans: A New Paradigm in the Law of Unjustified Enrichment? </w:t>
            </w:r>
          </w:p>
          <w:p w14:paraId="0B5E6B89" w14:textId="77777777" w:rsidR="000D4953" w:rsidRPr="00163470" w:rsidRDefault="000D4953" w:rsidP="000D4953">
            <w:pPr>
              <w:ind w:left="-5" w:right="-13"/>
              <w:rPr>
                <w:rFonts w:eastAsiaTheme="minorEastAsia"/>
              </w:rPr>
            </w:pPr>
            <w:r w:rsidRPr="00163470">
              <w:rPr>
                <w:rFonts w:eastAsiaTheme="minorEastAsia"/>
              </w:rPr>
              <w:t>If a contract is void, it has to be unwound, which means that both parties have to give back what they have received under this contract. The process of winding up aims at restoring both parties, as far as possible, to the position in which they were, when the contract was concluded (</w:t>
            </w:r>
            <w:r w:rsidRPr="00163470">
              <w:rPr>
                <w:rFonts w:ascii="Calibri" w:eastAsia="Calibri" w:hAnsi="Calibri" w:cs="Calibri"/>
                <w:i/>
              </w:rPr>
              <w:t xml:space="preserve">status quo ante </w:t>
            </w:r>
            <w:proofErr w:type="spellStart"/>
            <w:r w:rsidRPr="00163470">
              <w:rPr>
                <w:rFonts w:ascii="Calibri" w:eastAsia="Calibri" w:hAnsi="Calibri" w:cs="Calibri"/>
                <w:i/>
              </w:rPr>
              <w:t>contractum</w:t>
            </w:r>
            <w:proofErr w:type="spellEnd"/>
            <w:r w:rsidRPr="00163470">
              <w:rPr>
                <w:rFonts w:eastAsiaTheme="minorEastAsia"/>
              </w:rPr>
              <w:t xml:space="preserve">). Most European legal systems thereby apply the rules of unjustified enrichment, while there is no comprehensive regime for restitution after failed contracts in the European private law.  </w:t>
            </w:r>
          </w:p>
          <w:p w14:paraId="40500E8F" w14:textId="77777777" w:rsidR="000D4953" w:rsidRPr="00163470" w:rsidRDefault="000D4953" w:rsidP="000D4953">
            <w:pPr>
              <w:ind w:left="-5" w:right="-13"/>
              <w:rPr>
                <w:rFonts w:eastAsiaTheme="minorEastAsia"/>
              </w:rPr>
            </w:pPr>
            <w:r w:rsidRPr="00163470">
              <w:rPr>
                <w:rFonts w:eastAsiaTheme="minorEastAsia"/>
              </w:rPr>
              <w:t xml:space="preserve">In recent years, Slovenian courts are facing massive amount of consumer claims for the annulment of loan agreements indexed to the Swiss francs. Followed by a series of decisions of the Supreme Court of the Republic of Slovenia finding such contracts void in their entirety, these cases are now moving into the restitution phase. Recently, the CJEU gave some guidance as to the </w:t>
            </w:r>
            <w:proofErr w:type="spellStart"/>
            <w:r w:rsidRPr="00163470">
              <w:rPr>
                <w:rFonts w:eastAsiaTheme="minorEastAsia"/>
              </w:rPr>
              <w:t>restitutionary</w:t>
            </w:r>
            <w:proofErr w:type="spellEnd"/>
            <w:r w:rsidRPr="00163470">
              <w:rPr>
                <w:rFonts w:eastAsiaTheme="minorEastAsia"/>
              </w:rPr>
              <w:t xml:space="preserve"> consequences of the annulment of such agreements (C-520/21). However, due to the lack of EU statutory rules on this issue, national rules of Member States on unwinding failed contracts apply accordingly. In this regard, several questions have already emerged before Slovenian courts regarding the application and interpretation of the domestic rules of unjustified enrichment in conformity with EU law, more precisely the issue of valorisation, enrichment interests, reimbursement of costs and the question to what extent should the principle of reciprocity be followed in the </w:t>
            </w:r>
            <w:proofErr w:type="spellStart"/>
            <w:r w:rsidRPr="00163470">
              <w:rPr>
                <w:rFonts w:eastAsiaTheme="minorEastAsia"/>
              </w:rPr>
              <w:t>restitutionary</w:t>
            </w:r>
            <w:proofErr w:type="spellEnd"/>
            <w:r w:rsidRPr="00163470">
              <w:rPr>
                <w:rFonts w:eastAsiaTheme="minorEastAsia"/>
              </w:rPr>
              <w:t xml:space="preserve"> phase (the issue of netting off).  </w:t>
            </w:r>
          </w:p>
          <w:p w14:paraId="5A4B48BB" w14:textId="61EB1BB0" w:rsidR="000D4953" w:rsidRPr="00163470" w:rsidRDefault="000D4953" w:rsidP="000D4953">
            <w:pPr>
              <w:ind w:left="-5" w:right="-13"/>
              <w:rPr>
                <w:rFonts w:eastAsiaTheme="minorEastAsia"/>
              </w:rPr>
            </w:pPr>
            <w:r w:rsidRPr="00163470">
              <w:rPr>
                <w:rFonts w:eastAsiaTheme="minorEastAsia"/>
              </w:rPr>
              <w:t xml:space="preserve">In this regard, this paper aims to analyse the </w:t>
            </w:r>
            <w:proofErr w:type="spellStart"/>
            <w:r w:rsidRPr="00163470">
              <w:rPr>
                <w:rFonts w:eastAsiaTheme="minorEastAsia"/>
              </w:rPr>
              <w:t>restitutionary</w:t>
            </w:r>
            <w:proofErr w:type="spellEnd"/>
            <w:r w:rsidRPr="00163470">
              <w:rPr>
                <w:rFonts w:eastAsiaTheme="minorEastAsia"/>
              </w:rPr>
              <w:t xml:space="preserve"> challenges followed by the annulment of foreign currency loans. By doing so, first Slovenian judgements on this issue are presented resembling difficulties of a conform interpretation of the Slovenian law of obligations. With reference to the reasoning of the CJEU in its judgement C-520/21 the paper aims to </w:t>
            </w:r>
            <w:r w:rsidR="00163470" w:rsidRPr="00163470">
              <w:rPr>
                <w:rFonts w:eastAsiaTheme="minorEastAsia"/>
              </w:rPr>
              <w:t>assess</w:t>
            </w:r>
            <w:r w:rsidRPr="00163470">
              <w:rPr>
                <w:rFonts w:eastAsiaTheme="minorEastAsia"/>
              </w:rPr>
              <w:t xml:space="preserve"> to what extent does the EU consumer law - in favour of consumers - deviate from the deeply rooted principles of the law of unjustified enrichment.   </w:t>
            </w:r>
          </w:p>
          <w:p w14:paraId="15322466" w14:textId="77777777" w:rsidR="000D4953" w:rsidRPr="00163470" w:rsidRDefault="000D4953" w:rsidP="000D4953">
            <w:pPr>
              <w:rPr>
                <w:rFonts w:eastAsiaTheme="minorEastAsia"/>
              </w:rPr>
            </w:pPr>
          </w:p>
        </w:tc>
      </w:tr>
      <w:tr w:rsidR="000D4953" w:rsidRPr="00163470" w14:paraId="7A1E804C" w14:textId="77777777" w:rsidTr="00A64796">
        <w:tc>
          <w:tcPr>
            <w:tcW w:w="2683" w:type="dxa"/>
          </w:tcPr>
          <w:p w14:paraId="21A5D792" w14:textId="77777777" w:rsidR="000D4953" w:rsidRPr="00163470" w:rsidRDefault="000D4953" w:rsidP="000D4953">
            <w:pPr>
              <w:keepNext/>
              <w:keepLines/>
              <w:spacing w:before="160" w:after="80"/>
              <w:outlineLvl w:val="1"/>
              <w:rPr>
                <w:rFonts w:ascii="Arial" w:eastAsiaTheme="majorEastAsia" w:hAnsi="Arial" w:cs="Arial"/>
                <w:color w:val="000000"/>
                <w:sz w:val="20"/>
                <w:szCs w:val="20"/>
              </w:rPr>
            </w:pPr>
            <w:r w:rsidRPr="00163470">
              <w:rPr>
                <w:rFonts w:asciiTheme="majorHAnsi" w:eastAsiaTheme="majorEastAsia" w:hAnsiTheme="majorHAnsi" w:cstheme="majorBidi"/>
                <w:color w:val="0F4761" w:themeColor="accent1" w:themeShade="BF"/>
                <w:sz w:val="32"/>
                <w:szCs w:val="32"/>
              </w:rPr>
              <w:lastRenderedPageBreak/>
              <w:t>Mucha, Jagna</w:t>
            </w:r>
          </w:p>
        </w:tc>
        <w:tc>
          <w:tcPr>
            <w:tcW w:w="11062" w:type="dxa"/>
          </w:tcPr>
          <w:p w14:paraId="724BBFEC" w14:textId="77777777" w:rsidR="000D4953" w:rsidRPr="00163470" w:rsidRDefault="000D4953" w:rsidP="000D4953">
            <w:pPr>
              <w:rPr>
                <w:rFonts w:eastAsiaTheme="minorEastAsia"/>
              </w:rPr>
            </w:pPr>
            <w:r w:rsidRPr="00163470">
              <w:rPr>
                <w:rFonts w:eastAsiaTheme="minorEastAsia"/>
              </w:rPr>
              <w:t xml:space="preserve">Public enforcement of consumer law in financial services </w:t>
            </w:r>
          </w:p>
          <w:p w14:paraId="5F0EB04D" w14:textId="77777777" w:rsidR="000D4953" w:rsidRPr="00163470" w:rsidRDefault="000D4953" w:rsidP="000D4953">
            <w:pPr>
              <w:rPr>
                <w:rFonts w:ascii="Times" w:eastAsiaTheme="minorEastAsia" w:hAnsi="Times"/>
              </w:rPr>
            </w:pPr>
          </w:p>
          <w:p w14:paraId="518E65A5" w14:textId="66645512" w:rsidR="000D4953" w:rsidRPr="00163470" w:rsidRDefault="000D4953" w:rsidP="000D4953">
            <w:pPr>
              <w:rPr>
                <w:rFonts w:eastAsiaTheme="minorEastAsia"/>
              </w:rPr>
            </w:pPr>
            <w:r w:rsidRPr="00163470">
              <w:rPr>
                <w:rFonts w:eastAsiaTheme="minorEastAsia"/>
              </w:rPr>
              <w:t xml:space="preserve">In the following paper the author </w:t>
            </w:r>
            <w:r w:rsidR="00163470" w:rsidRPr="00163470">
              <w:rPr>
                <w:rFonts w:eastAsiaTheme="minorEastAsia"/>
              </w:rPr>
              <w:t>analyses</w:t>
            </w:r>
            <w:r w:rsidRPr="00163470">
              <w:rPr>
                <w:rFonts w:eastAsiaTheme="minorEastAsia"/>
              </w:rPr>
              <w:t xml:space="preserve"> the mechanisms that allow for effective public enforcement of consumer law in financial services in various jurisdictions. This issue is particularly significant since, unlike the most of consumer claims, the claims relating to financial services are often of considerable value. Practice shows that in the field of financial services consumers are interested in enforcing their rights. Well-designed enforcement mechanism may therefore constitute a solution for many serious problems faced by consumer, with a prominent example of consumer loans secured by the mortgages. </w:t>
            </w:r>
          </w:p>
          <w:p w14:paraId="5EDE4574" w14:textId="77777777" w:rsidR="000D4953" w:rsidRPr="00163470" w:rsidRDefault="000D4953" w:rsidP="000D4953">
            <w:pPr>
              <w:rPr>
                <w:rFonts w:eastAsiaTheme="minorEastAsia"/>
              </w:rPr>
            </w:pPr>
          </w:p>
          <w:p w14:paraId="101B5D2B" w14:textId="77777777" w:rsidR="000D4953" w:rsidRPr="00163470" w:rsidRDefault="000D4953" w:rsidP="000D4953">
            <w:pPr>
              <w:rPr>
                <w:rFonts w:eastAsiaTheme="minorEastAsia"/>
              </w:rPr>
            </w:pPr>
            <w:r w:rsidRPr="00163470">
              <w:rPr>
                <w:rFonts w:eastAsiaTheme="minorEastAsia"/>
              </w:rPr>
              <w:t xml:space="preserve">National traditions in the domain of consumer law enforcement are varied. Some Member States traditionally follow private (Germany and Austria) and other public law enforcement models (most Central and Eastern European countries, which, within the process of accession to the EU, were obliged to establish a public authority with general and horizontal competence regarding consumer affairs). While the primary function of public law enforcement is deterrence from its infringements, private enforcement's primary focus is compensation. Interestingly, some jurisdictions – including, among others, the UK and the US- allow for compensation to be awarded by public authorities. </w:t>
            </w:r>
          </w:p>
          <w:p w14:paraId="04D1EEED" w14:textId="77777777" w:rsidR="000D4953" w:rsidRPr="00163470" w:rsidRDefault="000D4953" w:rsidP="000D4953">
            <w:pPr>
              <w:rPr>
                <w:rFonts w:eastAsiaTheme="minorEastAsia"/>
              </w:rPr>
            </w:pPr>
          </w:p>
          <w:p w14:paraId="04C7A556" w14:textId="77777777" w:rsidR="000D4953" w:rsidRPr="00163470" w:rsidRDefault="000D4953" w:rsidP="000D4953">
            <w:pPr>
              <w:rPr>
                <w:rFonts w:eastAsiaTheme="minorEastAsia"/>
              </w:rPr>
            </w:pPr>
            <w:r w:rsidRPr="00163470">
              <w:rPr>
                <w:rFonts w:eastAsiaTheme="minorEastAsia"/>
              </w:rPr>
              <w:t>The paper examines the powers of different public authorities/regulators in the domain of consumer law enforcement as well as the instruments serving this purpose in the relevant EU Member States, the UK, and the US. It aims to identify and assess the good practices in the context of them being worth reception in Poland.</w:t>
            </w:r>
          </w:p>
        </w:tc>
      </w:tr>
      <w:tr w:rsidR="000D4953" w:rsidRPr="00163470" w14:paraId="52E85B96" w14:textId="77777777" w:rsidTr="00A64796">
        <w:tc>
          <w:tcPr>
            <w:tcW w:w="2683" w:type="dxa"/>
          </w:tcPr>
          <w:p w14:paraId="7F2CDC51" w14:textId="77777777" w:rsidR="000D4953" w:rsidRPr="00163470" w:rsidRDefault="000D4953" w:rsidP="000D4953">
            <w:pPr>
              <w:keepNext/>
              <w:keepLines/>
              <w:spacing w:before="160" w:after="80"/>
              <w:outlineLvl w:val="1"/>
              <w:rPr>
                <w:rFonts w:asciiTheme="majorHAnsi" w:eastAsiaTheme="majorEastAsia" w:hAnsiTheme="majorHAnsi" w:cstheme="majorBidi"/>
                <w:color w:val="0F4761" w:themeColor="accent1" w:themeShade="BF"/>
                <w:sz w:val="32"/>
                <w:szCs w:val="32"/>
              </w:rPr>
            </w:pPr>
            <w:r w:rsidRPr="00163470">
              <w:rPr>
                <w:rFonts w:asciiTheme="majorHAnsi" w:eastAsiaTheme="majorEastAsia" w:hAnsiTheme="majorHAnsi" w:cstheme="majorBidi"/>
                <w:color w:val="0F4761" w:themeColor="accent1" w:themeShade="BF"/>
                <w:sz w:val="32"/>
                <w:szCs w:val="32"/>
              </w:rPr>
              <w:lastRenderedPageBreak/>
              <w:t>Lima Marques, Claudia</w:t>
            </w:r>
          </w:p>
          <w:p w14:paraId="770D013D" w14:textId="77777777" w:rsidR="000D4953" w:rsidRPr="00163470" w:rsidRDefault="000D4953" w:rsidP="000D4953">
            <w:pPr>
              <w:rPr>
                <w:rFonts w:eastAsiaTheme="minorEastAsia"/>
              </w:rPr>
            </w:pPr>
            <w:r w:rsidRPr="00163470">
              <w:rPr>
                <w:rFonts w:eastAsiaTheme="minorEastAsia"/>
              </w:rPr>
              <w:t>Dean and Full Professor of Law School of the Federal University of Rio Grande do Sul, Porto Alegre, Brazil, President of the IACL-International Association of Consumer Law (2023-2025), Chair of the ILA Committee on International Protection of Consumers</w:t>
            </w:r>
          </w:p>
          <w:p w14:paraId="48F57E11" w14:textId="77777777" w:rsidR="000D4953" w:rsidRPr="00163470" w:rsidRDefault="000D4953" w:rsidP="000D4953">
            <w:pPr>
              <w:rPr>
                <w:rFonts w:eastAsiaTheme="minorEastAsia"/>
              </w:rPr>
            </w:pPr>
            <w:r w:rsidRPr="00163470">
              <w:rPr>
                <w:rFonts w:eastAsiaTheme="minorEastAsia"/>
              </w:rPr>
              <w:t xml:space="preserve">cmarques.ufrgs@gmail.com or dirinter@ufrgs.br  </w:t>
            </w:r>
          </w:p>
          <w:p w14:paraId="0CF2243A" w14:textId="77777777" w:rsidR="000D4953" w:rsidRPr="00163470" w:rsidRDefault="000D4953" w:rsidP="000D4953">
            <w:pPr>
              <w:rPr>
                <w:rFonts w:eastAsiaTheme="minorEastAsia"/>
              </w:rPr>
            </w:pPr>
          </w:p>
        </w:tc>
        <w:tc>
          <w:tcPr>
            <w:tcW w:w="11062" w:type="dxa"/>
          </w:tcPr>
          <w:p w14:paraId="40647493" w14:textId="77777777" w:rsidR="000D4953" w:rsidRPr="00163470" w:rsidRDefault="000D4953" w:rsidP="000D4953">
            <w:pPr>
              <w:rPr>
                <w:rFonts w:eastAsiaTheme="minorEastAsia"/>
              </w:rPr>
            </w:pPr>
            <w:r w:rsidRPr="00163470">
              <w:rPr>
                <w:rFonts w:eastAsiaTheme="minorEastAsia"/>
              </w:rPr>
              <w:t xml:space="preserve">“The 2021 Reform of the Brazilian Consumer Code in Consumer Credit and Over-Indebtedness:  Effectiveness and Unanswered Questions” </w:t>
            </w:r>
          </w:p>
          <w:p w14:paraId="68D90B62" w14:textId="77777777" w:rsidR="000D4953" w:rsidRPr="00163470" w:rsidRDefault="000D4953" w:rsidP="000D4953">
            <w:pPr>
              <w:rPr>
                <w:rFonts w:eastAsiaTheme="minorEastAsia"/>
              </w:rPr>
            </w:pPr>
          </w:p>
          <w:p w14:paraId="6996A297" w14:textId="46F67BAD" w:rsidR="000D4953" w:rsidRPr="00163470" w:rsidRDefault="000D4953" w:rsidP="000D4953">
            <w:pPr>
              <w:rPr>
                <w:rFonts w:eastAsiaTheme="minorEastAsia"/>
              </w:rPr>
            </w:pPr>
            <w:r w:rsidRPr="00163470">
              <w:rPr>
                <w:rFonts w:eastAsiaTheme="minorEastAsia"/>
              </w:rPr>
              <w:t>Abstract: This paper focuses on the challenges of the Brazilian Consumer Code after the 2021 reform to achieve effective consumer protection on consumer credit and over-indebtedness, especially facing the endurance of the COVID-19 crisis. The Reform Law 14.181/2021 has its origins at the 2012 Senate Bill 283, made by a Commission of Jurists under the leadership of Antonio Herman Benjamin to update the 1990 Brazilian Consumer Code in credit fairness and to introduce in Brazil the treatment of the consumer over-indebtedness. This paper aims at the first part to introduce the main features of the new discipline of consumer credit in Brazil and critically analysis these new rules on responsible lending ‚à “</w:t>
            </w:r>
            <w:proofErr w:type="spellStart"/>
            <w:r w:rsidRPr="00163470">
              <w:rPr>
                <w:rFonts w:eastAsiaTheme="minorEastAsia"/>
              </w:rPr>
              <w:t>brasileira</w:t>
            </w:r>
            <w:proofErr w:type="spellEnd"/>
            <w:r w:rsidRPr="00163470">
              <w:rPr>
                <w:rFonts w:eastAsiaTheme="minorEastAsia"/>
              </w:rPr>
              <w:t xml:space="preserve">”. The second part of the paper aims to introduce the new treatment system for consumer over-indebtedness, </w:t>
            </w:r>
            <w:r w:rsidR="00163470" w:rsidRPr="00163470">
              <w:rPr>
                <w:rFonts w:eastAsiaTheme="minorEastAsia"/>
              </w:rPr>
              <w:t>analysing</w:t>
            </w:r>
            <w:r w:rsidRPr="00163470">
              <w:rPr>
                <w:rFonts w:eastAsiaTheme="minorEastAsia"/>
              </w:rPr>
              <w:t xml:space="preserve"> the new global conciliation audience and the 5 years payment plans without debt relief in a very sui generis adaptation of the French system. The paper will compare the two empirical research to pointed out the challenges and the effectiveness of the new system. One research before the law, </w:t>
            </w:r>
            <w:r w:rsidR="00163470" w:rsidRPr="00163470">
              <w:rPr>
                <w:rFonts w:eastAsiaTheme="minorEastAsia"/>
              </w:rPr>
              <w:t>analysing</w:t>
            </w:r>
            <w:r w:rsidRPr="00163470">
              <w:rPr>
                <w:rFonts w:eastAsiaTheme="minorEastAsia"/>
              </w:rPr>
              <w:t xml:space="preserve"> 6.125 consumer conciliation cases in a Pilot-Project in Porto Alegre; one with the initial 308 cases of consumer over-indebtedness conciliation audiences at the first three years of Law 14.181/2021 and its conciliation audiences in the two </w:t>
            </w:r>
            <w:proofErr w:type="spellStart"/>
            <w:r w:rsidRPr="00163470">
              <w:rPr>
                <w:rFonts w:eastAsiaTheme="minorEastAsia"/>
              </w:rPr>
              <w:t>Centers</w:t>
            </w:r>
            <w:proofErr w:type="spellEnd"/>
            <w:r w:rsidRPr="00163470">
              <w:rPr>
                <w:rFonts w:eastAsiaTheme="minorEastAsia"/>
              </w:rPr>
              <w:t xml:space="preserve"> of Conciliation-CEJUSC in Porto Alegre (</w:t>
            </w:r>
            <w:proofErr w:type="spellStart"/>
            <w:r w:rsidRPr="00163470">
              <w:rPr>
                <w:rFonts w:eastAsiaTheme="minorEastAsia"/>
              </w:rPr>
              <w:t>Foro</w:t>
            </w:r>
            <w:proofErr w:type="spellEnd"/>
            <w:r w:rsidRPr="00163470">
              <w:rPr>
                <w:rFonts w:eastAsiaTheme="minorEastAsia"/>
              </w:rPr>
              <w:t xml:space="preserve"> Central and </w:t>
            </w:r>
            <w:proofErr w:type="spellStart"/>
            <w:r w:rsidRPr="00163470">
              <w:rPr>
                <w:rFonts w:eastAsiaTheme="minorEastAsia"/>
              </w:rPr>
              <w:t>Foro</w:t>
            </w:r>
            <w:proofErr w:type="spellEnd"/>
            <w:r w:rsidRPr="00163470">
              <w:rPr>
                <w:rFonts w:eastAsiaTheme="minorEastAsia"/>
              </w:rPr>
              <w:t xml:space="preserve"> </w:t>
            </w:r>
            <w:proofErr w:type="spellStart"/>
            <w:r w:rsidRPr="00163470">
              <w:rPr>
                <w:rFonts w:eastAsiaTheme="minorEastAsia"/>
              </w:rPr>
              <w:t>Partenon</w:t>
            </w:r>
            <w:proofErr w:type="spellEnd"/>
            <w:r w:rsidRPr="00163470">
              <w:rPr>
                <w:rFonts w:eastAsiaTheme="minorEastAsia"/>
              </w:rPr>
              <w:t>).</w:t>
            </w:r>
          </w:p>
        </w:tc>
      </w:tr>
    </w:tbl>
    <w:p w14:paraId="370E7670" w14:textId="77777777" w:rsidR="000D4953" w:rsidRPr="00163470" w:rsidRDefault="000D4953" w:rsidP="000D4953">
      <w:pPr>
        <w:spacing w:after="0" w:line="240" w:lineRule="auto"/>
        <w:rPr>
          <w:rFonts w:asciiTheme="minorHAnsi" w:eastAsiaTheme="minorEastAsia" w:hAnsiTheme="minorHAnsi" w:cstheme="minorBidi"/>
        </w:rPr>
      </w:pPr>
    </w:p>
    <w:p w14:paraId="40E28493" w14:textId="77777777" w:rsidR="000D4953" w:rsidRPr="00163470" w:rsidRDefault="000D4953" w:rsidP="000D4953">
      <w:pPr>
        <w:spacing w:after="0" w:line="240" w:lineRule="auto"/>
        <w:rPr>
          <w:rFonts w:asciiTheme="minorHAnsi" w:eastAsiaTheme="minorEastAsia" w:hAnsiTheme="minorHAnsi" w:cstheme="minorBidi"/>
        </w:rPr>
      </w:pPr>
    </w:p>
    <w:p w14:paraId="4D04C5BB" w14:textId="77777777" w:rsidR="000D4953" w:rsidRPr="00163470" w:rsidRDefault="000D4953" w:rsidP="000D4953">
      <w:pPr>
        <w:spacing w:after="0" w:line="240" w:lineRule="auto"/>
        <w:rPr>
          <w:rFonts w:asciiTheme="minorHAnsi" w:eastAsiaTheme="minorEastAsia" w:hAnsiTheme="minorHAnsi" w:cstheme="minorBidi"/>
        </w:rPr>
      </w:pPr>
    </w:p>
    <w:p w14:paraId="38F8E506" w14:textId="77777777" w:rsidR="00230C65" w:rsidRDefault="00230C65"/>
    <w:sectPr w:rsidR="00230C65" w:rsidSect="00D90676">
      <w:head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8E2800" w14:textId="77777777" w:rsidR="00CC268B" w:rsidRPr="00163470" w:rsidRDefault="00CC268B" w:rsidP="000D4953">
      <w:pPr>
        <w:spacing w:after="0" w:line="240" w:lineRule="auto"/>
      </w:pPr>
      <w:r w:rsidRPr="00163470">
        <w:separator/>
      </w:r>
    </w:p>
  </w:endnote>
  <w:endnote w:type="continuationSeparator" w:id="0">
    <w:p w14:paraId="514C7793" w14:textId="77777777" w:rsidR="00CC268B" w:rsidRPr="00163470" w:rsidRDefault="00CC268B" w:rsidP="000D4953">
      <w:pPr>
        <w:spacing w:after="0" w:line="240" w:lineRule="auto"/>
      </w:pPr>
      <w:r w:rsidRPr="0016347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129B8D" w14:textId="77777777" w:rsidR="00CC268B" w:rsidRPr="00163470" w:rsidRDefault="00CC268B" w:rsidP="000D4953">
      <w:pPr>
        <w:spacing w:after="0" w:line="240" w:lineRule="auto"/>
      </w:pPr>
      <w:r w:rsidRPr="00163470">
        <w:separator/>
      </w:r>
    </w:p>
  </w:footnote>
  <w:footnote w:type="continuationSeparator" w:id="0">
    <w:p w14:paraId="43332A4B" w14:textId="77777777" w:rsidR="00CC268B" w:rsidRPr="00163470" w:rsidRDefault="00CC268B" w:rsidP="000D4953">
      <w:pPr>
        <w:spacing w:after="0" w:line="240" w:lineRule="auto"/>
      </w:pPr>
      <w:r w:rsidRPr="00163470">
        <w:continuationSeparator/>
      </w:r>
    </w:p>
  </w:footnote>
  <w:footnote w:id="1">
    <w:p w14:paraId="4B2277F7" w14:textId="77777777" w:rsidR="000D4953" w:rsidRPr="00250446" w:rsidRDefault="000D4953" w:rsidP="000D4953">
      <w:pPr>
        <w:pStyle w:val="FootnoteText"/>
        <w:rPr>
          <w:lang w:val="en-US"/>
        </w:rPr>
      </w:pPr>
      <w:r w:rsidRPr="00163470">
        <w:rPr>
          <w:rStyle w:val="FootnoteReference"/>
        </w:rPr>
        <w:footnoteRef/>
      </w:r>
      <w:r w:rsidRPr="00163470">
        <w:t xml:space="preserve"> CJEU, Joined Cases C‑38/21, C‑47/21 and C‑232/21, 21 December 2023, ECLI:EU:C:2023:1014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4025CB" w14:textId="39EAFBE5" w:rsidR="00911C1F" w:rsidRPr="00163470" w:rsidRDefault="00911C1F" w:rsidP="00911C1F">
    <w:pPr>
      <w:pStyle w:val="Header"/>
      <w:jc w:val="center"/>
      <w:rPr>
        <w:rFonts w:asciiTheme="majorHAnsi" w:hAnsiTheme="majorHAnsi"/>
      </w:rPr>
    </w:pPr>
    <w:r w:rsidRPr="00163470">
      <w:rPr>
        <w:rFonts w:asciiTheme="majorHAnsi" w:hAnsiTheme="majorHAnsi"/>
      </w:rPr>
      <w:t>IACL 2024, supported by Girton College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F33"/>
    <w:rsid w:val="000D4953"/>
    <w:rsid w:val="00163470"/>
    <w:rsid w:val="00230C65"/>
    <w:rsid w:val="003D1EAE"/>
    <w:rsid w:val="00491B3E"/>
    <w:rsid w:val="00673AA7"/>
    <w:rsid w:val="00764F33"/>
    <w:rsid w:val="00825CA3"/>
    <w:rsid w:val="00911C1F"/>
    <w:rsid w:val="00CC268B"/>
    <w:rsid w:val="00CE25B4"/>
    <w:rsid w:val="00D83B28"/>
    <w:rsid w:val="00D90676"/>
    <w:rsid w:val="00DE27A8"/>
    <w:rsid w:val="00E04E4E"/>
    <w:rsid w:val="00EE5725"/>
    <w:rsid w:val="00FB3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EF5A3"/>
  <w15:chartTrackingRefBased/>
  <w15:docId w15:val="{6CADD41A-BAF6-4ED3-876B-ED2088DC9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4F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4F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4F3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4F3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64F3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64F3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64F3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64F3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64F3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F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F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4F3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F3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64F3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64F3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64F3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64F3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64F3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64F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F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F3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4F3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64F33"/>
    <w:pPr>
      <w:spacing w:before="160"/>
      <w:jc w:val="center"/>
    </w:pPr>
    <w:rPr>
      <w:i/>
      <w:iCs/>
      <w:color w:val="404040" w:themeColor="text1" w:themeTint="BF"/>
    </w:rPr>
  </w:style>
  <w:style w:type="character" w:customStyle="1" w:styleId="QuoteChar">
    <w:name w:val="Quote Char"/>
    <w:basedOn w:val="DefaultParagraphFont"/>
    <w:link w:val="Quote"/>
    <w:uiPriority w:val="29"/>
    <w:rsid w:val="00764F33"/>
    <w:rPr>
      <w:i/>
      <w:iCs/>
      <w:color w:val="404040" w:themeColor="text1" w:themeTint="BF"/>
    </w:rPr>
  </w:style>
  <w:style w:type="paragraph" w:styleId="ListParagraph">
    <w:name w:val="List Paragraph"/>
    <w:basedOn w:val="Normal"/>
    <w:uiPriority w:val="34"/>
    <w:qFormat/>
    <w:rsid w:val="00764F33"/>
    <w:pPr>
      <w:ind w:left="720"/>
      <w:contextualSpacing/>
    </w:pPr>
  </w:style>
  <w:style w:type="character" w:styleId="IntenseEmphasis">
    <w:name w:val="Intense Emphasis"/>
    <w:basedOn w:val="DefaultParagraphFont"/>
    <w:uiPriority w:val="21"/>
    <w:qFormat/>
    <w:rsid w:val="00764F33"/>
    <w:rPr>
      <w:i/>
      <w:iCs/>
      <w:color w:val="0F4761" w:themeColor="accent1" w:themeShade="BF"/>
    </w:rPr>
  </w:style>
  <w:style w:type="paragraph" w:styleId="IntenseQuote">
    <w:name w:val="Intense Quote"/>
    <w:basedOn w:val="Normal"/>
    <w:next w:val="Normal"/>
    <w:link w:val="IntenseQuoteChar"/>
    <w:uiPriority w:val="30"/>
    <w:qFormat/>
    <w:rsid w:val="00764F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4F33"/>
    <w:rPr>
      <w:i/>
      <w:iCs/>
      <w:color w:val="0F4761" w:themeColor="accent1" w:themeShade="BF"/>
    </w:rPr>
  </w:style>
  <w:style w:type="character" w:styleId="IntenseReference">
    <w:name w:val="Intense Reference"/>
    <w:basedOn w:val="DefaultParagraphFont"/>
    <w:uiPriority w:val="32"/>
    <w:qFormat/>
    <w:rsid w:val="00764F33"/>
    <w:rPr>
      <w:b/>
      <w:bCs/>
      <w:smallCaps/>
      <w:color w:val="0F4761" w:themeColor="accent1" w:themeShade="BF"/>
      <w:spacing w:val="5"/>
    </w:rPr>
  </w:style>
  <w:style w:type="paragraph" w:styleId="FootnoteText">
    <w:name w:val="footnote text"/>
    <w:basedOn w:val="Normal"/>
    <w:link w:val="FootnoteTextChar"/>
    <w:uiPriority w:val="99"/>
    <w:semiHidden/>
    <w:unhideWhenUsed/>
    <w:rsid w:val="000D49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4953"/>
    <w:rPr>
      <w:sz w:val="20"/>
      <w:szCs w:val="20"/>
    </w:rPr>
  </w:style>
  <w:style w:type="character" w:styleId="FootnoteReference">
    <w:name w:val="footnote reference"/>
    <w:aliases w:val="Footnote Reference Number,Footnote Reference_LVL6,Footnote Reference_LVL61,Footnote Reference_LVL62,Footnote Reference_LVL63,Footnote Reference_LVL64,Footnote symbol,Footnote Reference_LVL65,C26 Footnote Number,Ch,footnumber,FR,FR1"/>
    <w:basedOn w:val="DefaultParagraphFont"/>
    <w:uiPriority w:val="99"/>
    <w:qFormat/>
    <w:rsid w:val="000D4953"/>
    <w:rPr>
      <w:vertAlign w:val="superscript"/>
    </w:rPr>
  </w:style>
  <w:style w:type="table" w:styleId="TableGrid">
    <w:name w:val="Table Grid"/>
    <w:basedOn w:val="TableNormal"/>
    <w:uiPriority w:val="39"/>
    <w:rsid w:val="000D4953"/>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11C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1C1F"/>
  </w:style>
  <w:style w:type="paragraph" w:styleId="Footer">
    <w:name w:val="footer"/>
    <w:basedOn w:val="Normal"/>
    <w:link w:val="FooterChar"/>
    <w:uiPriority w:val="99"/>
    <w:unhideWhenUsed/>
    <w:rsid w:val="00911C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1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29</Pages>
  <Words>8403</Words>
  <Characters>47899</Characters>
  <Application>Microsoft Office Word</Application>
  <DocSecurity>0</DocSecurity>
  <Lines>399</Lines>
  <Paragraphs>112</Paragraphs>
  <ScaleCrop>false</ScaleCrop>
  <Company/>
  <LinksUpToDate>false</LinksUpToDate>
  <CharactersWithSpaces>56190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Lone</dc:creator>
  <cp:keywords/>
  <dc:description/>
  <cp:lastModifiedBy>Muhammed Lone</cp:lastModifiedBy>
  <cp:revision>5</cp:revision>
  <dcterms:created xsi:type="dcterms:W3CDTF">2024-08-18T17:00:00Z</dcterms:created>
  <dcterms:modified xsi:type="dcterms:W3CDTF">2024-08-18T18:03:00Z</dcterms:modified>
</cp:coreProperties>
</file>