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F08FC9" w14:textId="77777777" w:rsidR="009F7B6C" w:rsidRPr="00124EBE" w:rsidRDefault="009F7B6C" w:rsidP="009F7B6C">
      <w:pPr>
        <w:keepNext/>
        <w:keepLines/>
        <w:spacing w:before="360" w:after="80" w:line="240" w:lineRule="auto"/>
        <w:outlineLvl w:val="0"/>
        <w:rPr>
          <w:rFonts w:asciiTheme="majorHAnsi" w:eastAsiaTheme="majorEastAsia" w:hAnsiTheme="majorHAnsi" w:cstheme="majorBidi"/>
          <w:color w:val="0F4761" w:themeColor="accent1" w:themeShade="BF"/>
          <w:sz w:val="40"/>
          <w:szCs w:val="40"/>
        </w:rPr>
      </w:pPr>
      <w:r w:rsidRPr="00124EBE">
        <w:rPr>
          <w:rFonts w:asciiTheme="majorHAnsi" w:eastAsiaTheme="majorEastAsia" w:hAnsiTheme="majorHAnsi" w:cstheme="majorBidi"/>
          <w:color w:val="0F4761" w:themeColor="accent1" w:themeShade="BF"/>
          <w:sz w:val="40"/>
          <w:szCs w:val="40"/>
        </w:rPr>
        <w:t>Sustainable Consumption</w:t>
      </w:r>
    </w:p>
    <w:tbl>
      <w:tblPr>
        <w:tblStyle w:val="TableGrid"/>
        <w:tblW w:w="0" w:type="auto"/>
        <w:tblLook w:val="04A0" w:firstRow="1" w:lastRow="0" w:firstColumn="1" w:lastColumn="0" w:noHBand="0" w:noVBand="1"/>
      </w:tblPr>
      <w:tblGrid>
        <w:gridCol w:w="2159"/>
        <w:gridCol w:w="11303"/>
      </w:tblGrid>
      <w:tr w:rsidR="009F7B6C" w:rsidRPr="00124EBE" w14:paraId="19CD84AB" w14:textId="77777777" w:rsidTr="006C2D43">
        <w:tc>
          <w:tcPr>
            <w:tcW w:w="2159" w:type="dxa"/>
          </w:tcPr>
          <w:p w14:paraId="0FC8C413"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t>Name</w:t>
            </w:r>
          </w:p>
        </w:tc>
        <w:tc>
          <w:tcPr>
            <w:tcW w:w="11303" w:type="dxa"/>
          </w:tcPr>
          <w:p w14:paraId="2416CD45"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t>Abstract</w:t>
            </w:r>
          </w:p>
        </w:tc>
      </w:tr>
      <w:tr w:rsidR="009F7B6C" w:rsidRPr="00124EBE" w14:paraId="6FA74B66" w14:textId="77777777" w:rsidTr="006C2D43">
        <w:tc>
          <w:tcPr>
            <w:tcW w:w="2159" w:type="dxa"/>
          </w:tcPr>
          <w:p w14:paraId="7C675B3A" w14:textId="77777777" w:rsidR="009F7B6C" w:rsidRPr="00124EBE" w:rsidRDefault="009F7B6C" w:rsidP="009F7B6C">
            <w:pPr>
              <w:rPr>
                <w:rFonts w:eastAsiaTheme="minorEastAsia"/>
              </w:rPr>
            </w:pPr>
            <w:r w:rsidRPr="00124EBE">
              <w:rPr>
                <w:rFonts w:asciiTheme="majorHAnsi" w:eastAsiaTheme="majorEastAsia" w:hAnsiTheme="majorHAnsi" w:cstheme="majorBidi"/>
                <w:color w:val="0F4761" w:themeColor="accent1" w:themeShade="BF"/>
                <w:sz w:val="32"/>
                <w:szCs w:val="32"/>
              </w:rPr>
              <w:t xml:space="preserve">Susana Almeida, </w:t>
            </w:r>
          </w:p>
          <w:p w14:paraId="2423A85F" w14:textId="77777777" w:rsidR="009F7B6C" w:rsidRPr="00124EBE" w:rsidRDefault="009F7B6C" w:rsidP="009F7B6C">
            <w:pPr>
              <w:rPr>
                <w:rFonts w:eastAsiaTheme="minorEastAsia"/>
              </w:rPr>
            </w:pPr>
            <w:r w:rsidRPr="00124EBE">
              <w:rPr>
                <w:rFonts w:eastAsiaTheme="minorEastAsia"/>
              </w:rPr>
              <w:t xml:space="preserve">Associate Professor of the School of Technology and Management of the Polytechnic Institute of Leiria; Coordinator of the </w:t>
            </w:r>
            <w:r w:rsidRPr="00124EBE">
              <w:rPr>
                <w:rFonts w:ascii="Calibri" w:eastAsiaTheme="minorEastAsia" w:hAnsi="Calibri" w:cs="Calibri"/>
                <w:color w:val="000000"/>
                <w:shd w:val="clear" w:color="auto" w:fill="FFFFFF"/>
              </w:rPr>
              <w:t>Portucalense Institute for Legal Research/Leiria</w:t>
            </w:r>
            <w:r w:rsidRPr="00124EBE">
              <w:rPr>
                <w:rFonts w:eastAsiaTheme="minorEastAsia"/>
              </w:rPr>
              <w:t>; President of the Portuguese Association of Consumer Law.</w:t>
            </w:r>
          </w:p>
          <w:p w14:paraId="06FF185C" w14:textId="77777777" w:rsidR="009F7B6C" w:rsidRPr="00124EBE" w:rsidRDefault="009F7B6C" w:rsidP="009F7B6C">
            <w:pPr>
              <w:spacing w:line="360" w:lineRule="auto"/>
              <w:jc w:val="right"/>
              <w:rPr>
                <w:rFonts w:eastAsiaTheme="minorEastAsia"/>
              </w:rPr>
            </w:pPr>
          </w:p>
          <w:p w14:paraId="03563EB8"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303" w:type="dxa"/>
          </w:tcPr>
          <w:p w14:paraId="1EB0BC4A"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t>The role of the consumer in the ecological transition: brief notes on the outline of a new “right to repair” and its impact on the Portuguese legal framework</w:t>
            </w:r>
          </w:p>
          <w:p w14:paraId="7D341322" w14:textId="77777777" w:rsidR="009F7B6C" w:rsidRPr="00124EBE" w:rsidRDefault="009F7B6C" w:rsidP="009F7B6C">
            <w:pPr>
              <w:jc w:val="both"/>
              <w:rPr>
                <w:rFonts w:eastAsiaTheme="minorEastAsia"/>
              </w:rPr>
            </w:pPr>
            <w:r w:rsidRPr="00124EBE">
              <w:rPr>
                <w:rFonts w:eastAsiaTheme="minorEastAsia"/>
              </w:rPr>
              <w:t xml:space="preserve">The climate emergency is a matter of global concern. A shift is being called for from the ‘extract-manufacture-use-and-throw-away’ paradigm to the sustainability, repair and reuse model, with the realisation that resources are finite, and that the consumer has an absolutely decisive role to play in this transition. </w:t>
            </w:r>
          </w:p>
          <w:p w14:paraId="51CEFEA7" w14:textId="77777777" w:rsidR="009F7B6C" w:rsidRPr="00124EBE" w:rsidRDefault="009F7B6C" w:rsidP="009F7B6C">
            <w:pPr>
              <w:jc w:val="both"/>
              <w:rPr>
                <w:rFonts w:eastAsiaTheme="minorEastAsia"/>
              </w:rPr>
            </w:pPr>
            <w:r w:rsidRPr="00124EBE">
              <w:rPr>
                <w:rFonts w:eastAsiaTheme="minorEastAsia"/>
              </w:rPr>
              <w:t>Consumers are increasingly reflecting environmental concerns in their consumption decisions and want to play an active role in the green transition to a sustainable and circular economy. However, realising the weight of sustainability in consumer decisions, economic operators have started to adopt non-transparent and misleading strategies that prevent consumers from fully playing the desired active role in the ecological transition. We are referring to phenomena such as greenwashing or programmed obsolescence, or even the proliferation of sustainability and green energy labels, which are poorly verified and have varying levels of transparency. There is therefore a clear need to empower consumers for the ecological transition, in particular by providing consumers with information on the durability and repairability of certain products before entering into a contract, strengthening consumer protection against unfair commercial practices that prevent sustainable purchases or even establishing a new right to repair and creating a repair market that guarantees the durability of products, the sustainability of consumption and the circular economy, since repair is often not a solution because it is expensive or not possible.</w:t>
            </w:r>
          </w:p>
          <w:p w14:paraId="0D0C3DE3" w14:textId="77777777" w:rsidR="009F7B6C" w:rsidRPr="00124EBE" w:rsidRDefault="009F7B6C" w:rsidP="009F7B6C">
            <w:pPr>
              <w:jc w:val="both"/>
              <w:rPr>
                <w:rFonts w:eastAsiaTheme="minorEastAsia"/>
              </w:rPr>
            </w:pPr>
            <w:r w:rsidRPr="00124EBE">
              <w:rPr>
                <w:rFonts w:eastAsiaTheme="minorEastAsia"/>
              </w:rPr>
              <w:t xml:space="preserve">The European Union (EU) has had an assertive voice in this area, defining a holistic and cross-sectoral strategy, with the aim of empowering consumers for the ecological transition, conditioning the actions of economic operators, ensuring sustainable consumption and guaranteeing the durability of products. </w:t>
            </w:r>
          </w:p>
          <w:p w14:paraId="29AEF28D" w14:textId="77777777" w:rsidR="009F7B6C" w:rsidRPr="00124EBE" w:rsidRDefault="009F7B6C" w:rsidP="009F7B6C">
            <w:pPr>
              <w:jc w:val="both"/>
              <w:rPr>
                <w:rFonts w:eastAsiaTheme="minorEastAsia"/>
              </w:rPr>
            </w:pPr>
            <w:r w:rsidRPr="00124EBE">
              <w:rPr>
                <w:rFonts w:eastAsiaTheme="minorEastAsia"/>
              </w:rPr>
              <w:t xml:space="preserve">After outlining the general lines of the European framework for consumer protection in the context of the green transition, our aim with this presentation is to convey the outlines that are being drawn up in Brussels for a new ‘right to repair’ of goods, in line with the mentioned strategy. Plus, we intend to analyse the eventual </w:t>
            </w:r>
            <w:r w:rsidRPr="00124EBE">
              <w:rPr>
                <w:rFonts w:eastAsiaTheme="minorEastAsia"/>
              </w:rPr>
              <w:lastRenderedPageBreak/>
              <w:t>impact of this Proposal for a Directive on common rules promoting the repair of goods on the Portuguese legal framework in this regard.</w:t>
            </w:r>
          </w:p>
          <w:p w14:paraId="379BD0D5" w14:textId="77777777" w:rsidR="009F7B6C" w:rsidRPr="00124EBE" w:rsidRDefault="009F7B6C" w:rsidP="009F7B6C">
            <w:pPr>
              <w:rPr>
                <w:rFonts w:eastAsiaTheme="minorEastAsia"/>
                <w:szCs w:val="20"/>
              </w:rPr>
            </w:pPr>
          </w:p>
        </w:tc>
      </w:tr>
      <w:tr w:rsidR="009F7B6C" w:rsidRPr="00124EBE" w14:paraId="3AF6D588" w14:textId="77777777" w:rsidTr="006C2D43">
        <w:tc>
          <w:tcPr>
            <w:tcW w:w="2159" w:type="dxa"/>
          </w:tcPr>
          <w:p w14:paraId="000487F6" w14:textId="77777777" w:rsidR="009F7B6C" w:rsidRPr="00124EBE" w:rsidRDefault="009F7B6C" w:rsidP="009F7B6C">
            <w:pPr>
              <w:rPr>
                <w:rFonts w:eastAsiaTheme="minorEastAsia"/>
                <w:szCs w:val="20"/>
                <w:lang w:bidi="en-US"/>
              </w:rPr>
            </w:pPr>
            <w:r w:rsidRPr="00124EBE">
              <w:rPr>
                <w:rFonts w:eastAsiaTheme="minorEastAsia"/>
                <w:b/>
                <w:szCs w:val="20"/>
                <w:lang w:bidi="en-US"/>
              </w:rPr>
              <w:lastRenderedPageBreak/>
              <w:t xml:space="preserve">Kurniawan, Faizal, Nugraha; Heksa Archie Putra; Abidin, Izzah Khalif Raihan; Puspanita, Dinda Ajeng </w:t>
            </w:r>
          </w:p>
          <w:p w14:paraId="48E09E3E"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303" w:type="dxa"/>
          </w:tcPr>
          <w:p w14:paraId="6C237B00"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lang w:bidi="en-US"/>
              </w:rPr>
            </w:pPr>
            <w:r w:rsidRPr="00124EBE">
              <w:rPr>
                <w:rFonts w:asciiTheme="majorHAnsi" w:eastAsiaTheme="majorEastAsia" w:hAnsiTheme="majorHAnsi" w:cstheme="majorBidi"/>
                <w:color w:val="0F4761" w:themeColor="accent1" w:themeShade="BF"/>
                <w:sz w:val="32"/>
                <w:szCs w:val="32"/>
                <w:lang w:bidi="en-US"/>
              </w:rPr>
              <w:t xml:space="preserve">Rejuvenating Sustainable Public Procurement Based On The Impact Of Greenflation: A Path To SDG’s Implementation </w:t>
            </w:r>
          </w:p>
          <w:p w14:paraId="2832ABD5" w14:textId="77777777" w:rsidR="009F7B6C" w:rsidRPr="00124EBE" w:rsidRDefault="009F7B6C" w:rsidP="009F7B6C">
            <w:pPr>
              <w:rPr>
                <w:rFonts w:eastAsiaTheme="minorEastAsia"/>
                <w:szCs w:val="20"/>
                <w:lang w:bidi="en-US"/>
              </w:rPr>
            </w:pPr>
            <w:r w:rsidRPr="00124EBE">
              <w:rPr>
                <w:rFonts w:eastAsiaTheme="minorEastAsia"/>
                <w:szCs w:val="20"/>
                <w:lang w:bidi="en-US"/>
              </w:rPr>
              <w:t xml:space="preserve">Efforts to achieve Sustainable Development Goals (SDGs) are pursued through various sectors, including strengthening the aspects of procurement of goods/services, thus giving rise to the principle of sustainable procurement as stipulated in Presidential Regulation Number 16 of 2018 concerning Government Procurement of Goods/Services. This was amended by Presidential Regulation Number 12 of 2021 concerning Amendments to Presidential Regulation Number 16 of 2018 concerning Government Procurement of Goods/Services. Also, the Head of the Government Goods/Services Procurement Policy Agency issued Decision Number 157 of 2024 concerning Guidelines for Sustainable Government Goods/Services. However, the transformation of the framework for procurement of goods/services, considering economic, social, and environmental aspects, brings about a new issue, namely greenflation. The necessity to prioritize all three aspects leads to limitations on supplier partners, limited supplies of sustainable materials, and increased operational costs to obtain and process environmentally friendly raw materials. These constraints contradict the principle of procurement of goods/services whereby the Government seeks to obtain economic benefits. Moreover, price fluctuations and resource scarcity will disrupt price locking in procurement agreements. Therefore, this study will analyze efforts to renew sustainable procurement while considering greenflation using legal research methods. Sustainable procurement should begin with (1) the establishment of green regulations covering mandatory sustainable fields, (2) additional stages of sustainable procurement, such as thorough testing and integrity pacts, and (3) mandatory clauses in procurement agreements that include sustainability and environmental-friendly principles. Efforts to renew sustainable procurement while considering greenflation are expected to facilitate the implementation of green economy and ensure the Government's position as a consumer. </w:t>
            </w:r>
          </w:p>
        </w:tc>
      </w:tr>
      <w:tr w:rsidR="009F7B6C" w:rsidRPr="00124EBE" w14:paraId="0C4C76EB" w14:textId="77777777" w:rsidTr="006C2D43">
        <w:tc>
          <w:tcPr>
            <w:tcW w:w="2159" w:type="dxa"/>
          </w:tcPr>
          <w:p w14:paraId="2A6AA35D"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Leone, Candida</w:t>
            </w:r>
          </w:p>
          <w:p w14:paraId="580A0245" w14:textId="77777777" w:rsidR="009F7B6C" w:rsidRPr="00124EBE" w:rsidRDefault="009F7B6C" w:rsidP="009F7B6C">
            <w:pPr>
              <w:rPr>
                <w:rFonts w:eastAsiaTheme="minorEastAsia"/>
              </w:rPr>
            </w:pPr>
            <w:r w:rsidRPr="00124EBE">
              <w:rPr>
                <w:rFonts w:eastAsiaTheme="minorEastAsia"/>
              </w:rPr>
              <w:t xml:space="preserve">Romagnoli, Giorgia, </w:t>
            </w:r>
          </w:p>
          <w:p w14:paraId="130608F4" w14:textId="77777777" w:rsidR="009F7B6C" w:rsidRPr="00124EBE" w:rsidRDefault="009F7B6C" w:rsidP="009F7B6C">
            <w:pPr>
              <w:rPr>
                <w:rFonts w:eastAsiaTheme="minorEastAsia"/>
              </w:rPr>
            </w:pPr>
            <w:r w:rsidRPr="00124EBE">
              <w:rPr>
                <w:rFonts w:eastAsiaTheme="minorEastAsia"/>
              </w:rPr>
              <w:t xml:space="preserve">Vornhem, Isabella, </w:t>
            </w:r>
          </w:p>
          <w:p w14:paraId="69924417" w14:textId="77777777" w:rsidR="009F7B6C" w:rsidRPr="00124EBE" w:rsidRDefault="009F7B6C" w:rsidP="009F7B6C">
            <w:pPr>
              <w:rPr>
                <w:rFonts w:eastAsiaTheme="minorEastAsia"/>
              </w:rPr>
            </w:pPr>
            <w:r w:rsidRPr="00124EBE">
              <w:rPr>
                <w:rFonts w:eastAsiaTheme="minorEastAsia"/>
              </w:rPr>
              <w:t>Lucena, Mateus.</w:t>
            </w:r>
          </w:p>
        </w:tc>
        <w:tc>
          <w:tcPr>
            <w:tcW w:w="11303" w:type="dxa"/>
          </w:tcPr>
          <w:p w14:paraId="2B4B2330" w14:textId="77777777" w:rsidR="009F7B6C" w:rsidRPr="00124EBE" w:rsidRDefault="009F7B6C" w:rsidP="009F7B6C">
            <w:pPr>
              <w:rPr>
                <w:rFonts w:eastAsiaTheme="minorEastAsia"/>
                <w:b/>
                <w:bCs/>
              </w:rPr>
            </w:pPr>
            <w:r w:rsidRPr="00124EBE">
              <w:rPr>
                <w:rFonts w:eastAsiaTheme="minorEastAsia"/>
                <w:b/>
                <w:bCs/>
              </w:rPr>
              <w:t>Responsible consumption and digital lifestyles: consumer information, behavioural intention and demand for regulation</w:t>
            </w:r>
          </w:p>
          <w:p w14:paraId="7C91B370" w14:textId="77777777" w:rsidR="009F7B6C" w:rsidRPr="00124EBE" w:rsidRDefault="009F7B6C" w:rsidP="009F7B6C">
            <w:pPr>
              <w:rPr>
                <w:rFonts w:eastAsia="Times New Roman"/>
                <w:color w:val="000000" w:themeColor="text1"/>
              </w:rPr>
            </w:pPr>
            <w:r w:rsidRPr="00124EBE">
              <w:rPr>
                <w:rFonts w:eastAsia="Times New Roman"/>
                <w:color w:val="000000" w:themeColor="text1"/>
              </w:rPr>
              <w:t xml:space="preserve">The increasingly "digital" lives that we lead rely on extensive physical infrastructure and material resources. In the Netherlands, one of the most digitalised countries in Europe, data centres consume several times the energy required to run the country's rail transport system. Software developers hope to be able to </w:t>
            </w:r>
            <w:hyperlink r:id="rId6" w:history="1">
              <w:r w:rsidRPr="00124EBE">
                <w:rPr>
                  <w:rFonts w:eastAsia="Times New Roman"/>
                  <w:color w:val="0000FF"/>
                  <w:u w:val="single"/>
                </w:rPr>
                <w:t>reduce the energy consumption associated with software</w:t>
              </w:r>
            </w:hyperlink>
            <w:r w:rsidRPr="00124EBE">
              <w:rPr>
                <w:rFonts w:eastAsia="Times New Roman"/>
                <w:color w:val="000000" w:themeColor="text1"/>
              </w:rPr>
              <w:t xml:space="preserve"> by eliciting responsible consumption – more wifi and less mobile internet streaming, less high-intensity activities, and other small improvements that at scale could reduce energy consumption in significant ways. Information on energy consumption on the model of energy labels for electric devices looks like a low-hanging fruit. At the same time, the </w:t>
            </w:r>
            <w:r w:rsidRPr="00124EBE">
              <w:rPr>
                <w:rFonts w:eastAsia="Times New Roman"/>
                <w:i/>
                <w:iCs/>
                <w:color w:val="000000" w:themeColor="text1"/>
              </w:rPr>
              <w:t xml:space="preserve">individual </w:t>
            </w:r>
            <w:r w:rsidRPr="00124EBE">
              <w:rPr>
                <w:rFonts w:eastAsia="Times New Roman"/>
                <w:color w:val="000000" w:themeColor="text1"/>
              </w:rPr>
              <w:t xml:space="preserve">carbon footprint associated with online activities still resides much more in the impact of the </w:t>
            </w:r>
            <w:r w:rsidRPr="00124EBE">
              <w:rPr>
                <w:rFonts w:eastAsia="Times New Roman"/>
                <w:i/>
                <w:iCs/>
                <w:color w:val="000000" w:themeColor="text1"/>
              </w:rPr>
              <w:t>devices</w:t>
            </w:r>
            <w:r w:rsidRPr="00124EBE">
              <w:rPr>
                <w:rFonts w:eastAsia="Times New Roman"/>
                <w:color w:val="000000" w:themeColor="text1"/>
              </w:rPr>
              <w:t xml:space="preserve"> used to access such activities than with the activities as such. What does it mean, hence, to steer more sustainable </w:t>
            </w:r>
            <w:r w:rsidRPr="00124EBE">
              <w:rPr>
                <w:rFonts w:eastAsia="Times New Roman"/>
                <w:i/>
                <w:iCs/>
                <w:color w:val="000000" w:themeColor="text1"/>
              </w:rPr>
              <w:t>digital consumption</w:t>
            </w:r>
            <w:r w:rsidRPr="00124EBE">
              <w:rPr>
                <w:rFonts w:eastAsia="Times New Roman"/>
                <w:color w:val="000000" w:themeColor="text1"/>
              </w:rPr>
              <w:t xml:space="preserve">? </w:t>
            </w:r>
          </w:p>
          <w:p w14:paraId="7C9DC911" w14:textId="77777777" w:rsidR="009F7B6C" w:rsidRPr="00124EBE" w:rsidRDefault="009F7B6C" w:rsidP="009F7B6C">
            <w:pPr>
              <w:rPr>
                <w:rFonts w:eastAsia="Times New Roman"/>
                <w:color w:val="000000" w:themeColor="text1"/>
              </w:rPr>
            </w:pPr>
            <w:r w:rsidRPr="00124EBE">
              <w:rPr>
                <w:rFonts w:eastAsia="Times New Roman"/>
                <w:color w:val="000000" w:themeColor="text1"/>
              </w:rPr>
              <w:t>In this paper, we report the results of a behavioural experiment carried out at the University of Amsterdam in the Spring of 2024. Experiment participants are prompted to reflect on the carbon footprint of their "digital lifestyles" through use of an online calculator</w:t>
            </w:r>
            <w:r w:rsidRPr="00124EBE">
              <w:rPr>
                <w:rFonts w:eastAsia="Times New Roman"/>
                <w:color w:val="000000" w:themeColor="text1"/>
                <w:vertAlign w:val="superscript"/>
              </w:rPr>
              <w:footnoteReference w:id="1"/>
            </w:r>
            <w:r w:rsidRPr="00124EBE">
              <w:rPr>
                <w:rFonts w:eastAsia="Times New Roman"/>
                <w:color w:val="000000" w:themeColor="text1"/>
              </w:rPr>
              <w:t xml:space="preserve"> and subsequently asked to indicate their intentions in respect of a) purchasing and online consumption behaviour b) support for relevant regulation aimed at sustainable consumption. Does information on carbon footprint, with or without the specific notion of a "carbon budget” influence consumers’ intentions and support for regulation? The question is explored on the basis of a lab experiment with ca. 400 participants. Attitudes to repair, extended guarantees, sustainability information and eco-design for both products and software are elicited. </w:t>
            </w:r>
          </w:p>
          <w:p w14:paraId="4C379B45" w14:textId="77777777" w:rsidR="009F7B6C" w:rsidRPr="00124EBE" w:rsidRDefault="009F7B6C" w:rsidP="009F7B6C">
            <w:pPr>
              <w:rPr>
                <w:rFonts w:eastAsia="Times New Roman"/>
                <w:color w:val="000000" w:themeColor="text1"/>
              </w:rPr>
            </w:pPr>
            <w:r w:rsidRPr="00124EBE">
              <w:rPr>
                <w:rFonts w:eastAsia="Times New Roman"/>
                <w:color w:val="000000" w:themeColor="text1"/>
              </w:rPr>
              <w:t>Besides the empirical contribution, the paper makes a contribution to the consumer law literature by challenging the current legally shaped distinctions among physical and digital products and digital services and their suitability to inform policy discussions about sustainable consumption in the digital sphere. It further enriches the discussion on sustainability information disclosures by incorporating insights from behavioural research on the potential and limitations of information disclosure in low-stake consumer decisions.</w:t>
            </w:r>
          </w:p>
        </w:tc>
      </w:tr>
      <w:tr w:rsidR="009F7B6C" w:rsidRPr="00124EBE" w14:paraId="6AF70C08" w14:textId="77777777" w:rsidTr="006C2D43">
        <w:tc>
          <w:tcPr>
            <w:tcW w:w="2159" w:type="dxa"/>
          </w:tcPr>
          <w:p w14:paraId="6C7AC878"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Leone, Candida</w:t>
            </w:r>
          </w:p>
          <w:p w14:paraId="3D699F27" w14:textId="77777777" w:rsidR="009F7B6C" w:rsidRPr="00124EBE" w:rsidRDefault="009F7B6C" w:rsidP="009F7B6C">
            <w:pPr>
              <w:rPr>
                <w:rFonts w:eastAsiaTheme="minorEastAsia"/>
              </w:rPr>
            </w:pPr>
            <w:r w:rsidRPr="00124EBE">
              <w:rPr>
                <w:rFonts w:eastAsiaTheme="minorEastAsia"/>
              </w:rPr>
              <w:t>University of Amsterdam</w:t>
            </w:r>
          </w:p>
        </w:tc>
        <w:tc>
          <w:tcPr>
            <w:tcW w:w="11303" w:type="dxa"/>
          </w:tcPr>
          <w:p w14:paraId="180B62E1" w14:textId="77777777" w:rsidR="009F7B6C" w:rsidRPr="00124EBE" w:rsidRDefault="009F7B6C" w:rsidP="009F7B6C">
            <w:pPr>
              <w:rPr>
                <w:rFonts w:eastAsiaTheme="minorEastAsia"/>
                <w:b/>
                <w:bCs/>
              </w:rPr>
            </w:pPr>
            <w:r w:rsidRPr="00124EBE">
              <w:rPr>
                <w:rFonts w:eastAsiaTheme="minorEastAsia"/>
                <w:b/>
                <w:bCs/>
              </w:rPr>
              <w:t>Energy poverty, energy justice and the role of consumer law in the European energy transition</w:t>
            </w:r>
          </w:p>
          <w:p w14:paraId="07DCFEB3" w14:textId="77777777" w:rsidR="009F7B6C" w:rsidRPr="00124EBE" w:rsidRDefault="009F7B6C" w:rsidP="009F7B6C">
            <w:pPr>
              <w:rPr>
                <w:rFonts w:eastAsiaTheme="minorEastAsia"/>
              </w:rPr>
            </w:pPr>
            <w:r w:rsidRPr="00124EBE">
              <w:rPr>
                <w:rFonts w:eastAsiaTheme="minorEastAsia"/>
              </w:rPr>
              <w:t xml:space="preserve">The 2022 energy crisis has placed affordability of energy at the centre of policy discussions, but to what extent has it impacted European energy policy? Traditionally, European Energy law devotes scant attention to the </w:t>
            </w:r>
            <w:r w:rsidRPr="00124EBE">
              <w:rPr>
                <w:rFonts w:eastAsiaTheme="minorEastAsia"/>
                <w:i/>
                <w:iCs/>
              </w:rPr>
              <w:t>needs</w:t>
            </w:r>
            <w:r w:rsidRPr="00124EBE">
              <w:rPr>
                <w:rFonts w:eastAsiaTheme="minorEastAsia"/>
              </w:rPr>
              <w:t xml:space="preserve"> of energy consumers – with the focus on </w:t>
            </w:r>
            <w:r w:rsidRPr="00124EBE">
              <w:rPr>
                <w:rFonts w:eastAsiaTheme="minorEastAsia"/>
                <w:i/>
                <w:iCs/>
              </w:rPr>
              <w:t xml:space="preserve">competitive </w:t>
            </w:r>
            <w:r w:rsidRPr="00124EBE">
              <w:rPr>
                <w:rFonts w:eastAsiaTheme="minorEastAsia"/>
              </w:rPr>
              <w:t xml:space="preserve">prices (rather than </w:t>
            </w:r>
            <w:r w:rsidRPr="00124EBE">
              <w:rPr>
                <w:rFonts w:eastAsiaTheme="minorEastAsia"/>
                <w:i/>
                <w:iCs/>
              </w:rPr>
              <w:t>affordable prices</w:t>
            </w:r>
            <w:r w:rsidRPr="00124EBE">
              <w:rPr>
                <w:rFonts w:eastAsiaTheme="minorEastAsia"/>
              </w:rPr>
              <w:t xml:space="preserve">) in the 2019 electricity directive effectively representing the self-perceived maturity of EU energy policy. The core paradigm of a competitive internal market for energy requires rather rational consumers, who foster competition by choosing consciously and switching often. More recently, active consumers, who take part in </w:t>
            </w:r>
            <w:r w:rsidRPr="00124EBE">
              <w:rPr>
                <w:rFonts w:eastAsiaTheme="minorEastAsia"/>
                <w:i/>
                <w:iCs/>
              </w:rPr>
              <w:t>producing</w:t>
            </w:r>
            <w:r w:rsidRPr="00124EBE">
              <w:rPr>
                <w:rFonts w:eastAsiaTheme="minorEastAsia"/>
              </w:rPr>
              <w:t xml:space="preserve"> energy, and “socially responsible” consumers, adopting a sustainable energy mix, have become central to policies connected to the Energy transition – such as the “</w:t>
            </w:r>
            <w:hyperlink r:id="rId7" w:anchor="related-links">
              <w:r w:rsidRPr="00124EBE">
                <w:rPr>
                  <w:rFonts w:eastAsiaTheme="minorEastAsia"/>
                  <w:color w:val="0000FF"/>
                  <w:u w:val="single"/>
                </w:rPr>
                <w:t>Clean energy for all Europeans package</w:t>
              </w:r>
            </w:hyperlink>
            <w:r w:rsidRPr="00124EBE">
              <w:rPr>
                <w:rFonts w:eastAsiaTheme="minorEastAsia"/>
              </w:rPr>
              <w:t xml:space="preserve">”. </w:t>
            </w:r>
          </w:p>
          <w:p w14:paraId="4423CBE7" w14:textId="77777777" w:rsidR="009F7B6C" w:rsidRPr="00124EBE" w:rsidRDefault="009F7B6C" w:rsidP="009F7B6C">
            <w:pPr>
              <w:rPr>
                <w:rFonts w:eastAsiaTheme="minorEastAsia"/>
              </w:rPr>
            </w:pPr>
            <w:r w:rsidRPr="00124EBE">
              <w:rPr>
                <w:rFonts w:eastAsiaTheme="minorEastAsia"/>
              </w:rPr>
              <w:t xml:space="preserve">As the slogan “clean energy for </w:t>
            </w:r>
            <w:r w:rsidRPr="00124EBE">
              <w:rPr>
                <w:rFonts w:eastAsiaTheme="minorEastAsia"/>
                <w:i/>
                <w:iCs/>
              </w:rPr>
              <w:t xml:space="preserve">all </w:t>
            </w:r>
            <w:r w:rsidRPr="00124EBE">
              <w:rPr>
                <w:rFonts w:eastAsiaTheme="minorEastAsia"/>
              </w:rPr>
              <w:t xml:space="preserve">Europeans” suggests, a successful energy transition needs to do more than include idealised “active” or “responsible” energy consumers.  Vulnerable energy consumers have received unprecedented attention in 2023, with the Electricity Market Design recast for the first time </w:t>
            </w:r>
            <w:r w:rsidRPr="00124EBE">
              <w:rPr>
                <w:rFonts w:eastAsiaTheme="minorEastAsia"/>
                <w:i/>
                <w:iCs/>
              </w:rPr>
              <w:t>requiring</w:t>
            </w:r>
            <w:r w:rsidRPr="00124EBE">
              <w:rPr>
                <w:rFonts w:eastAsiaTheme="minorEastAsia"/>
              </w:rPr>
              <w:t xml:space="preserve"> member states to intervene in respect of </w:t>
            </w:r>
            <w:r w:rsidRPr="00124EBE">
              <w:rPr>
                <w:rFonts w:eastAsiaTheme="minorEastAsia"/>
                <w:b/>
                <w:bCs/>
              </w:rPr>
              <w:t>energy poverty</w:t>
            </w:r>
            <w:r w:rsidRPr="00124EBE">
              <w:rPr>
                <w:rFonts w:eastAsiaTheme="minorEastAsia"/>
              </w:rPr>
              <w:t xml:space="preserve">. Perhaps even more significant, the “codification” of energy poverty is achieved by reference to the definition included the </w:t>
            </w:r>
            <w:hyperlink r:id="rId8">
              <w:r w:rsidRPr="00124EBE">
                <w:rPr>
                  <w:rFonts w:eastAsiaTheme="minorEastAsia"/>
                  <w:color w:val="0000FF"/>
                  <w:u w:val="single"/>
                </w:rPr>
                <w:t xml:space="preserve">2023 </w:t>
              </w:r>
              <w:r w:rsidRPr="00124EBE">
                <w:rPr>
                  <w:rFonts w:eastAsiaTheme="minorEastAsia"/>
                  <w:i/>
                  <w:iCs/>
                  <w:color w:val="0000FF"/>
                  <w:u w:val="single"/>
                </w:rPr>
                <w:t xml:space="preserve">Energy efficiency </w:t>
              </w:r>
              <w:r w:rsidRPr="00124EBE">
                <w:rPr>
                  <w:rFonts w:eastAsiaTheme="minorEastAsia"/>
                  <w:color w:val="0000FF"/>
                  <w:u w:val="single"/>
                </w:rPr>
                <w:t>directive</w:t>
              </w:r>
            </w:hyperlink>
            <w:r w:rsidRPr="00124EBE">
              <w:rPr>
                <w:rFonts w:eastAsiaTheme="minorEastAsia"/>
              </w:rPr>
              <w:t xml:space="preserve">. This seems apt since </w:t>
            </w:r>
            <w:hyperlink r:id="rId9">
              <w:r w:rsidRPr="00124EBE">
                <w:rPr>
                  <w:rFonts w:eastAsiaTheme="minorEastAsia"/>
                  <w:color w:val="0000FF"/>
                  <w:u w:val="single"/>
                </w:rPr>
                <w:t>many “energy poor” households in Europe</w:t>
              </w:r>
            </w:hyperlink>
            <w:r w:rsidRPr="00124EBE">
              <w:rPr>
                <w:rFonts w:eastAsiaTheme="minorEastAsia"/>
              </w:rPr>
              <w:t xml:space="preserve"> live in (very) poorly isolated dwellings. This points directly to the need to look at the needs of (vulnerable) energy consumers not only from the perspective of energy policy but in a more cross-cutting way. The energy transition, with challenges ranging from mobility to home isolation and increases in rental costs, urgently requires new frameworks to analyse the position of energy consumers. </w:t>
            </w:r>
          </w:p>
          <w:p w14:paraId="2C524392" w14:textId="77777777" w:rsidR="009F7B6C" w:rsidRPr="00124EBE" w:rsidRDefault="009F7B6C" w:rsidP="009F7B6C">
            <w:pPr>
              <w:rPr>
                <w:rFonts w:eastAsiaTheme="minorEastAsia"/>
              </w:rPr>
            </w:pPr>
            <w:r w:rsidRPr="00124EBE">
              <w:rPr>
                <w:rFonts w:eastAsiaTheme="minorEastAsia"/>
              </w:rPr>
              <w:t xml:space="preserve">The paper combines a reconstruction of the different protective and regulatory registers attaining to consumer relations touched by EU energy transition policies and begins to develop a normative assessment at the hand of the emerging literature on </w:t>
            </w:r>
            <w:r w:rsidRPr="00124EBE">
              <w:rPr>
                <w:rFonts w:eastAsiaTheme="minorEastAsia"/>
                <w:i/>
                <w:iCs/>
              </w:rPr>
              <w:t>energy justice.</w:t>
            </w:r>
            <w:r w:rsidRPr="00124EBE">
              <w:rPr>
                <w:rFonts w:eastAsiaTheme="minorEastAsia"/>
              </w:rPr>
              <w:t xml:space="preserve"> As a notion, </w:t>
            </w:r>
            <w:hyperlink r:id="rId10">
              <w:r w:rsidRPr="00124EBE">
                <w:rPr>
                  <w:rFonts w:eastAsiaTheme="minorEastAsia"/>
                  <w:color w:val="0000FF"/>
                  <w:u w:val="single"/>
                </w:rPr>
                <w:t>energy justice is emerging in transnational energy law</w:t>
              </w:r>
            </w:hyperlink>
            <w:r w:rsidRPr="00124EBE">
              <w:rPr>
                <w:rFonts w:eastAsiaTheme="minorEastAsia"/>
              </w:rPr>
              <w:t xml:space="preserve">, pointing to the distributive, recognition and procedural justice dimensions of access to clean, reliable and affordable energy. Energy justice, especially if complemented with </w:t>
            </w:r>
            <w:r w:rsidRPr="00124EBE">
              <w:rPr>
                <w:rFonts w:eastAsiaTheme="minorEastAsia"/>
                <w:i/>
                <w:iCs/>
              </w:rPr>
              <w:t>interpersonal</w:t>
            </w:r>
            <w:r w:rsidRPr="00124EBE">
              <w:rPr>
                <w:rFonts w:eastAsiaTheme="minorEastAsia"/>
              </w:rPr>
              <w:t xml:space="preserve"> justice concerns, may both be employed to further develop consumer law principles for a just energy transition and, more to the specific, help inform implementation, operationalisation and reform of energy poverty policies in the Member States.</w:t>
            </w:r>
          </w:p>
        </w:tc>
      </w:tr>
      <w:tr w:rsidR="009F7B6C" w:rsidRPr="00124EBE" w14:paraId="797263DC" w14:textId="77777777" w:rsidTr="006C2D43">
        <w:tc>
          <w:tcPr>
            <w:tcW w:w="2159" w:type="dxa"/>
          </w:tcPr>
          <w:p w14:paraId="22958080"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Jie Ouyang</w:t>
            </w:r>
          </w:p>
          <w:p w14:paraId="5C6F7010" w14:textId="77777777" w:rsidR="009F7B6C" w:rsidRPr="00124EBE" w:rsidRDefault="009F7B6C" w:rsidP="009F7B6C">
            <w:pPr>
              <w:keepNext/>
              <w:keepLines/>
              <w:spacing w:before="160" w:after="80"/>
              <w:outlineLvl w:val="1"/>
              <w:rPr>
                <w:rFonts w:ascii="Arial" w:eastAsiaTheme="majorEastAsia" w:hAnsi="Arial" w:cs="Arial"/>
                <w:color w:val="000000"/>
                <w:sz w:val="20"/>
                <w:szCs w:val="20"/>
              </w:rPr>
            </w:pPr>
          </w:p>
        </w:tc>
        <w:tc>
          <w:tcPr>
            <w:tcW w:w="11303" w:type="dxa"/>
          </w:tcPr>
          <w:p w14:paraId="3A2AED2E" w14:textId="77777777" w:rsidR="009F7B6C" w:rsidRPr="00124EBE" w:rsidRDefault="009F7B6C" w:rsidP="009F7B6C">
            <w:pPr>
              <w:rPr>
                <w:rFonts w:eastAsiaTheme="minorEastAsia"/>
                <w:b/>
                <w:bCs/>
              </w:rPr>
            </w:pPr>
            <w:r w:rsidRPr="00124EBE">
              <w:rPr>
                <w:rFonts w:eastAsiaTheme="minorEastAsia"/>
                <w:b/>
                <w:bCs/>
              </w:rPr>
              <w:t>The embedded consumer and its implication for contractual fairness in European consumer law</w:t>
            </w:r>
          </w:p>
          <w:p w14:paraId="1BD9CF9C" w14:textId="77777777" w:rsidR="009F7B6C" w:rsidRPr="00124EBE" w:rsidRDefault="009F7B6C" w:rsidP="009F7B6C">
            <w:pPr>
              <w:rPr>
                <w:rFonts w:eastAsiaTheme="minorEastAsia"/>
              </w:rPr>
            </w:pPr>
            <w:r w:rsidRPr="00124EBE">
              <w:rPr>
                <w:rFonts w:eastAsiaTheme="minorEastAsia"/>
              </w:rPr>
              <w:t xml:space="preserve">Contrary to the image of a self-sufficient, rational agent endorsed by the ‘average consumer’ benchmark, consumers are deeply embedded in and significantly enabled by a vast array of social and ecological background conditions. This entails that consumer preferences and behaviours are engineered by social, cultural and institutional norms (that construct a ‘choice architecture’), while consumer needs and wants are fulfilled by natural provision and social cooperation. In particular, the consumer market relies on public and legal institutions to guarantee private property, enforce contracts and adjudicate disputes. This dependence on these external conditions further renders consumers universally and inescapably vulnerable, especially within a market structure featuring </w:t>
            </w:r>
            <w:r w:rsidRPr="00124EBE">
              <w:rPr>
                <w:rFonts w:eastAsiaTheme="minorEastAsia" w:hint="eastAsia"/>
              </w:rPr>
              <w:t>syste</w:t>
            </w:r>
            <w:r w:rsidRPr="00124EBE">
              <w:rPr>
                <w:rFonts w:eastAsiaTheme="minorEastAsia"/>
              </w:rPr>
              <w:t>mic power imbalance. Individual vulnerability thus stems from consumers’ institutional positioning and cannot be entirely overcome at an individual level, even with sufficient and correct information.</w:t>
            </w:r>
          </w:p>
          <w:p w14:paraId="0DFE5B9B" w14:textId="77777777" w:rsidR="009F7B6C" w:rsidRPr="00124EBE" w:rsidRDefault="009F7B6C" w:rsidP="009F7B6C">
            <w:pPr>
              <w:rPr>
                <w:rFonts w:eastAsiaTheme="minorEastAsia"/>
              </w:rPr>
            </w:pPr>
          </w:p>
          <w:p w14:paraId="720D0B2B" w14:textId="77777777" w:rsidR="009F7B6C" w:rsidRPr="00124EBE" w:rsidRDefault="009F7B6C" w:rsidP="009F7B6C">
            <w:pPr>
              <w:rPr>
                <w:rFonts w:eastAsiaTheme="minorEastAsia"/>
              </w:rPr>
            </w:pPr>
            <w:r w:rsidRPr="00124EBE">
              <w:rPr>
                <w:rFonts w:eastAsiaTheme="minorEastAsia"/>
              </w:rPr>
              <w:t xml:space="preserve">This embeddedness should be taken into account in the context of Directive 93/13/EEC on unfair terms in consumer contracts (UCTD). The prevailing approach to unfairness control, which focuses on contractual economic equilibrium, is at odds with the embeddedness of consumers. On the one hand, the fairness of contract terms should not be assessed from the perspective of the ‘reasonably well informed and reasonably observant and circumspect’ consumer but should consider both consumers’ general vulnerability </w:t>
            </w:r>
            <w:r w:rsidRPr="00124EBE">
              <w:rPr>
                <w:rFonts w:eastAsiaTheme="minorEastAsia" w:hint="eastAsia"/>
              </w:rPr>
              <w:t>deriving</w:t>
            </w:r>
            <w:r w:rsidRPr="00124EBE">
              <w:rPr>
                <w:rFonts w:eastAsiaTheme="minorEastAsia"/>
              </w:rPr>
              <w:t xml:space="preserve"> from the market situatedness and the particular vulnerability under a specific contract. For the EU judiciary, it is crucial to focus on the former. On the other hand, contractual fairness should not only address the economic balance between contractual rights and obligations but also involve social fairness vis-à-vis the background conditions in which consumers are embedded. This means that the various interests of the consumer (in a market) as a person (in a society) should be considered, such as the right to accommodation and the freedom of speech, as already recognised in case law. It also implies that contractual fairness must adequately reflect the social and environmental conditions that enable these contractual exchanges. In this regard, the UCTD seems insufficient in safeguarding the embedded consumer, given its disregard for contractual externalities.</w:t>
            </w:r>
          </w:p>
        </w:tc>
      </w:tr>
      <w:tr w:rsidR="009F7B6C" w:rsidRPr="00124EBE" w14:paraId="30ECFCC9" w14:textId="77777777" w:rsidTr="006C2D43">
        <w:tc>
          <w:tcPr>
            <w:tcW w:w="2159" w:type="dxa"/>
          </w:tcPr>
          <w:p w14:paraId="346DD6D9"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Patricia Antunes Laydner</w:t>
            </w:r>
          </w:p>
          <w:p w14:paraId="74D81A45" w14:textId="77777777" w:rsidR="009F7B6C" w:rsidRPr="00124EBE" w:rsidRDefault="009F7B6C" w:rsidP="009F7B6C">
            <w:pPr>
              <w:rPr>
                <w:rFonts w:eastAsiaTheme="minorEastAsia"/>
              </w:rPr>
            </w:pPr>
          </w:p>
        </w:tc>
        <w:tc>
          <w:tcPr>
            <w:tcW w:w="11303" w:type="dxa"/>
          </w:tcPr>
          <w:p w14:paraId="2174C84C" w14:textId="77777777" w:rsidR="009F7B6C" w:rsidRPr="00124EBE" w:rsidRDefault="009F7B6C" w:rsidP="009F7B6C">
            <w:pPr>
              <w:rPr>
                <w:rFonts w:eastAsiaTheme="minorEastAsia"/>
              </w:rPr>
            </w:pPr>
            <w:r w:rsidRPr="00124EBE">
              <w:rPr>
                <w:rFonts w:eastAsiaTheme="minorEastAsia"/>
              </w:rPr>
              <w:t>Addressing Energy Poverty and Consumer Vulnerability In Brazil Inspired by The EU Energy Efficiency Directive</w:t>
            </w:r>
          </w:p>
          <w:p w14:paraId="1834CF92" w14:textId="77777777" w:rsidR="009F7B6C" w:rsidRPr="00124EBE" w:rsidRDefault="009F7B6C" w:rsidP="009F7B6C">
            <w:pPr>
              <w:rPr>
                <w:rFonts w:eastAsiaTheme="minorEastAsia"/>
              </w:rPr>
            </w:pPr>
          </w:p>
          <w:p w14:paraId="3D0BE436" w14:textId="77777777" w:rsidR="009F7B6C" w:rsidRPr="00124EBE" w:rsidRDefault="009F7B6C" w:rsidP="009F7B6C">
            <w:pPr>
              <w:rPr>
                <w:rFonts w:eastAsiaTheme="minorEastAsia"/>
              </w:rPr>
            </w:pPr>
            <w:r w:rsidRPr="00124EBE">
              <w:rPr>
                <w:rFonts w:eastAsiaTheme="minorEastAsia"/>
              </w:rPr>
              <w:t>Judge in Brasil</w:t>
            </w:r>
          </w:p>
          <w:p w14:paraId="0C3ED319" w14:textId="77777777" w:rsidR="009F7B6C" w:rsidRPr="00124EBE" w:rsidRDefault="009F7B6C" w:rsidP="009F7B6C">
            <w:pPr>
              <w:rPr>
                <w:rFonts w:eastAsiaTheme="minorEastAsia"/>
              </w:rPr>
            </w:pPr>
          </w:p>
          <w:p w14:paraId="613513A3" w14:textId="77777777" w:rsidR="009F7B6C" w:rsidRPr="00124EBE" w:rsidRDefault="009F7B6C" w:rsidP="009F7B6C">
            <w:pPr>
              <w:rPr>
                <w:rFonts w:eastAsiaTheme="minorEastAsia"/>
              </w:rPr>
            </w:pPr>
            <w:r w:rsidRPr="00124EBE">
              <w:rPr>
                <w:rFonts w:eastAsiaTheme="minorEastAsia"/>
              </w:rPr>
              <w:t>Energy poverty remains a profound challenge in Brazil, despite high national electricity coverage. This issue extends beyond mere electricity access; it encompasses accessibility, energy service quality, and socio-economic conditions disproportionately affecting the low-income sectors of the population. Inspired by the European Union's Energy Efficiency Directive, this summary explores how the integration of the concept of energy poverty within the Brazilian system could help improve this scenario.</w:t>
            </w:r>
          </w:p>
          <w:p w14:paraId="4C3F3ED6" w14:textId="77777777" w:rsidR="009F7B6C" w:rsidRPr="00124EBE" w:rsidRDefault="009F7B6C" w:rsidP="009F7B6C">
            <w:pPr>
              <w:rPr>
                <w:rFonts w:eastAsiaTheme="minorEastAsia"/>
              </w:rPr>
            </w:pPr>
            <w:r w:rsidRPr="00124EBE">
              <w:rPr>
                <w:rFonts w:eastAsiaTheme="minorEastAsia"/>
              </w:rPr>
              <w:t>In Brazil, energy poverty manifests not only through lack of access to reliable energy services but also through the high cost of electricity relative to income. This situation is exacerbated in peripheral and disadvantaged areas where residents experience frequent outages and low-quality energy infrastructure.</w:t>
            </w:r>
          </w:p>
          <w:p w14:paraId="315A83CA" w14:textId="77777777" w:rsidR="009F7B6C" w:rsidRPr="00124EBE" w:rsidRDefault="009F7B6C" w:rsidP="009F7B6C">
            <w:pPr>
              <w:rPr>
                <w:rFonts w:eastAsiaTheme="minorEastAsia"/>
              </w:rPr>
            </w:pPr>
            <w:r w:rsidRPr="00124EBE">
              <w:rPr>
                <w:rFonts w:eastAsiaTheme="minorEastAsia"/>
              </w:rPr>
              <w:t xml:space="preserve">Focused on combating climate change and meeting the greenhouse gas reduction targets set by the European Union, Directive 2023/1791 adopts a holistic view of the energy issue, with emphasis on recognizing energy poverty as a social vulnerability to be addressed. This is why it highlights the importance of universal energy access as a pillar of social equity and environmental sustainability. By adopting a similar framework, Brazil could implement targeted policies to ensure that the benefits of energy efficiency and renewable energy are accessible to all, especially those in vulnerable communities. </w:t>
            </w:r>
          </w:p>
          <w:p w14:paraId="787EB35F" w14:textId="77777777" w:rsidR="009F7B6C" w:rsidRPr="00124EBE" w:rsidRDefault="009F7B6C" w:rsidP="009F7B6C">
            <w:pPr>
              <w:rPr>
                <w:rFonts w:eastAsiaTheme="minorEastAsia"/>
              </w:rPr>
            </w:pPr>
            <w:r w:rsidRPr="00124EBE">
              <w:rPr>
                <w:rFonts w:eastAsiaTheme="minorEastAsia"/>
              </w:rPr>
              <w:t>In fact, the explicit recognition by legislation that energy poverty constitutes a form of vulnerability, following the example of the European directive, implies the identification of a new category of vulnerability affecting certain consumer groups. This not only leads to the establishment of compensatory policies but also invites a reinterpretation of the corresponding legislative framework, which could have significant implications for litigation involving electricity supply in Brazil, which, incidentally, is quite extensive.</w:t>
            </w:r>
          </w:p>
          <w:p w14:paraId="2FB43F4B" w14:textId="77777777" w:rsidR="009F7B6C" w:rsidRPr="00124EBE" w:rsidRDefault="009F7B6C" w:rsidP="009F7B6C">
            <w:pPr>
              <w:rPr>
                <w:rFonts w:eastAsiaTheme="minorEastAsia"/>
                <w:b/>
                <w:bCs/>
              </w:rPr>
            </w:pPr>
            <w:r w:rsidRPr="00124EBE">
              <w:rPr>
                <w:rFonts w:eastAsiaTheme="minorEastAsia"/>
              </w:rPr>
              <w:t>In conclusion, by integrating legislatively the notion of energy poverty strategies from the EU directive, Brazil could more effectively combat energy vulnerability, ensuring a just transition to a sustainable energy future where no one is left behind. This approach not only supports the country's environmental goals but also enhances social well-being and economic stability.</w:t>
            </w:r>
          </w:p>
        </w:tc>
      </w:tr>
      <w:tr w:rsidR="009F7B6C" w:rsidRPr="00124EBE" w14:paraId="1DC1CC85" w14:textId="77777777" w:rsidTr="006C2D43">
        <w:tc>
          <w:tcPr>
            <w:tcW w:w="2159" w:type="dxa"/>
          </w:tcPr>
          <w:p w14:paraId="0EAA6B03"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Alfredo Ferrante</w:t>
            </w:r>
          </w:p>
          <w:p w14:paraId="3AD80A36" w14:textId="77777777" w:rsidR="009F7B6C" w:rsidRPr="00124EBE" w:rsidRDefault="009F7B6C" w:rsidP="009F7B6C">
            <w:pPr>
              <w:keepNext/>
              <w:keepLines/>
              <w:jc w:val="center"/>
              <w:outlineLvl w:val="0"/>
              <w:rPr>
                <w:rFonts w:eastAsiaTheme="majorEastAsia"/>
                <w:smallCaps/>
                <w:color w:val="000000" w:themeColor="text1"/>
              </w:rPr>
            </w:pPr>
            <w:r w:rsidRPr="00124EBE">
              <w:rPr>
                <w:rFonts w:eastAsiaTheme="majorEastAsia"/>
                <w:smallCaps/>
                <w:color w:val="000000" w:themeColor="text1"/>
              </w:rPr>
              <w:t>Università degli studi di Pavia</w:t>
            </w:r>
          </w:p>
        </w:tc>
        <w:tc>
          <w:tcPr>
            <w:tcW w:w="11303" w:type="dxa"/>
          </w:tcPr>
          <w:p w14:paraId="0D0C9555" w14:textId="77777777" w:rsidR="009F7B6C" w:rsidRPr="00124EBE" w:rsidRDefault="009F7B6C" w:rsidP="009F7B6C">
            <w:pPr>
              <w:jc w:val="both"/>
              <w:rPr>
                <w:rFonts w:eastAsiaTheme="minorEastAsia"/>
              </w:rPr>
            </w:pPr>
            <w:r w:rsidRPr="00124EBE">
              <w:rPr>
                <w:rFonts w:eastAsiaTheme="minorEastAsia"/>
                <w:b/>
              </w:rPr>
              <w:t>Circular economy principles and sustainable food production: towards an efficient regulatory apparatus of consumer protection?</w:t>
            </w:r>
          </w:p>
          <w:p w14:paraId="36C99DF2" w14:textId="77777777" w:rsidR="009F7B6C" w:rsidRPr="00124EBE" w:rsidRDefault="009F7B6C" w:rsidP="009F7B6C">
            <w:pPr>
              <w:ind w:firstLine="708"/>
              <w:jc w:val="both"/>
              <w:rPr>
                <w:rFonts w:eastAsiaTheme="minorEastAsia"/>
              </w:rPr>
            </w:pPr>
            <w:r w:rsidRPr="00124EBE">
              <w:rPr>
                <w:rFonts w:eastAsiaTheme="minorEastAsia"/>
              </w:rPr>
              <w:t xml:space="preserve">The 2030 Agenda for Sustainable Development’s goals, the Directive </w:t>
            </w:r>
            <w:r w:rsidRPr="00124EBE">
              <w:rPr>
                <w:rFonts w:eastAsiaTheme="minorEastAsia"/>
                <w:i/>
              </w:rPr>
              <w:t>Greenwashing</w:t>
            </w:r>
            <w:r w:rsidRPr="00124EBE">
              <w:rPr>
                <w:rFonts w:eastAsiaTheme="minorEastAsia"/>
              </w:rPr>
              <w:t xml:space="preserve"> n. 2024/825 -  empowering consumers for the green transition through better protection against unfair practices and through better information – and the future </w:t>
            </w:r>
            <w:r w:rsidRPr="00124EBE">
              <w:rPr>
                <w:rFonts w:eastAsiaTheme="minorEastAsia"/>
                <w:i/>
              </w:rPr>
              <w:t>Green Claims</w:t>
            </w:r>
            <w:r w:rsidRPr="00124EBE">
              <w:rPr>
                <w:rFonts w:eastAsiaTheme="minorEastAsia"/>
              </w:rPr>
              <w:t xml:space="preserve"> Directive - now still shaped on a “proposal” on substantiation and communication of explicit environmental claims – will play a key role in redesigning the legal policies of consumer protection in the European scenario.  </w:t>
            </w:r>
          </w:p>
          <w:p w14:paraId="6FBD0C00" w14:textId="77777777" w:rsidR="009F7B6C" w:rsidRPr="00124EBE" w:rsidRDefault="009F7B6C" w:rsidP="009F7B6C">
            <w:pPr>
              <w:ind w:firstLine="708"/>
              <w:jc w:val="both"/>
              <w:rPr>
                <w:rFonts w:eastAsiaTheme="minorEastAsia"/>
              </w:rPr>
            </w:pPr>
            <w:r w:rsidRPr="00124EBE">
              <w:rPr>
                <w:rFonts w:eastAsiaTheme="minorEastAsia"/>
              </w:rPr>
              <w:t>These remodulations will affect policies relating to small and medium-sized businesses and also to the consumer's contractual relationship. Focusing in particular on food policies and food law aspects,  the contribution aims to highlight that in this sense circular economy, sustainability and contractual and pre-contractual protection of the consumer must achieve correct synergy to obtain an efficient regulatory apparatus on all fronts.</w:t>
            </w:r>
          </w:p>
          <w:p w14:paraId="428259F4" w14:textId="77777777" w:rsidR="009F7B6C" w:rsidRPr="00124EBE" w:rsidRDefault="009F7B6C" w:rsidP="009F7B6C">
            <w:pPr>
              <w:ind w:firstLine="708"/>
              <w:jc w:val="both"/>
              <w:rPr>
                <w:rFonts w:eastAsiaTheme="minorEastAsia"/>
              </w:rPr>
            </w:pPr>
          </w:p>
        </w:tc>
      </w:tr>
      <w:tr w:rsidR="009F7B6C" w:rsidRPr="00124EBE" w14:paraId="319CD858" w14:textId="77777777" w:rsidTr="006C2D43">
        <w:tc>
          <w:tcPr>
            <w:tcW w:w="2159" w:type="dxa"/>
          </w:tcPr>
          <w:p w14:paraId="2ECFCCDB"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Poludniak-Gierz, Katarzyna</w:t>
            </w:r>
          </w:p>
        </w:tc>
        <w:tc>
          <w:tcPr>
            <w:tcW w:w="11303" w:type="dxa"/>
          </w:tcPr>
          <w:p w14:paraId="74F2AC6C" w14:textId="77777777" w:rsidR="009F7B6C" w:rsidRPr="00124EBE" w:rsidRDefault="009F7B6C" w:rsidP="009F7B6C">
            <w:pPr>
              <w:jc w:val="both"/>
              <w:rPr>
                <w:rFonts w:eastAsiaTheme="minorEastAsia"/>
                <w:b/>
              </w:rPr>
            </w:pPr>
            <w:r w:rsidRPr="00124EBE">
              <w:rPr>
                <w:rFonts w:eastAsiaTheme="minorEastAsia"/>
                <w:b/>
              </w:rPr>
              <w:t>The long and winding road to the greener consumer law: adopting protection-by-information for environmental purposes</w:t>
            </w:r>
          </w:p>
          <w:p w14:paraId="1CCD9449" w14:textId="77777777" w:rsidR="009F7B6C" w:rsidRPr="00124EBE" w:rsidRDefault="009F7B6C" w:rsidP="009F7B6C">
            <w:pPr>
              <w:jc w:val="both"/>
              <w:rPr>
                <w:rFonts w:eastAsiaTheme="minorEastAsia"/>
                <w:bCs/>
              </w:rPr>
            </w:pPr>
            <w:r w:rsidRPr="00124EBE">
              <w:rPr>
                <w:rFonts w:eastAsiaTheme="minorEastAsia"/>
                <w:bCs/>
              </w:rPr>
              <w:t>The discussion on greening consumer law is accelerating with the political agreement on Proposals for Ecodesign for Sustainable Products Regulation and Directive on Common Rules Promoting Repair, as well as the adoption of Directive on Empowering Consumers for the Green Transition. The common denominator in these acts is that consumers are considered the driving force of the green transition.</w:t>
            </w:r>
          </w:p>
          <w:p w14:paraId="15BE8179" w14:textId="77777777" w:rsidR="009F7B6C" w:rsidRPr="00124EBE" w:rsidRDefault="009F7B6C" w:rsidP="009F7B6C">
            <w:pPr>
              <w:jc w:val="both"/>
              <w:rPr>
                <w:rFonts w:eastAsiaTheme="minorEastAsia"/>
                <w:bCs/>
              </w:rPr>
            </w:pPr>
            <w:r w:rsidRPr="00124EBE">
              <w:rPr>
                <w:rFonts w:eastAsiaTheme="minorEastAsia"/>
                <w:bCs/>
              </w:rPr>
              <w:t xml:space="preserve">It is assumed that once they are informed of the environmental impact of their actions, they will make environmentally friendly choices. The underlying assumption is that the protection-by-information model may be used to green the consumer market. </w:t>
            </w:r>
          </w:p>
          <w:p w14:paraId="4879C756" w14:textId="77777777" w:rsidR="009F7B6C" w:rsidRPr="00124EBE" w:rsidRDefault="009F7B6C" w:rsidP="009F7B6C">
            <w:pPr>
              <w:jc w:val="both"/>
              <w:rPr>
                <w:rFonts w:eastAsiaTheme="minorEastAsia"/>
                <w:bCs/>
              </w:rPr>
            </w:pPr>
            <w:r w:rsidRPr="00124EBE">
              <w:rPr>
                <w:rFonts w:eastAsiaTheme="minorEastAsia"/>
                <w:bCs/>
              </w:rPr>
              <w:t xml:space="preserve">What follows is an increase in pre-contractual information obligations (Digital Product Passport; European Repair Information Form; Proposal for a Green Claims Directive) combined with actions taken to combat misinformation (Directive on Empowering Consumers). However, both these approaches may prove less effective – from the perspective of environmental costs – than expected. </w:t>
            </w:r>
          </w:p>
          <w:p w14:paraId="02E119EB" w14:textId="77777777" w:rsidR="009F7B6C" w:rsidRPr="00124EBE" w:rsidRDefault="009F7B6C" w:rsidP="009F7B6C">
            <w:pPr>
              <w:jc w:val="both"/>
              <w:rPr>
                <w:rFonts w:eastAsiaTheme="minorEastAsia"/>
                <w:bCs/>
              </w:rPr>
            </w:pPr>
            <w:r w:rsidRPr="00124EBE">
              <w:rPr>
                <w:rFonts w:eastAsiaTheme="minorEastAsia"/>
                <w:bCs/>
              </w:rPr>
              <w:t xml:space="preserve">First, traditional obstacles to the effective functioning of the protection-by-information model become more severe once the information obligations no longer serve to protect consumer interests but rather common environmental ones. Also, new challenges arise as to avoid the information being misleading a deeper granularity of information in needed. This makes consumers less likely to make more sustainable choices. </w:t>
            </w:r>
          </w:p>
          <w:p w14:paraId="10AC0086" w14:textId="77777777" w:rsidR="009F7B6C" w:rsidRPr="00124EBE" w:rsidRDefault="009F7B6C" w:rsidP="009F7B6C">
            <w:pPr>
              <w:jc w:val="both"/>
              <w:rPr>
                <w:rFonts w:eastAsiaTheme="minorEastAsia"/>
                <w:bCs/>
              </w:rPr>
            </w:pPr>
            <w:r w:rsidRPr="00124EBE">
              <w:rPr>
                <w:rFonts w:eastAsiaTheme="minorEastAsia"/>
                <w:bCs/>
              </w:rPr>
              <w:t>Second, despite the efforts of the EU legislator to increase UCPD’s sensitivity to commercial practices that have negative environmental effects, the actual impact the act may have on the market remains limited. This is due to the dissonance between the traditional aim of UCPD and its new environmentally-oriented application. This becomes especially evident regarding consumers' individual remedies in the case of greenwashing practices. The issue is that in this context, it is problematic to find a sanction that simultaneously has a dissuasive effect on the entrepreneur, grants sufficient protection for consumer interests, and leads to an effect that corresponds with the values that are the cornerstone of the discussion on green claims in general. The purpose of this presentation is to assess the current model of consumer individual remedies and propose an alternative that could be more adjusted in the context of greenwashing.</w:t>
            </w:r>
          </w:p>
        </w:tc>
      </w:tr>
      <w:tr w:rsidR="009F7B6C" w:rsidRPr="00124EBE" w14:paraId="38AD477F" w14:textId="77777777" w:rsidTr="006C2D43">
        <w:tc>
          <w:tcPr>
            <w:tcW w:w="2159" w:type="dxa"/>
          </w:tcPr>
          <w:p w14:paraId="69247345"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 xml:space="preserve">Agnieszka Jabłonowska  </w:t>
            </w:r>
          </w:p>
        </w:tc>
        <w:tc>
          <w:tcPr>
            <w:tcW w:w="11303" w:type="dxa"/>
          </w:tcPr>
          <w:p w14:paraId="36670CF6" w14:textId="77777777" w:rsidR="009F7B6C" w:rsidRPr="00124EBE" w:rsidRDefault="009F7B6C" w:rsidP="009F7B6C">
            <w:pPr>
              <w:jc w:val="both"/>
              <w:rPr>
                <w:rFonts w:eastAsiaTheme="minorEastAsia"/>
                <w:b/>
              </w:rPr>
            </w:pPr>
            <w:r w:rsidRPr="00124EBE">
              <w:rPr>
                <w:rFonts w:eastAsiaTheme="minorEastAsia"/>
                <w:b/>
              </w:rPr>
              <w:t xml:space="preserve">Sustainability and consumer choice of remedies: studying the moving target </w:t>
            </w:r>
          </w:p>
          <w:p w14:paraId="2A690C9D" w14:textId="77777777" w:rsidR="009F7B6C" w:rsidRPr="00124EBE" w:rsidRDefault="009F7B6C" w:rsidP="009F7B6C">
            <w:pPr>
              <w:jc w:val="both"/>
              <w:rPr>
                <w:rFonts w:eastAsiaTheme="minorEastAsia"/>
                <w:bCs/>
                <w:vertAlign w:val="superscript"/>
              </w:rPr>
            </w:pPr>
            <w:r w:rsidRPr="00124EBE">
              <w:rPr>
                <w:rFonts w:eastAsiaTheme="minorEastAsia"/>
                <w:bCs/>
              </w:rPr>
              <w:t xml:space="preserve"> Due to the growing awareness about the environmental impact of consumption, the EU legislature has undertaken to make consumer law more “green”. Attention was drawn, among others, to the remedies that should be available to consumers if a product defect appears within the liability period. At present, EU consumers can choose between repair and replacement, of which repair is generally perceived as the more sustainable option. The legislature therefore considered different options for increasing the practical significance of repair: from restricting the right to choose to incentivising repair in various ways. Eventually, a decision was reached to extend the liability period following repair by 12 months, so as to make it more attractive. Moreover, traders will be required to inform consumers about the extension.</w:t>
            </w:r>
          </w:p>
          <w:p w14:paraId="1B15B54F" w14:textId="77777777" w:rsidR="009F7B6C" w:rsidRPr="00124EBE" w:rsidRDefault="009F7B6C" w:rsidP="009F7B6C">
            <w:pPr>
              <w:jc w:val="both"/>
              <w:rPr>
                <w:rFonts w:eastAsiaTheme="minorEastAsia"/>
                <w:bCs/>
              </w:rPr>
            </w:pPr>
            <w:r w:rsidRPr="00124EBE">
              <w:rPr>
                <w:rFonts w:eastAsiaTheme="minorEastAsia"/>
                <w:bCs/>
              </w:rPr>
              <w:t xml:space="preserve">  </w:t>
            </w:r>
          </w:p>
          <w:p w14:paraId="2AD95C1C" w14:textId="77777777" w:rsidR="009F7B6C" w:rsidRPr="00124EBE" w:rsidRDefault="009F7B6C" w:rsidP="009F7B6C">
            <w:pPr>
              <w:jc w:val="both"/>
              <w:rPr>
                <w:rFonts w:eastAsiaTheme="minorEastAsia"/>
                <w:bCs/>
              </w:rPr>
            </w:pPr>
            <w:r w:rsidRPr="00124EBE">
              <w:rPr>
                <w:rFonts w:eastAsiaTheme="minorEastAsia"/>
                <w:bCs/>
              </w:rPr>
              <w:t xml:space="preserve">The extension of the liability period following repair builds upon national experiences in this area and has been supported in the scholarship. However, empirical data about the contribution of national solutions to the promotion of repair is not readily available. Moreover, existing national approaches have been quite diverse and do not entirely reflect the upcoming EU legislation. Against this background, this paper considers the possible approaches to measuring the impact of new legislation – even before the rules come into effect. </w:t>
            </w:r>
          </w:p>
          <w:p w14:paraId="6FAF71CA" w14:textId="77777777" w:rsidR="009F7B6C" w:rsidRPr="00124EBE" w:rsidRDefault="009F7B6C" w:rsidP="009F7B6C">
            <w:pPr>
              <w:jc w:val="both"/>
              <w:rPr>
                <w:rFonts w:eastAsiaTheme="minorEastAsia"/>
                <w:bCs/>
              </w:rPr>
            </w:pPr>
            <w:r w:rsidRPr="00124EBE">
              <w:rPr>
                <w:rFonts w:eastAsiaTheme="minorEastAsia"/>
                <w:bCs/>
              </w:rPr>
              <w:t xml:space="preserve">More specifically, I would like to present the design of my empirical study developed as part of the NWO-funded Consumer ID project “These Shoes don’t Fit! How can consumer interests be protected when consumer identities are increasingly diffuse?”, led by Prof. Vanessa Mak. I propose to study the expected impact of new legislation using a vignette experiment, in which respondents are presented with hypothetical scenarios. I discuss the benefits and limitations of this methodology, including the tension between causality and generalizability. In addition, I propose to combine the experiment with a set of survey questions, to study whether responses to legislative changes differ across consumer groups.   </w:t>
            </w:r>
          </w:p>
        </w:tc>
      </w:tr>
      <w:tr w:rsidR="009F7B6C" w:rsidRPr="00124EBE" w14:paraId="182F2505" w14:textId="77777777" w:rsidTr="006C2D43">
        <w:tc>
          <w:tcPr>
            <w:tcW w:w="2159" w:type="dxa"/>
          </w:tcPr>
          <w:p w14:paraId="6A9CA960"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Estelle Valentine Irambona</w:t>
            </w:r>
          </w:p>
          <w:p w14:paraId="171ACAB4" w14:textId="77777777" w:rsidR="009F7B6C" w:rsidRPr="00124EBE" w:rsidRDefault="009F7B6C" w:rsidP="009F7B6C">
            <w:pPr>
              <w:spacing w:line="273" w:lineRule="auto"/>
              <w:rPr>
                <w:rFonts w:eastAsiaTheme="minorEastAsia"/>
              </w:rPr>
            </w:pPr>
            <w:r w:rsidRPr="00124EBE">
              <w:rPr>
                <w:rFonts w:eastAsiaTheme="minorEastAsia"/>
              </w:rPr>
              <w:t xml:space="preserve">Estelle Valentine Irambona is a PhD Researcher and teaching assistant at the Institute for Consumer, Competition and Market (KU Leuven, Belgium).  </w:t>
            </w:r>
          </w:p>
        </w:tc>
        <w:tc>
          <w:tcPr>
            <w:tcW w:w="11303" w:type="dxa"/>
          </w:tcPr>
          <w:p w14:paraId="79DF1468" w14:textId="77777777" w:rsidR="009F7B6C" w:rsidRPr="00124EBE" w:rsidRDefault="009F7B6C" w:rsidP="009F7B6C">
            <w:pPr>
              <w:jc w:val="both"/>
              <w:rPr>
                <w:rFonts w:eastAsiaTheme="minorEastAsia"/>
                <w:b/>
              </w:rPr>
            </w:pPr>
            <w:r w:rsidRPr="00124EBE">
              <w:rPr>
                <w:rFonts w:eastAsiaTheme="minorEastAsia"/>
                <w:b/>
              </w:rPr>
              <w:t xml:space="preserve">Pursuing Sustainable Consumption: An Exploration of the EU’ AntiDeforestation Law </w:t>
            </w:r>
          </w:p>
          <w:p w14:paraId="7E1EE2BF" w14:textId="77777777" w:rsidR="009F7B6C" w:rsidRPr="00124EBE" w:rsidRDefault="009F7B6C" w:rsidP="009F7B6C">
            <w:pPr>
              <w:jc w:val="both"/>
              <w:rPr>
                <w:rFonts w:eastAsiaTheme="minorEastAsia"/>
                <w:bCs/>
              </w:rPr>
            </w:pPr>
            <w:r w:rsidRPr="00124EBE">
              <w:rPr>
                <w:rFonts w:eastAsiaTheme="minorEastAsia"/>
                <w:bCs/>
              </w:rPr>
              <w:t xml:space="preserve">Consumption in the European Union (EU) is one of the main causes of global deforestation. In fact, “1/3 of the globally traded agricultural products associated with deforestation” were imported and consumed in the internal market. In this context, the EU has passed the Regulation on Deforestation-Free products (Anti-Deforestation Law) which sets requirements for traders and economic operators to place a select number of commodities (e.g., palm oil, beef, timber, rubber coffee, cocoa, and soy) and derivatives (e.g., chocolate, furniture, printed paper and selected palm oil based derivates) in the internal market. The AntiDeforestation Law is designed to foster sustainable supply chains and prevent consumers in the EU from consuming products linked to forest degradation and deforestation. As the Regulation is set to apply as of 30 December 2024 and many questions about its implementation remain, the present paper seeks to shed light on the promises and pitfalls of the law. After placing the Anti-Deforestation Law in the broader context, the paper explores the main obligations set out in the law. It then describes the practical implications of implementing due diligence obligations and analyzes how the law will affect both traders and consumers.  </w:t>
            </w:r>
          </w:p>
          <w:p w14:paraId="01EDBB17" w14:textId="77777777" w:rsidR="009F7B6C" w:rsidRPr="00124EBE" w:rsidRDefault="009F7B6C" w:rsidP="009F7B6C">
            <w:pPr>
              <w:jc w:val="both"/>
              <w:rPr>
                <w:rFonts w:eastAsiaTheme="minorEastAsia"/>
                <w:b/>
              </w:rPr>
            </w:pPr>
          </w:p>
        </w:tc>
      </w:tr>
      <w:tr w:rsidR="009F7B6C" w:rsidRPr="00124EBE" w14:paraId="0E8BEA22" w14:textId="77777777" w:rsidTr="006C2D43">
        <w:tc>
          <w:tcPr>
            <w:tcW w:w="2159" w:type="dxa"/>
          </w:tcPr>
          <w:p w14:paraId="63ABE51E"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 xml:space="preserve">Rita Simon LL.M, </w:t>
            </w:r>
          </w:p>
          <w:p w14:paraId="5481987F" w14:textId="77777777" w:rsidR="009F7B6C" w:rsidRPr="00124EBE" w:rsidRDefault="009F7B6C" w:rsidP="009F7B6C">
            <w:pPr>
              <w:jc w:val="both"/>
              <w:rPr>
                <w:rFonts w:eastAsiaTheme="minorEastAsia"/>
                <w:b/>
              </w:rPr>
            </w:pPr>
            <w:r w:rsidRPr="00124EBE">
              <w:rPr>
                <w:rFonts w:eastAsiaTheme="minorEastAsia"/>
                <w:b/>
              </w:rPr>
              <w:t xml:space="preserve">Centre for Climate Law and Sustainability Studies (CLASS) at the Institute of State and Law of the Czech Academy of Sciences - senior researcher </w:t>
            </w:r>
          </w:p>
          <w:p w14:paraId="0AC42FDC"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303" w:type="dxa"/>
          </w:tcPr>
          <w:p w14:paraId="236CB7BB" w14:textId="77777777" w:rsidR="009F7B6C" w:rsidRPr="00124EBE" w:rsidRDefault="009F7B6C" w:rsidP="009F7B6C">
            <w:pPr>
              <w:jc w:val="both"/>
              <w:rPr>
                <w:rFonts w:eastAsiaTheme="minorEastAsia"/>
                <w:b/>
              </w:rPr>
            </w:pPr>
            <w:bookmarkStart w:id="0" w:name="_Hlk164782930"/>
            <w:r w:rsidRPr="00124EBE">
              <w:rPr>
                <w:rFonts w:eastAsiaTheme="minorEastAsia"/>
                <w:b/>
              </w:rPr>
              <w:t>Sustainable consumption and voluntary mitigating actions: recommendations for policymakers</w:t>
            </w:r>
          </w:p>
          <w:p w14:paraId="1CD14C3D" w14:textId="77777777" w:rsidR="009F7B6C" w:rsidRPr="00124EBE" w:rsidRDefault="009F7B6C" w:rsidP="009F7B6C">
            <w:pPr>
              <w:jc w:val="both"/>
              <w:rPr>
                <w:rFonts w:eastAsiaTheme="minorEastAsia"/>
                <w:bCs/>
              </w:rPr>
            </w:pPr>
            <w:r w:rsidRPr="00124EBE">
              <w:rPr>
                <w:rFonts w:eastAsiaTheme="minorEastAsia"/>
                <w:bCs/>
              </w:rPr>
              <w:t>In the light of the climate urgency and in order to meet the goals of the Paris Agreement, European legislation aims to achieve climate neutrality by 2050, which implies a green transformation and the promotion of sustainable development. Although the constantly-growing European secondary law gives specific commitments to Member States to achieve green transformation in various areas (which aims are manifested by a complex national framework regulating industry and businesses); final consumption is not directly targeted by those specific requirements. With the modernization of European Consumer Sales Law in 2019, which was the first step towards SDG 12, the European legislator showed low ambition towards this aim. Nevertheless, changing consumption patterns to move towards greener and more sustainable consumption is fundamental for the green transformation.</w:t>
            </w:r>
          </w:p>
          <w:p w14:paraId="246688B1" w14:textId="77777777" w:rsidR="009F7B6C" w:rsidRPr="00124EBE" w:rsidRDefault="009F7B6C" w:rsidP="009F7B6C">
            <w:pPr>
              <w:jc w:val="both"/>
              <w:rPr>
                <w:rFonts w:eastAsiaTheme="minorEastAsia"/>
                <w:bCs/>
              </w:rPr>
            </w:pPr>
            <w:r w:rsidRPr="00124EBE">
              <w:rPr>
                <w:rFonts w:eastAsiaTheme="minorEastAsia"/>
                <w:bCs/>
              </w:rPr>
              <w:t xml:space="preserve">Sustainable consumption became a flagship of national governments in Scandinavia, France and in several Western European countries; but in other parts of Europe, this policy does not belong to the important government strategies. Considering the applied policy instrument to support sustainable consumption, a big variety of mechanisms can be found e.g. financial/fiscal, market-based or regulatory ones is are by national governments). However, most of them are light-handed and voluntary instruments, for example offering state subvention to renovate residences or to buy e-vehicles; which do not nudge consumers to behave with greater consideration for the environment. Matching the current research findings on the relationship between consumers´ voluntary mitigating actions towards sustainable consumption and their carbon footprint reduction potential shows, that these voluntary mitigation actions of European citizens do not achieve high level of GHG reduction. Consumers seem not willing to take actions with a high CO2 reduction potential. </w:t>
            </w:r>
          </w:p>
          <w:p w14:paraId="0C96C18D" w14:textId="77777777" w:rsidR="009F7B6C" w:rsidRPr="00124EBE" w:rsidRDefault="009F7B6C" w:rsidP="009F7B6C">
            <w:pPr>
              <w:jc w:val="both"/>
              <w:rPr>
                <w:rFonts w:eastAsiaTheme="minorEastAsia"/>
                <w:bCs/>
              </w:rPr>
            </w:pPr>
            <w:r w:rsidRPr="00124EBE">
              <w:rPr>
                <w:rFonts w:eastAsiaTheme="minorEastAsia"/>
                <w:bCs/>
              </w:rPr>
              <w:t>This paper evaluates, how the European and national legislators unleash the sustainable consumption argument in legal regulation mitigating consumption. After the commitments of the European legislator towards SDG 12 (1), best practices of national governments will be highlighted as first (2). Second, the voluntary mitigating actions of European consumers with view of their CO</w:t>
            </w:r>
            <w:r w:rsidRPr="00124EBE">
              <w:rPr>
                <w:rFonts w:eastAsiaTheme="minorEastAsia"/>
                <w:bCs/>
                <w:vertAlign w:val="subscript"/>
              </w:rPr>
              <w:t xml:space="preserve">2 </w:t>
            </w:r>
            <w:r w:rsidRPr="00124EBE">
              <w:rPr>
                <w:rFonts w:eastAsiaTheme="minorEastAsia"/>
                <w:bCs/>
              </w:rPr>
              <w:t xml:space="preserve">reduction potential will be analysed (3), and finally, recommendations for policymakers will be provided, to enhance mitigation policies toward sustainable consumption (4). </w:t>
            </w:r>
            <w:bookmarkEnd w:id="0"/>
          </w:p>
        </w:tc>
      </w:tr>
      <w:tr w:rsidR="009F7B6C" w:rsidRPr="00124EBE" w14:paraId="3F91247E" w14:textId="77777777" w:rsidTr="006C2D43">
        <w:tc>
          <w:tcPr>
            <w:tcW w:w="2159" w:type="dxa"/>
          </w:tcPr>
          <w:p w14:paraId="28A1DEC3"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 xml:space="preserve">Alexandra Burdulea, </w:t>
            </w:r>
          </w:p>
          <w:p w14:paraId="64EBB275" w14:textId="77777777" w:rsidR="009F7B6C" w:rsidRPr="00124EBE" w:rsidRDefault="009F7B6C" w:rsidP="009F7B6C">
            <w:pPr>
              <w:rPr>
                <w:rFonts w:eastAsiaTheme="minorEastAsia"/>
              </w:rPr>
            </w:pPr>
            <w:r w:rsidRPr="00124EBE">
              <w:rPr>
                <w:rFonts w:eastAsiaTheme="minorEastAsia"/>
              </w:rPr>
              <w:t>PhD Candidate</w:t>
            </w:r>
          </w:p>
          <w:p w14:paraId="412A279E" w14:textId="77777777" w:rsidR="009F7B6C" w:rsidRPr="00124EBE" w:rsidRDefault="009F7B6C" w:rsidP="009F7B6C">
            <w:pPr>
              <w:rPr>
                <w:rFonts w:eastAsiaTheme="minorEastAsia"/>
              </w:rPr>
            </w:pPr>
            <w:r w:rsidRPr="00124EBE">
              <w:rPr>
                <w:rFonts w:eastAsiaTheme="minorEastAsia"/>
              </w:rPr>
              <w:t>West University of Timișoara, Faculty of Law</w:t>
            </w:r>
          </w:p>
          <w:p w14:paraId="093EAE92" w14:textId="77777777" w:rsidR="009F7B6C" w:rsidRPr="00124EBE" w:rsidRDefault="009F7B6C" w:rsidP="009F7B6C">
            <w:pPr>
              <w:rPr>
                <w:rFonts w:eastAsiaTheme="minorEastAsia"/>
              </w:rPr>
            </w:pPr>
            <w:r w:rsidRPr="00124EBE">
              <w:rPr>
                <w:rFonts w:eastAsiaTheme="minorEastAsia"/>
              </w:rPr>
              <w:t>Université de Pau et des Pays de l'Adour</w:t>
            </w:r>
          </w:p>
        </w:tc>
        <w:tc>
          <w:tcPr>
            <w:tcW w:w="11303" w:type="dxa"/>
          </w:tcPr>
          <w:p w14:paraId="44BBC62B"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t>Circular Economy between Consumer Protection and Competition Law in the EU</w:t>
            </w:r>
          </w:p>
          <w:p w14:paraId="72AE4320" w14:textId="77777777" w:rsidR="009F7B6C" w:rsidRPr="00124EBE" w:rsidRDefault="009F7B6C" w:rsidP="009F7B6C">
            <w:pPr>
              <w:rPr>
                <w:rFonts w:eastAsiaTheme="minorEastAsia"/>
              </w:rPr>
            </w:pPr>
            <w:r w:rsidRPr="00124EBE">
              <w:rPr>
                <w:rFonts w:eastAsiaTheme="minorEastAsia"/>
              </w:rPr>
              <w:tab/>
              <w:t xml:space="preserve">Consumer protection legislation has been qualified as one of the key elements in furthering circularity goals, as informed, responsible purchasing is essential in the transition from a linear to a circular economy. Moreover, consumer protection is currently being transformed in order to encourage sustainability, as can be seen through recent EU initiatives, such as the agreement on the new right to repair. At the same time, there is increasing debate over the EU competition policy, which is lagging behind in sustainability. The two policies are complementary, as competition in the market increases innovation and improves the quality of goods and services. Thus, it enhances consumer welfare through widening options for consumers and competitive prices. Complementarily, consumer protection enhances competition, as informed decisions encourage preference for better products and services. As a result, informed sustainable consumers can put pressure on manufacturers to develop more environmentally friendly products. </w:t>
            </w:r>
          </w:p>
          <w:p w14:paraId="225204DC" w14:textId="77777777" w:rsidR="009F7B6C" w:rsidRPr="00124EBE" w:rsidRDefault="009F7B6C" w:rsidP="009F7B6C">
            <w:pPr>
              <w:rPr>
                <w:rFonts w:eastAsiaTheme="minorEastAsia"/>
              </w:rPr>
            </w:pPr>
            <w:r w:rsidRPr="00124EBE">
              <w:rPr>
                <w:rFonts w:eastAsiaTheme="minorEastAsia"/>
              </w:rPr>
              <w:t xml:space="preserve">By its very nature, circular economy has a collaborative character and, from this perspective, competition law finds itself in a rather difficult position. This is due to the inherently economic analysis undertaken by authorities when assessing market behaviors. This analysis takes into account the consumer welfare standard, leading, for example, to the conclusion that an agreement between retailers in order to sell only sustainably produced products could be against the goal of competition law, as it will lead to increase in consumer prices. The main question of the proposed research concerns the congruence between consumer protection and competition law, in the context of sustainability in general and circular economy in particular. In this respect, it is essential to determine how consumer protection and welfare are defined in both policy areas and how they can be better developed for the purpose of encouraging circular economy. The proposed research aims to undertake a comparative study of the relationship between the two policies, as well as their relationship with environmental protection at EU level.  </w:t>
            </w:r>
          </w:p>
        </w:tc>
      </w:tr>
      <w:tr w:rsidR="009F7B6C" w:rsidRPr="00124EBE" w14:paraId="0B84612E" w14:textId="77777777" w:rsidTr="006C2D43">
        <w:tc>
          <w:tcPr>
            <w:tcW w:w="2159" w:type="dxa"/>
          </w:tcPr>
          <w:p w14:paraId="3E31D4EF"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Asst. Prof. Dr. BURCU ERBAYRAKTAR</w:t>
            </w:r>
            <w:r w:rsidRPr="00124EBE">
              <w:rPr>
                <w:rFonts w:asciiTheme="majorHAnsi" w:eastAsiaTheme="majorEastAsia" w:hAnsiTheme="majorHAnsi" w:cstheme="majorBidi"/>
                <w:b/>
                <w:color w:val="0F4761" w:themeColor="accent1" w:themeShade="BF"/>
                <w:sz w:val="32"/>
                <w:szCs w:val="32"/>
              </w:rPr>
              <w:t xml:space="preserve"> </w:t>
            </w:r>
          </w:p>
          <w:p w14:paraId="18C2A287" w14:textId="77777777" w:rsidR="009F7B6C" w:rsidRPr="00124EBE" w:rsidRDefault="009F7B6C" w:rsidP="009F7B6C">
            <w:pPr>
              <w:rPr>
                <w:rFonts w:eastAsiaTheme="minorEastAsia"/>
              </w:rPr>
            </w:pPr>
            <w:r w:rsidRPr="00124EBE">
              <w:rPr>
                <w:rFonts w:eastAsiaTheme="minorEastAsia"/>
                <w:u w:val="single"/>
              </w:rPr>
              <w:t>Institutional affiliation:</w:t>
            </w:r>
            <w:r w:rsidRPr="00124EBE">
              <w:rPr>
                <w:rFonts w:eastAsiaTheme="minorEastAsia"/>
                <w:b/>
              </w:rPr>
              <w:t xml:space="preserve"> </w:t>
            </w:r>
            <w:r w:rsidRPr="00124EBE">
              <w:rPr>
                <w:rFonts w:eastAsiaTheme="minorEastAsia"/>
              </w:rPr>
              <w:t>Istanbul Gedik University, Law Faculty, Civil Law Department, Turkey</w:t>
            </w:r>
            <w:r w:rsidRPr="00124EBE">
              <w:rPr>
                <w:rFonts w:eastAsiaTheme="minorEastAsia"/>
                <w:b/>
              </w:rPr>
              <w:t xml:space="preserve"> </w:t>
            </w:r>
          </w:p>
        </w:tc>
        <w:tc>
          <w:tcPr>
            <w:tcW w:w="11303" w:type="dxa"/>
          </w:tcPr>
          <w:p w14:paraId="7DE1D661" w14:textId="77777777" w:rsidR="009F7B6C" w:rsidRPr="00124EBE" w:rsidRDefault="009F7B6C" w:rsidP="009F7B6C">
            <w:pPr>
              <w:rPr>
                <w:rFonts w:eastAsiaTheme="minorEastAsia"/>
              </w:rPr>
            </w:pPr>
            <w:r w:rsidRPr="00124EBE">
              <w:rPr>
                <w:rFonts w:eastAsiaTheme="minorEastAsia"/>
                <w:b/>
              </w:rPr>
              <w:t xml:space="preserve">Preventing Atypical Use of the Withdrawal Rights for Environmental Protection </w:t>
            </w:r>
          </w:p>
          <w:p w14:paraId="5BEA3010" w14:textId="77777777" w:rsidR="009F7B6C" w:rsidRPr="00124EBE" w:rsidRDefault="009F7B6C" w:rsidP="009F7B6C">
            <w:pPr>
              <w:rPr>
                <w:rFonts w:eastAsiaTheme="minorEastAsia"/>
              </w:rPr>
            </w:pPr>
            <w:r w:rsidRPr="00124EBE">
              <w:rPr>
                <w:rFonts w:eastAsiaTheme="minorEastAsia"/>
              </w:rPr>
              <w:t xml:space="preserve">In distance sales, consumers are granted a withdrawal right: Consumers are free to return the goods within 14 days from delivery without the necessity to show reasons. The withdrawal rights aim to protect the consumer against the informational disadvantage and to ensure the conclusion of a fair and balanced contract.  </w:t>
            </w:r>
          </w:p>
          <w:p w14:paraId="4242B426" w14:textId="77777777" w:rsidR="009F7B6C" w:rsidRPr="00124EBE" w:rsidRDefault="009F7B6C" w:rsidP="009F7B6C">
            <w:pPr>
              <w:rPr>
                <w:rFonts w:eastAsiaTheme="minorEastAsia"/>
              </w:rPr>
            </w:pPr>
            <w:r w:rsidRPr="00124EBE">
              <w:rPr>
                <w:rFonts w:eastAsiaTheme="minorEastAsia"/>
              </w:rPr>
              <w:t xml:space="preserve">Withdrawal rights do not only serve as an instrument of consumer protection but also as an instrument of competition. For example, in EU law, the consumer is obliged to pay the return costs if it is agreed upon in the preliminary information. Despite this rule, return costs are often assumed by sellers to gain a competitive advantage. In most cases, both the sales price and the return costs are refunded. The right of free return incentivizes consumers to purchase excessively and to use the withdrawal right in an atypical manner: In many cases, consumers decide to buy with the initial intent of return. They purchase the same product in various colors and sizes and decide on the best option.  </w:t>
            </w:r>
          </w:p>
          <w:p w14:paraId="1405E395" w14:textId="77777777" w:rsidR="009F7B6C" w:rsidRPr="00124EBE" w:rsidRDefault="009F7B6C" w:rsidP="009F7B6C">
            <w:pPr>
              <w:rPr>
                <w:rFonts w:eastAsiaTheme="minorEastAsia"/>
              </w:rPr>
            </w:pPr>
            <w:r w:rsidRPr="00124EBE">
              <w:rPr>
                <w:rFonts w:eastAsiaTheme="minorEastAsia"/>
              </w:rPr>
              <w:t xml:space="preserve">Returns harm the environment for various reasons: Environmental impact of the shipping methods used by consumers, couriers and postal services are as noteworthy at the return stage as they are at the delivery stage. Additional waste occurs due to return packaging. The processes that cause chemical material or energy consumption, such as dry cleaning and steaming, may be necessary to make the returned goods resalable. Returns may cause the lifespan of some goods to be shortened or to be disposed of. Finally, consumers’ search for alternative goods or sellers leads to the consumption of additional resources. </w:t>
            </w:r>
          </w:p>
          <w:p w14:paraId="40F8936F" w14:textId="77777777" w:rsidR="009F7B6C" w:rsidRPr="00124EBE" w:rsidRDefault="009F7B6C" w:rsidP="009F7B6C">
            <w:pPr>
              <w:rPr>
                <w:rFonts w:eastAsiaTheme="minorEastAsia"/>
              </w:rPr>
            </w:pPr>
            <w:r w:rsidRPr="00124EBE">
              <w:rPr>
                <w:rFonts w:eastAsiaTheme="minorEastAsia"/>
              </w:rPr>
              <w:t xml:space="preserve">To reduce the return rates, three views stand out in the literature. According to one view, free returns should be prohibited by law, and mandatory provisions imposing minimum return costs should be adopted. Another view suggests that consumers should be provided with the right of choice between purchasing the product at a lower price or having the withdrawal right. The third view proposes the mandatory character of the right of withdrawal to be fully abolished. These three views deserve to be evaluated in terms of reconciling the aims of consumer protection and environmental protection. </w:t>
            </w:r>
          </w:p>
          <w:p w14:paraId="1B3CEE08" w14:textId="77777777" w:rsidR="009F7B6C" w:rsidRPr="00124EBE" w:rsidRDefault="009F7B6C" w:rsidP="009F7B6C">
            <w:pPr>
              <w:rPr>
                <w:rFonts w:eastAsiaTheme="minorEastAsia"/>
              </w:rPr>
            </w:pPr>
          </w:p>
        </w:tc>
      </w:tr>
      <w:tr w:rsidR="009F7B6C" w:rsidRPr="00124EBE" w14:paraId="4419ACB4" w14:textId="77777777" w:rsidTr="006C2D43">
        <w:tc>
          <w:tcPr>
            <w:tcW w:w="2159" w:type="dxa"/>
          </w:tcPr>
          <w:p w14:paraId="7090E4FE"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Borko Mihajlović</w:t>
            </w:r>
          </w:p>
          <w:p w14:paraId="01ADE8D3" w14:textId="77777777" w:rsidR="009F7B6C" w:rsidRPr="00124EBE" w:rsidRDefault="009F7B6C" w:rsidP="009F7B6C">
            <w:pPr>
              <w:ind w:firstLine="720"/>
              <w:jc w:val="center"/>
              <w:rPr>
                <w:rFonts w:eastAsiaTheme="minorEastAsia"/>
              </w:rPr>
            </w:pPr>
            <w:r w:rsidRPr="00124EBE">
              <w:rPr>
                <w:rFonts w:eastAsiaTheme="minorEastAsia"/>
                <w:i/>
                <w:iCs/>
              </w:rPr>
              <w:t>Associate Professor at the Faculty of Law, University of Kragujevac (Republic of Serbia)</w:t>
            </w:r>
          </w:p>
          <w:p w14:paraId="07C9A692" w14:textId="77777777" w:rsidR="009F7B6C" w:rsidRPr="00124EBE" w:rsidRDefault="009F7B6C" w:rsidP="009F7B6C">
            <w:pPr>
              <w:rPr>
                <w:rFonts w:eastAsiaTheme="minorEastAsia"/>
              </w:rPr>
            </w:pPr>
          </w:p>
        </w:tc>
        <w:tc>
          <w:tcPr>
            <w:tcW w:w="11303" w:type="dxa"/>
          </w:tcPr>
          <w:p w14:paraId="5E07E031" w14:textId="77777777" w:rsidR="009F7B6C" w:rsidRPr="00124EBE" w:rsidRDefault="009F7B6C" w:rsidP="009F7B6C">
            <w:pPr>
              <w:rPr>
                <w:rFonts w:eastAsiaTheme="minorEastAsia"/>
                <w:b/>
                <w:bCs/>
              </w:rPr>
            </w:pPr>
            <w:r w:rsidRPr="00124EBE">
              <w:rPr>
                <w:rFonts w:eastAsiaTheme="minorEastAsia"/>
                <w:b/>
                <w:bCs/>
              </w:rPr>
              <w:t>Recommender systems as a force for sustainable consumption: how EU law may make use of this force?</w:t>
            </w:r>
          </w:p>
          <w:p w14:paraId="6F30AEA0" w14:textId="77777777" w:rsidR="009F7B6C" w:rsidRPr="00124EBE" w:rsidRDefault="009F7B6C" w:rsidP="009F7B6C">
            <w:pPr>
              <w:rPr>
                <w:rFonts w:eastAsiaTheme="minorEastAsia"/>
              </w:rPr>
            </w:pPr>
          </w:p>
          <w:p w14:paraId="39A82431" w14:textId="77777777" w:rsidR="009F7B6C" w:rsidRPr="00124EBE" w:rsidRDefault="009F7B6C" w:rsidP="009F7B6C">
            <w:pPr>
              <w:rPr>
                <w:rFonts w:eastAsiaTheme="minorEastAsia"/>
              </w:rPr>
            </w:pPr>
            <w:r w:rsidRPr="00124EBE">
              <w:rPr>
                <w:rFonts w:eastAsiaTheme="minorEastAsia"/>
              </w:rPr>
              <w:t xml:space="preserve">Recommender systems present a significant tool that online platforms use in tailoring the content, prioritizing and presenting information on their online interface, as well as in adjusting the entire appearance of their interface to the specific users or groups of users. As such, the adequate and transparent use of recommender systems has been recognized as an important prerequisite for achieving digital fairness in modern digital economies. Besides attaining digital fairness, another overarching goal of modern consumer law is fostering sustainable consumption. These two goals, although related and mutually dependent, are often contemplated in isolation, as separate and distinct goals of consumer laws and policies. </w:t>
            </w:r>
          </w:p>
          <w:p w14:paraId="02812D38" w14:textId="77777777" w:rsidR="009F7B6C" w:rsidRPr="00124EBE" w:rsidRDefault="009F7B6C" w:rsidP="009F7B6C">
            <w:pPr>
              <w:rPr>
                <w:rFonts w:eastAsiaTheme="minorEastAsia"/>
              </w:rPr>
            </w:pPr>
            <w:r w:rsidRPr="00124EBE">
              <w:rPr>
                <w:rFonts w:eastAsiaTheme="minorEastAsia"/>
              </w:rPr>
              <w:t xml:space="preserve">The main objective of this paper is to investigate the relationship between two stated goals through the analysis of the potential of recommender systems to serve as a mean to the promotion of sustainable patterns of consumption. The basic hypothesis is that current ways of usage of recommender systems, which in general encourage mass consumption, are inherently unsustainable. The current EU regulation of recommender systems, based on the principle of transparency and risk-based approach, is not able to change this inherent trait of recommender systems. </w:t>
            </w:r>
          </w:p>
          <w:p w14:paraId="30B06069" w14:textId="77777777" w:rsidR="009F7B6C" w:rsidRPr="00124EBE" w:rsidRDefault="009F7B6C" w:rsidP="009F7B6C">
            <w:pPr>
              <w:rPr>
                <w:rFonts w:eastAsiaTheme="minorEastAsia"/>
              </w:rPr>
            </w:pPr>
            <w:r w:rsidRPr="00124EBE">
              <w:rPr>
                <w:rFonts w:eastAsiaTheme="minorEastAsia"/>
              </w:rPr>
              <w:t xml:space="preserve">In this paper, after a brief review of the current state of EU regulation of recommender systems, the author will address the potential role of recommender systems in achieving sustainable consumption. In achieving this role, the starting point will be the academic and policy discussions on another role of recommender systems (attaining digital fairness). In that regard, the need to limit the online platforms’ almost unrestricted freedom to choose and use different optimization strategies, and to freely pursue their economic goals with these strategies will be discussed. Also, the author will address the possibilities for pursuing broader social and environmental objectives by usage of optimization strategies. In his conclusions, the author expects to raise awareness of the importance of mutual dependence of digitalization and sustainability goals in consumer law, based on examples drawn from his analysis of recommender systems. </w:t>
            </w:r>
          </w:p>
          <w:p w14:paraId="796F7648" w14:textId="77777777" w:rsidR="009F7B6C" w:rsidRPr="00124EBE" w:rsidRDefault="009F7B6C" w:rsidP="009F7B6C">
            <w:pPr>
              <w:rPr>
                <w:rFonts w:eastAsiaTheme="minorEastAsia"/>
              </w:rPr>
            </w:pPr>
          </w:p>
        </w:tc>
      </w:tr>
      <w:tr w:rsidR="009F7B6C" w:rsidRPr="00124EBE" w14:paraId="37C77C18" w14:textId="77777777" w:rsidTr="006C2D43">
        <w:tc>
          <w:tcPr>
            <w:tcW w:w="2159" w:type="dxa"/>
          </w:tcPr>
          <w:p w14:paraId="28035BAB"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imes New Roman" w:hAnsiTheme="majorHAnsi" w:cstheme="majorBidi"/>
                <w:color w:val="0F4761" w:themeColor="accent1" w:themeShade="BF"/>
                <w:sz w:val="32"/>
                <w:szCs w:val="32"/>
              </w:rPr>
              <w:lastRenderedPageBreak/>
              <w:t xml:space="preserve">By Marianne Hundahl </w:t>
            </w:r>
          </w:p>
          <w:p w14:paraId="23E086A4" w14:textId="77777777" w:rsidR="009F7B6C" w:rsidRPr="00124EBE" w:rsidRDefault="009F7B6C" w:rsidP="009F7B6C">
            <w:pPr>
              <w:ind w:left="-5"/>
              <w:rPr>
                <w:rFonts w:eastAsiaTheme="minorEastAsia"/>
              </w:rPr>
            </w:pPr>
            <w:r w:rsidRPr="00124EBE">
              <w:rPr>
                <w:rFonts w:eastAsiaTheme="minorEastAsia"/>
              </w:rPr>
              <w:t xml:space="preserve">Assistant professor, PhD  </w:t>
            </w:r>
          </w:p>
          <w:p w14:paraId="7799FB0C" w14:textId="77777777" w:rsidR="009F7B6C" w:rsidRPr="00124EBE" w:rsidRDefault="009F7B6C" w:rsidP="009F7B6C">
            <w:pPr>
              <w:ind w:left="-5"/>
              <w:rPr>
                <w:rFonts w:eastAsiaTheme="minorEastAsia"/>
              </w:rPr>
            </w:pPr>
            <w:r w:rsidRPr="00124EBE">
              <w:rPr>
                <w:rFonts w:eastAsiaTheme="minorEastAsia"/>
              </w:rPr>
              <w:t xml:space="preserve">Law Department, Aalborg University  </w:t>
            </w:r>
          </w:p>
          <w:p w14:paraId="6940E169" w14:textId="77777777" w:rsidR="009F7B6C" w:rsidRPr="00124EBE" w:rsidRDefault="009F7B6C" w:rsidP="009F7B6C">
            <w:pPr>
              <w:ind w:left="-5"/>
              <w:rPr>
                <w:rFonts w:eastAsiaTheme="minorEastAsia"/>
              </w:rPr>
            </w:pPr>
            <w:r w:rsidRPr="00124EBE">
              <w:rPr>
                <w:rFonts w:eastAsiaTheme="minorEastAsia"/>
              </w:rPr>
              <w:t xml:space="preserve">Denmark  </w:t>
            </w:r>
          </w:p>
          <w:p w14:paraId="79146244"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303" w:type="dxa"/>
          </w:tcPr>
          <w:p w14:paraId="1E0AC4D7" w14:textId="77777777" w:rsidR="009F7B6C" w:rsidRPr="00124EBE" w:rsidRDefault="009F7B6C" w:rsidP="009F7B6C">
            <w:pPr>
              <w:spacing w:after="216"/>
              <w:ind w:right="4"/>
              <w:rPr>
                <w:rFonts w:eastAsiaTheme="minorEastAsia"/>
                <w:b/>
                <w:bCs/>
              </w:rPr>
            </w:pPr>
            <w:r w:rsidRPr="00124EBE">
              <w:rPr>
                <w:rFonts w:eastAsiaTheme="minorEastAsia"/>
                <w:b/>
                <w:bCs/>
              </w:rPr>
              <w:t>Are your Consumer Rights Best Served by  Greenwashing or Greenhushing? - how the field of the use of green claims in marketing (#’green marketing’) remains an obstacle to consumer protection.</w:t>
            </w:r>
          </w:p>
          <w:p w14:paraId="1E2E2295" w14:textId="77777777" w:rsidR="009F7B6C" w:rsidRPr="00124EBE" w:rsidRDefault="009F7B6C" w:rsidP="009F7B6C">
            <w:pPr>
              <w:spacing w:after="216"/>
              <w:ind w:right="4"/>
              <w:rPr>
                <w:rFonts w:eastAsiaTheme="minorEastAsia"/>
              </w:rPr>
            </w:pPr>
            <w:r w:rsidRPr="00124EBE">
              <w:rPr>
                <w:rFonts w:eastAsia="Times New Roman"/>
                <w:i/>
              </w:rPr>
              <w:t xml:space="preserve"> </w:t>
            </w:r>
            <w:r w:rsidRPr="00124EBE">
              <w:rPr>
                <w:rFonts w:eastAsiaTheme="minorEastAsia"/>
              </w:rPr>
              <w:t xml:space="preserve">This proposal for a paper reflects on the boundary of greenwashing with a view to questioning whether consumers have any rights. </w:t>
            </w:r>
          </w:p>
          <w:p w14:paraId="6AF163A0" w14:textId="77777777" w:rsidR="009F7B6C" w:rsidRPr="00124EBE" w:rsidRDefault="009F7B6C" w:rsidP="009F7B6C">
            <w:pPr>
              <w:ind w:left="-4" w:right="-12"/>
              <w:rPr>
                <w:rFonts w:eastAsiaTheme="minorEastAsia"/>
              </w:rPr>
            </w:pPr>
            <w:r w:rsidRPr="00124EBE">
              <w:rPr>
                <w:rFonts w:eastAsiaTheme="minorEastAsia"/>
              </w:rPr>
              <w:t xml:space="preserve">With the increasing focus on the environment, climate, and social responsibility #‘green marketing’ has become an important parameter in competition. But the line between lawful use of green claims in marketing and illegal greenwashing is not green or red yet.  </w:t>
            </w:r>
          </w:p>
          <w:p w14:paraId="4987E57D" w14:textId="77777777" w:rsidR="009F7B6C" w:rsidRPr="00124EBE" w:rsidRDefault="009F7B6C" w:rsidP="009F7B6C">
            <w:pPr>
              <w:ind w:left="-4" w:right="-12"/>
              <w:rPr>
                <w:rFonts w:eastAsiaTheme="minorEastAsia"/>
              </w:rPr>
            </w:pPr>
            <w:r w:rsidRPr="00124EBE">
              <w:rPr>
                <w:rFonts w:eastAsiaTheme="minorEastAsia"/>
              </w:rPr>
              <w:t xml:space="preserve">In Denmark, we concluded the first major court case regarding climate marketing on 1 March 2024. The court found that Danish Crown A/S must acknowledge that is has violated section 5 of the Danish marketing practices act by having used the term ‘climate-controlled pig’ without proper control in place. However, the court found that the expression ‘Danish pig is more climate-friendly that you think’ was not misleading. Would the result have been the same with for example the expression ‘Danish pig isn’t as damaging to the climate as you think’?   </w:t>
            </w:r>
          </w:p>
          <w:p w14:paraId="7D7BC9B1" w14:textId="77777777" w:rsidR="009F7B6C" w:rsidRPr="00124EBE" w:rsidRDefault="009F7B6C" w:rsidP="009F7B6C">
            <w:pPr>
              <w:ind w:left="-4" w:right="-12"/>
              <w:rPr>
                <w:rFonts w:eastAsiaTheme="minorEastAsia"/>
              </w:rPr>
            </w:pPr>
            <w:r w:rsidRPr="00124EBE">
              <w:rPr>
                <w:rFonts w:eastAsiaTheme="minorEastAsia"/>
              </w:rPr>
              <w:t xml:space="preserve">It is still being debated whether the judgment has filled or left an even bigger gap regarding the use of green claims in marketing. Companies that won’t take any chances, but still wants to send a signal to the consumer, seems to use statements such as ‘we strive for a sustainable future’. But are they free to do so? – That statement also leads to a question about when the company should take initiatives for the green transition? When can the statement be considered greenwashing?  </w:t>
            </w:r>
          </w:p>
          <w:p w14:paraId="10F590FA" w14:textId="77777777" w:rsidR="009F7B6C" w:rsidRPr="00124EBE" w:rsidRDefault="009F7B6C" w:rsidP="009F7B6C">
            <w:pPr>
              <w:rPr>
                <w:rFonts w:eastAsiaTheme="minorEastAsia"/>
              </w:rPr>
            </w:pPr>
            <w:r w:rsidRPr="00124EBE">
              <w:rPr>
                <w:rFonts w:eastAsiaTheme="minorEastAsia"/>
              </w:rPr>
              <w:t xml:space="preserve">When the company is committing greenwashing, it is relevant to discuss the consumer’s rights, because a majority of consumers select the goods from companies that have environment and climate as priorities (at least studies show in Denmark). So finally, what happen with the consumer’s rights regarding greenwashing of the goods or service provision, e.g. package travel? Have the union policies ensured a high level of consumer protection as followed by the Charter of fundamental rights of the European union article 38?  Will the consumer have any remedies? - Can greenwashing be a lack of conformity, and if so a deficiency lack of conformity? </w:t>
            </w:r>
            <w:r w:rsidRPr="00124EBE">
              <w:rPr>
                <w:rFonts w:eastAsia="Times New Roman"/>
                <w:i/>
              </w:rPr>
              <w:t xml:space="preserve">Or are your consumer rights best served by greenhushing?   </w:t>
            </w:r>
            <w:r w:rsidRPr="00124EBE">
              <w:rPr>
                <w:rFonts w:eastAsiaTheme="minorEastAsia"/>
              </w:rPr>
              <w:t xml:space="preserve"> </w:t>
            </w:r>
          </w:p>
        </w:tc>
      </w:tr>
      <w:tr w:rsidR="009F7B6C" w:rsidRPr="00124EBE" w14:paraId="70698406" w14:textId="77777777" w:rsidTr="006C2D43">
        <w:tc>
          <w:tcPr>
            <w:tcW w:w="2159" w:type="dxa"/>
          </w:tcPr>
          <w:p w14:paraId="7AF0842D"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303" w:type="dxa"/>
          </w:tcPr>
          <w:p w14:paraId="780B9BEB" w14:textId="77777777" w:rsidR="009F7B6C" w:rsidRPr="00124EBE" w:rsidRDefault="009F7B6C" w:rsidP="009F7B6C">
            <w:pPr>
              <w:rPr>
                <w:rFonts w:eastAsiaTheme="minorEastAsia"/>
              </w:rPr>
            </w:pPr>
          </w:p>
        </w:tc>
      </w:tr>
      <w:tr w:rsidR="009F7B6C" w:rsidRPr="00124EBE" w14:paraId="4305A024" w14:textId="77777777" w:rsidTr="006C2D43">
        <w:tc>
          <w:tcPr>
            <w:tcW w:w="2159" w:type="dxa"/>
          </w:tcPr>
          <w:p w14:paraId="1AFACB8C"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Charlotte Pavillon</w:t>
            </w:r>
          </w:p>
        </w:tc>
        <w:tc>
          <w:tcPr>
            <w:tcW w:w="11303" w:type="dxa"/>
          </w:tcPr>
          <w:p w14:paraId="225F8CF5" w14:textId="77777777" w:rsidR="009F7B6C" w:rsidRPr="00124EBE" w:rsidRDefault="009F7B6C" w:rsidP="009F7B6C">
            <w:pPr>
              <w:rPr>
                <w:rFonts w:eastAsiaTheme="minorEastAsia"/>
                <w:i/>
              </w:rPr>
            </w:pPr>
            <w:r w:rsidRPr="00124EBE">
              <w:rPr>
                <w:rFonts w:eastAsiaTheme="minorEastAsia"/>
                <w:i/>
              </w:rPr>
              <w:t>Greenforcement through private law remedies?</w:t>
            </w:r>
          </w:p>
          <w:p w14:paraId="46AF5757" w14:textId="77777777" w:rsidR="009F7B6C" w:rsidRPr="00124EBE" w:rsidRDefault="009F7B6C" w:rsidP="009F7B6C">
            <w:pPr>
              <w:rPr>
                <w:rFonts w:eastAsiaTheme="minorEastAsia"/>
              </w:rPr>
            </w:pPr>
            <w:r w:rsidRPr="00124EBE">
              <w:rPr>
                <w:rFonts w:eastAsiaTheme="minorEastAsia"/>
              </w:rPr>
              <w:t xml:space="preserve">The EU has recently adopted new rules empowering the consumer in the green transition (Directive (EU) 2024/825 or ECGTD) and in February 2024 a provisional political agreement was reached on the Commission’s proposal on common rules to promote the repair of goods for consumers (the right-to-repair directive or R2RD). In my paper, I focus on the future </w:t>
            </w:r>
            <w:r w:rsidRPr="00124EBE">
              <w:rPr>
                <w:rFonts w:eastAsiaTheme="minorEastAsia"/>
                <w:i/>
              </w:rPr>
              <w:t>private</w:t>
            </w:r>
            <w:r w:rsidRPr="00124EBE">
              <w:rPr>
                <w:rFonts w:eastAsiaTheme="minorEastAsia"/>
              </w:rPr>
              <w:t xml:space="preserve"> enforcement of both sets of rules and on the availability of effective and proportionate (civil) remedies in individual and collective proceedings. </w:t>
            </w:r>
          </w:p>
          <w:p w14:paraId="4FB67142" w14:textId="77777777" w:rsidR="009F7B6C" w:rsidRPr="00124EBE" w:rsidRDefault="009F7B6C" w:rsidP="009F7B6C">
            <w:pPr>
              <w:rPr>
                <w:rFonts w:eastAsiaTheme="minorEastAsia"/>
              </w:rPr>
            </w:pPr>
            <w:r w:rsidRPr="00124EBE">
              <w:rPr>
                <w:rFonts w:eastAsiaTheme="minorEastAsia"/>
              </w:rPr>
              <w:t>First I will explore remedies laid down in the new directives, including the strengthened right to repair. The R2RD amends the remedies stemming from the Consumer Sales Directive ((EU) 2019/771): for instance, in case of replacement as a remedy and upon a consumer’s request, the seller can provide the consumer with a refurbished good. The R2RD also comes up with new remedies for breaches of new obligations, e.g. where the repairer does not perform the repair service after the consumer accepted the European Repair Information Form provided by the repairer. The recital (10a) suggests a reimbursement of the cost paid for the diagnostic service.</w:t>
            </w:r>
          </w:p>
          <w:p w14:paraId="2523C3D9" w14:textId="77777777" w:rsidR="009F7B6C" w:rsidRPr="00124EBE" w:rsidRDefault="009F7B6C" w:rsidP="009F7B6C">
            <w:pPr>
              <w:rPr>
                <w:rFonts w:eastAsiaTheme="minorEastAsia"/>
              </w:rPr>
            </w:pPr>
            <w:r w:rsidRPr="00124EBE">
              <w:rPr>
                <w:rFonts w:eastAsiaTheme="minorEastAsia"/>
              </w:rPr>
              <w:t>Second, I will discuss the existing remedies under the CRD and UCPD. Victims of greenwashing ought to rely on the remedies available under the two directives that are amended by the ECGTD. The CRD leaves a lot of leeway to MS to devise remedies and the UCPD now warrants that consumers harmed by unfair commercial practices should have access to compensation for damage and, where relevant, a price reduction or termination of the contract, in a proportionate and effective manner.</w:t>
            </w:r>
          </w:p>
          <w:p w14:paraId="681D319F" w14:textId="77777777" w:rsidR="009F7B6C" w:rsidRPr="00124EBE" w:rsidRDefault="009F7B6C" w:rsidP="009F7B6C">
            <w:pPr>
              <w:rPr>
                <w:rFonts w:eastAsiaTheme="minorEastAsia"/>
              </w:rPr>
            </w:pPr>
            <w:r w:rsidRPr="00124EBE">
              <w:rPr>
                <w:rFonts w:eastAsiaTheme="minorEastAsia"/>
              </w:rPr>
              <w:t>New and existing remedies will be tested against the principles of effectiveness and proportionality. More specifically, I will dive into the need for deterrent remedies and inquire to what extent environmental goals can be taken into consideration when assessing the effectiveness and proportionality of a remedy, in view of the additional objective of promoting sustainable consumption, a circular economy, and the green transition, thus also ensuring a high level of environmental protection (which objective has however not been added to the SGD).</w:t>
            </w:r>
          </w:p>
        </w:tc>
      </w:tr>
      <w:tr w:rsidR="009F7B6C" w:rsidRPr="00124EBE" w14:paraId="14765BF9" w14:textId="77777777" w:rsidTr="006C2D43">
        <w:tc>
          <w:tcPr>
            <w:tcW w:w="2159" w:type="dxa"/>
          </w:tcPr>
          <w:p w14:paraId="49DD56D3"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28"/>
                <w:szCs w:val="28"/>
              </w:rPr>
            </w:pPr>
            <w:r w:rsidRPr="00124EBE">
              <w:rPr>
                <w:rFonts w:asciiTheme="majorHAnsi" w:eastAsiaTheme="majorEastAsia" w:hAnsiTheme="majorHAnsi" w:cstheme="majorBidi"/>
                <w:color w:val="0F4761" w:themeColor="accent1" w:themeShade="BF"/>
                <w:sz w:val="28"/>
                <w:szCs w:val="28"/>
              </w:rPr>
              <w:lastRenderedPageBreak/>
              <w:t xml:space="preserve">Couto, Rute </w:t>
            </w:r>
          </w:p>
          <w:p w14:paraId="4B58BD02" w14:textId="77777777" w:rsidR="009F7B6C" w:rsidRPr="00124EBE" w:rsidRDefault="009F7B6C" w:rsidP="009F7B6C">
            <w:pPr>
              <w:ind w:left="268" w:hanging="283"/>
              <w:rPr>
                <w:rFonts w:eastAsiaTheme="minorEastAsia"/>
                <w:sz w:val="28"/>
                <w:szCs w:val="28"/>
              </w:rPr>
            </w:pPr>
            <w:r w:rsidRPr="00124EBE">
              <w:rPr>
                <w:rFonts w:eastAsiaTheme="minorEastAsia"/>
                <w:sz w:val="28"/>
                <w:szCs w:val="28"/>
              </w:rPr>
              <w:t>| Adjunct Professor and Legal Services Course Coordinator (IPB) / Vice-President (apDC)</w:t>
            </w:r>
            <w:r w:rsidRPr="00124EBE">
              <w:rPr>
                <w:rFonts w:eastAsia="Times New Roman"/>
                <w:b/>
                <w:sz w:val="28"/>
                <w:szCs w:val="28"/>
              </w:rPr>
              <w:t xml:space="preserve"> </w:t>
            </w:r>
          </w:p>
          <w:p w14:paraId="2657E632" w14:textId="77777777" w:rsidR="009F7B6C" w:rsidRPr="00124EBE" w:rsidRDefault="009F7B6C" w:rsidP="009F7B6C">
            <w:pPr>
              <w:spacing w:after="117"/>
              <w:ind w:left="-5"/>
              <w:rPr>
                <w:rFonts w:eastAsiaTheme="minorEastAsia"/>
                <w:b/>
                <w:sz w:val="28"/>
                <w:szCs w:val="28"/>
              </w:rPr>
            </w:pPr>
            <w:r w:rsidRPr="00124EBE">
              <w:rPr>
                <w:rFonts w:asciiTheme="majorHAnsi" w:eastAsiaTheme="majorEastAsia" w:hAnsiTheme="majorHAnsi" w:cstheme="majorBidi"/>
                <w:color w:val="0F4761" w:themeColor="accent1" w:themeShade="BF"/>
                <w:sz w:val="28"/>
                <w:szCs w:val="28"/>
              </w:rPr>
              <w:t>Pinto, Liliana</w:t>
            </w:r>
            <w:r w:rsidRPr="00124EBE">
              <w:rPr>
                <w:rFonts w:eastAsiaTheme="minorEastAsia"/>
                <w:sz w:val="28"/>
                <w:szCs w:val="28"/>
              </w:rPr>
              <w:t xml:space="preserve"> | Student in the Master's program in Local Government (IPB)</w:t>
            </w:r>
            <w:r w:rsidRPr="00124EBE">
              <w:rPr>
                <w:rFonts w:eastAsia="Times New Roman"/>
                <w:b/>
                <w:sz w:val="28"/>
                <w:szCs w:val="28"/>
              </w:rPr>
              <w:t xml:space="preserve"> </w:t>
            </w:r>
          </w:p>
          <w:p w14:paraId="1526D84B" w14:textId="77777777" w:rsidR="009F7B6C" w:rsidRPr="00124EBE" w:rsidRDefault="009F7B6C" w:rsidP="009F7B6C">
            <w:pPr>
              <w:spacing w:after="117"/>
              <w:ind w:left="-5"/>
              <w:rPr>
                <w:rFonts w:eastAsiaTheme="minorEastAsia"/>
              </w:rPr>
            </w:pPr>
            <w:r w:rsidRPr="00124EBE">
              <w:rPr>
                <w:rFonts w:ascii="Arial" w:eastAsia="Arial" w:hAnsi="Arial" w:cs="Arial"/>
                <w:sz w:val="28"/>
                <w:szCs w:val="28"/>
              </w:rPr>
              <w:t xml:space="preserve"> </w:t>
            </w:r>
            <w:r w:rsidRPr="00124EBE">
              <w:rPr>
                <w:rFonts w:asciiTheme="majorHAnsi" w:eastAsiaTheme="majorEastAsia" w:hAnsiTheme="majorHAnsi" w:cstheme="majorBidi"/>
                <w:color w:val="0F4761" w:themeColor="accent1" w:themeShade="BF"/>
                <w:sz w:val="28"/>
                <w:szCs w:val="28"/>
              </w:rPr>
              <w:t xml:space="preserve">Ventura, Paulo </w:t>
            </w:r>
            <w:r w:rsidRPr="00124EBE">
              <w:rPr>
                <w:rFonts w:eastAsiaTheme="minorEastAsia"/>
                <w:sz w:val="28"/>
                <w:szCs w:val="28"/>
              </w:rPr>
              <w:t xml:space="preserve">| </w:t>
            </w:r>
          </w:p>
        </w:tc>
        <w:tc>
          <w:tcPr>
            <w:tcW w:w="11303" w:type="dxa"/>
          </w:tcPr>
          <w:p w14:paraId="0E447DB5"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imes New Roman" w:hAnsiTheme="majorHAnsi" w:cstheme="majorBidi"/>
                <w:color w:val="0F4761" w:themeColor="accent1" w:themeShade="BF"/>
                <w:sz w:val="32"/>
                <w:szCs w:val="32"/>
              </w:rPr>
              <w:t>Environmental sustainability and consumer protection: implementing the SDGs at local level</w:t>
            </w:r>
            <w:r w:rsidRPr="00124EBE">
              <w:rPr>
                <w:rFonts w:asciiTheme="majorHAnsi" w:eastAsiaTheme="majorEastAsia" w:hAnsiTheme="majorHAnsi" w:cstheme="majorBidi"/>
                <w:color w:val="0F4761" w:themeColor="accent1" w:themeShade="BF"/>
                <w:sz w:val="32"/>
                <w:szCs w:val="32"/>
              </w:rPr>
              <w:t xml:space="preserve">  </w:t>
            </w:r>
          </w:p>
          <w:p w14:paraId="74972EAA" w14:textId="77777777" w:rsidR="009F7B6C" w:rsidRPr="00124EBE" w:rsidRDefault="009F7B6C" w:rsidP="009F7B6C">
            <w:pPr>
              <w:rPr>
                <w:rFonts w:eastAsiaTheme="minorEastAsia"/>
              </w:rPr>
            </w:pPr>
            <w:r w:rsidRPr="00124EBE">
              <w:rPr>
                <w:rFonts w:eastAsiaTheme="minorEastAsia"/>
              </w:rPr>
              <w:t xml:space="preserve">The 2030 Agenda, adopted by all United Nations member states in 2015, defines the priorities and aspirations of global sustainable development for 2030 and seeks to mobilize global efforts around a set of common goals and targets. In what has been declared the “Decade of Action”, 17 global goals aim to “leave no one behind” and set sustainability targets, structured around 5 Principles: Planet, People, Prosperity, Peace and Partnerships. The Sustainable Production and Consumption is one of those Sustainable Development Goals (SDGs).  </w:t>
            </w:r>
          </w:p>
          <w:p w14:paraId="66E62C83" w14:textId="77777777" w:rsidR="009F7B6C" w:rsidRPr="00124EBE" w:rsidRDefault="009F7B6C" w:rsidP="009F7B6C">
            <w:pPr>
              <w:rPr>
                <w:rFonts w:eastAsiaTheme="minorEastAsia"/>
              </w:rPr>
            </w:pPr>
            <w:r w:rsidRPr="00124EBE">
              <w:rPr>
                <w:rFonts w:eastAsiaTheme="minorEastAsia"/>
              </w:rPr>
              <w:t xml:space="preserve">In line with the SDGs, the European Union (EU) has made the European Green Deal one of its priorities and, in the European Consumer Agenda 2020-2025, the green transition is assumed as a priority area. The focus of European Union policies is to empower consumers to play an active role in this green transition, which means improving consumer information on the environmental sustainability characteristics of products, protecting them from unfair commercial practices related to sustainable consumption, encouraging the purchase of more sustainable and circular products and encouraging companies to act in favor of sustainable consumption. </w:t>
            </w:r>
          </w:p>
          <w:p w14:paraId="27468811" w14:textId="77777777" w:rsidR="009F7B6C" w:rsidRPr="00124EBE" w:rsidRDefault="009F7B6C" w:rsidP="009F7B6C">
            <w:pPr>
              <w:rPr>
                <w:rFonts w:eastAsiaTheme="minorEastAsia"/>
              </w:rPr>
            </w:pPr>
            <w:r w:rsidRPr="00124EBE">
              <w:rPr>
                <w:rFonts w:eastAsiaTheme="minorEastAsia"/>
              </w:rPr>
              <w:t xml:space="preserve">The involvement of local authorities is essential in the implementation of this Agenda, since "cities and municipalities are the stages where the battle for sustainable development will be won or lost" (UN, 2015). The European Committee of the Regions (CoR) reiterates the necessary involvement of local authorities in empowering consumers for the ecological transition, namely in the promotion of new consumption patterns and behaviors, consumer information and education and creation of incentives for environmental progress. Also the “Green Deal Going Local” is a flagship initiative of the CoR that aims to place cities and regions at the heart of the EU's green transition. </w:t>
            </w:r>
          </w:p>
          <w:p w14:paraId="57DEABEC" w14:textId="77777777" w:rsidR="009F7B6C" w:rsidRPr="00124EBE" w:rsidRDefault="009F7B6C" w:rsidP="009F7B6C">
            <w:pPr>
              <w:rPr>
                <w:rFonts w:eastAsiaTheme="minorEastAsia"/>
              </w:rPr>
            </w:pPr>
            <w:r w:rsidRPr="00124EBE">
              <w:rPr>
                <w:rFonts w:eastAsiaTheme="minorEastAsia"/>
              </w:rPr>
              <w:t xml:space="preserve">The purpose of this communication is to assess Portuguese municipalities progress in relation to the SDG targets for Sustainable Consumption and consumer empowerment policies. Our aim is mapping and proposing best practices and municipal strategies, highlighting the importance of local communities as drivers of development. </w:t>
            </w:r>
          </w:p>
        </w:tc>
      </w:tr>
      <w:tr w:rsidR="009F7B6C" w:rsidRPr="00124EBE" w14:paraId="65BEE051" w14:textId="77777777" w:rsidTr="006C2D43">
        <w:tc>
          <w:tcPr>
            <w:tcW w:w="2159" w:type="dxa"/>
          </w:tcPr>
          <w:p w14:paraId="1BB30DC4"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Berr Keirsbilck</w:t>
            </w:r>
          </w:p>
        </w:tc>
        <w:tc>
          <w:tcPr>
            <w:tcW w:w="11303" w:type="dxa"/>
          </w:tcPr>
          <w:p w14:paraId="3F23D56B"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t>Towards free movement of sustainable products</w:t>
            </w:r>
          </w:p>
          <w:p w14:paraId="5CBF5312" w14:textId="77777777" w:rsidR="009F7B6C" w:rsidRPr="00124EBE" w:rsidRDefault="009F7B6C" w:rsidP="009F7B6C">
            <w:pPr>
              <w:rPr>
                <w:rFonts w:eastAsiaTheme="minorEastAsia"/>
              </w:rPr>
            </w:pPr>
            <w:r w:rsidRPr="00124EBE">
              <w:rPr>
                <w:rFonts w:eastAsiaTheme="minorEastAsia"/>
              </w:rPr>
              <w:t xml:space="preserve"> </w:t>
            </w:r>
          </w:p>
          <w:p w14:paraId="32E2B447" w14:textId="77777777" w:rsidR="009F7B6C" w:rsidRPr="00124EBE" w:rsidRDefault="009F7B6C" w:rsidP="009F7B6C">
            <w:pPr>
              <w:rPr>
                <w:rFonts w:eastAsiaTheme="minorEastAsia"/>
              </w:rPr>
            </w:pPr>
            <w:r w:rsidRPr="00124EBE">
              <w:rPr>
                <w:rFonts w:eastAsiaTheme="minorEastAsia"/>
              </w:rPr>
              <w:t>The goal of the new Ecodesign for Sustainable Product Regulation (ESPR) is “</w:t>
            </w:r>
            <w:r w:rsidRPr="00124EBE">
              <w:rPr>
                <w:rFonts w:eastAsiaTheme="minorEastAsia"/>
                <w:szCs w:val="20"/>
              </w:rPr>
              <w:t xml:space="preserve">to improve the environmental sustainability of products in order to make sustainable products the norm and to reduce their overall carbon and environmental footprint over their lifecycle, and to ensure their free movement within the internal market” </w:t>
            </w:r>
            <w:r w:rsidRPr="00124EBE">
              <w:rPr>
                <w:rFonts w:eastAsiaTheme="minorEastAsia"/>
              </w:rPr>
              <w:t>(Article 1(1)). As 80% of the environmental impact of products occurs in the design and production stage, the ESPR will be a true game-changer. Ultimately, cheap and unsustainable products will no longer be an option for consumers; they will no longer have a choice between sustainable and unsustainable products; their choice will be limited to a choice between various more or less sustainable products.</w:t>
            </w:r>
          </w:p>
          <w:p w14:paraId="3E2AE05C" w14:textId="77777777" w:rsidR="009F7B6C" w:rsidRPr="00124EBE" w:rsidRDefault="009F7B6C" w:rsidP="009F7B6C">
            <w:pPr>
              <w:rPr>
                <w:rFonts w:eastAsiaTheme="minorEastAsia"/>
              </w:rPr>
            </w:pPr>
            <w:r w:rsidRPr="00124EBE">
              <w:rPr>
                <w:rFonts w:eastAsiaTheme="minorEastAsia"/>
              </w:rPr>
              <w:t>The ESPR establishes a framework for setting ecodesign requirements for any physical good that is placed on the market or put into service (with a few exceptions), not just for energy-related products (Article 1(2)). Second, the ESPR will allow to progressively set both performance requirements  (Article 6) and information requirements  (Article 7) for key products, going well beyond aspects of energy and resource eZiciency.  Ecodesign requirements will relate to durability, reliability, reusability, upgradability, reparability, possibility of maintenance and refurbishment, presence of substances of concern, energy/water/resource use and eZiciency, recycled content, possibility of remanufacturing, possibility of recycling, possibility of recovery of materials, environmental impacts  (including carbon and environmental footprints), and expected generation of waste (Article 5(1) and Annex I).</w:t>
            </w:r>
          </w:p>
          <w:p w14:paraId="0DEDF7BA" w14:textId="77777777" w:rsidR="009F7B6C" w:rsidRPr="00124EBE" w:rsidRDefault="009F7B6C" w:rsidP="009F7B6C">
            <w:pPr>
              <w:rPr>
                <w:rFonts w:eastAsiaTheme="minorEastAsia"/>
              </w:rPr>
            </w:pPr>
            <w:r w:rsidRPr="00124EBE">
              <w:rPr>
                <w:rFonts w:eastAsiaTheme="minorEastAsia"/>
              </w:rPr>
              <w:t>In addition, information on the sustainability of products will be made available through a Digital Product Passport (DPP)  which is expected to help consumers and businesses make more sustainable product choices and to help public authorities improve enforcement of the ecodesign requirements (Article 8 e.s.). The information to be included in the DPP will be identified when developing the delegated acts at product group level. The DPP will be an easily accessible tag on products that will give instant access to information on the product’s sustainability. Additional product information could also be provided through labels (Article 14 e.s.).</w:t>
            </w:r>
          </w:p>
          <w:p w14:paraId="7D4546ED" w14:textId="77777777" w:rsidR="009F7B6C" w:rsidRPr="00124EBE" w:rsidRDefault="009F7B6C" w:rsidP="009F7B6C">
            <w:pPr>
              <w:rPr>
                <w:rFonts w:eastAsiaTheme="minorEastAsia"/>
              </w:rPr>
            </w:pPr>
            <w:r w:rsidRPr="00124EBE">
              <w:rPr>
                <w:rFonts w:eastAsiaTheme="minorEastAsia"/>
              </w:rPr>
              <w:t>This paper will look into the above-mentioned elements of the ESPR and estimate its impact on the shift towards more sustainable production and consumption.</w:t>
            </w:r>
          </w:p>
        </w:tc>
      </w:tr>
      <w:tr w:rsidR="009F7B6C" w:rsidRPr="00124EBE" w14:paraId="2D2AF01D" w14:textId="77777777" w:rsidTr="006C2D43">
        <w:tc>
          <w:tcPr>
            <w:tcW w:w="2159" w:type="dxa"/>
          </w:tcPr>
          <w:p w14:paraId="66B064C1" w14:textId="77777777" w:rsidR="009F7B6C" w:rsidRPr="00124EBE" w:rsidRDefault="009F7B6C" w:rsidP="009F7B6C">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 xml:space="preserve">Andrea Marighetto </w:t>
            </w:r>
          </w:p>
          <w:p w14:paraId="18163E72" w14:textId="77777777" w:rsidR="009F7B6C" w:rsidRPr="00124EBE" w:rsidRDefault="009F7B6C" w:rsidP="009F7B6C">
            <w:pPr>
              <w:keepLines/>
              <w:widowControl w:val="0"/>
              <w:spacing w:before="160" w:after="80"/>
              <w:outlineLvl w:val="1"/>
              <w:rPr>
                <w:rFonts w:asciiTheme="majorHAnsi" w:eastAsiaTheme="majorEastAsia" w:hAnsiTheme="majorHAnsi" w:cstheme="majorBidi"/>
                <w:color w:val="0F4761" w:themeColor="accent1" w:themeShade="BF"/>
                <w:sz w:val="32"/>
                <w:szCs w:val="32"/>
              </w:rPr>
            </w:pPr>
          </w:p>
        </w:tc>
        <w:tc>
          <w:tcPr>
            <w:tcW w:w="11303" w:type="dxa"/>
          </w:tcPr>
          <w:p w14:paraId="28665855" w14:textId="77777777" w:rsidR="009F7B6C" w:rsidRPr="00124EBE" w:rsidRDefault="009F7B6C" w:rsidP="009F7B6C">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t xml:space="preserve">The </w:t>
            </w:r>
            <w:r w:rsidRPr="00124EBE">
              <w:rPr>
                <w:rFonts w:asciiTheme="majorHAnsi" w:eastAsiaTheme="majorEastAsia" w:hAnsiTheme="majorHAnsi" w:cstheme="majorBidi"/>
                <w:i/>
                <w:iCs/>
                <w:color w:val="0F4761" w:themeColor="accent1" w:themeShade="BF"/>
                <w:sz w:val="32"/>
                <w:szCs w:val="32"/>
              </w:rPr>
              <w:t>European Green Deal</w:t>
            </w:r>
            <w:r w:rsidRPr="00124EBE">
              <w:rPr>
                <w:rFonts w:asciiTheme="majorHAnsi" w:eastAsiaTheme="majorEastAsia" w:hAnsiTheme="majorHAnsi" w:cstheme="majorBidi"/>
                <w:color w:val="0F4761" w:themeColor="accent1" w:themeShade="BF"/>
                <w:sz w:val="32"/>
                <w:szCs w:val="32"/>
              </w:rPr>
              <w:t xml:space="preserve"> and the consumer protection </w:t>
            </w:r>
          </w:p>
          <w:p w14:paraId="79578234" w14:textId="77777777" w:rsidR="009F7B6C" w:rsidRPr="00124EBE" w:rsidRDefault="009F7B6C" w:rsidP="009F7B6C">
            <w:pPr>
              <w:keepLines/>
              <w:widowControl w:val="0"/>
              <w:rPr>
                <w:rFonts w:eastAsiaTheme="minorEastAsia"/>
              </w:rPr>
            </w:pPr>
            <w:r w:rsidRPr="00124EBE">
              <w:rPr>
                <w:rFonts w:eastAsiaTheme="minorEastAsia"/>
              </w:rPr>
              <w:t xml:space="preserve">The </w:t>
            </w:r>
            <w:r w:rsidRPr="00124EBE">
              <w:rPr>
                <w:rFonts w:eastAsiaTheme="minorEastAsia"/>
                <w:i/>
                <w:iCs/>
              </w:rPr>
              <w:t>European Green Deal</w:t>
            </w:r>
            <w:r w:rsidRPr="00124EBE">
              <w:rPr>
                <w:rFonts w:eastAsiaTheme="minorEastAsia"/>
              </w:rPr>
              <w:t xml:space="preserve"> intent is to promote sustainability from an environmental point of view and in all areas of EU action, such as consumer protection. This study aims to analyse the EU tools that will act to prevent the cost of the transition from falling on consumers.</w:t>
            </w:r>
          </w:p>
        </w:tc>
      </w:tr>
      <w:tr w:rsidR="009F7B6C" w:rsidRPr="00124EBE" w14:paraId="78A40658" w14:textId="77777777" w:rsidTr="006C2D43">
        <w:tc>
          <w:tcPr>
            <w:tcW w:w="2159" w:type="dxa"/>
          </w:tcPr>
          <w:p w14:paraId="634A5FAD" w14:textId="77777777" w:rsidR="009F7B6C" w:rsidRPr="00124EBE" w:rsidRDefault="009F7B6C" w:rsidP="009F7B6C">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t>Laila Roxina Moliterno Abi Cheble</w:t>
            </w:r>
          </w:p>
          <w:p w14:paraId="37455334" w14:textId="77777777" w:rsidR="009F7B6C" w:rsidRPr="00124EBE" w:rsidRDefault="009F7B6C" w:rsidP="009F7B6C">
            <w:pPr>
              <w:keepLines/>
              <w:widowControl w:val="0"/>
              <w:jc w:val="both"/>
              <w:rPr>
                <w:rFonts w:eastAsia="Times New Roman"/>
                <w:color w:val="000000"/>
                <w:sz w:val="20"/>
                <w:lang w:eastAsia="en-GB"/>
              </w:rPr>
            </w:pPr>
            <w:r w:rsidRPr="00124EBE">
              <w:rPr>
                <w:rFonts w:eastAsia="Times New Roman"/>
                <w:color w:val="000000"/>
                <w:sz w:val="20"/>
                <w:lang w:eastAsia="en-GB"/>
              </w:rPr>
              <w:t xml:space="preserve">PhD Candidate at UFRGS (Brazil). Master in European and German Law at UFRGS- CDEA-DAAD. Bachelor of Laws at UNT (Argentina).  ORCID: 0000-0001-9017-2129; </w:t>
            </w:r>
          </w:p>
          <w:p w14:paraId="7995C62F" w14:textId="77777777" w:rsidR="009F7B6C" w:rsidRPr="00124EBE" w:rsidRDefault="009F7B6C" w:rsidP="009F7B6C">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t>Tatiana Cardoso Squeff</w:t>
            </w:r>
          </w:p>
          <w:p w14:paraId="01E0E02E" w14:textId="77777777" w:rsidR="009F7B6C" w:rsidRPr="00124EBE" w:rsidRDefault="009F7B6C" w:rsidP="009F7B6C">
            <w:pPr>
              <w:keepLines/>
              <w:widowControl w:val="0"/>
              <w:rPr>
                <w:rFonts w:eastAsiaTheme="minorEastAsia"/>
              </w:rPr>
            </w:pPr>
            <w:r w:rsidRPr="00124EBE">
              <w:rPr>
                <w:rFonts w:eastAsiaTheme="minorEastAsia"/>
              </w:rPr>
              <w:lastRenderedPageBreak/>
              <w:t xml:space="preserve">Associate Professor at UFRGS. PhD in International Law at UFRGS (2018), with a study period at the University of Ottawa as a research fellow. ORCID: 0000-0001-9912-9047; </w:t>
            </w:r>
          </w:p>
          <w:p w14:paraId="2B04F5CA" w14:textId="77777777" w:rsidR="009F7B6C" w:rsidRPr="00124EBE" w:rsidRDefault="009F7B6C" w:rsidP="009F7B6C">
            <w:pPr>
              <w:keepLines/>
              <w:widowControl w:val="0"/>
              <w:spacing w:before="160" w:after="80"/>
              <w:outlineLvl w:val="1"/>
              <w:rPr>
                <w:rFonts w:asciiTheme="majorHAnsi" w:eastAsiaTheme="majorEastAsia" w:hAnsiTheme="majorHAnsi" w:cstheme="majorBidi"/>
                <w:color w:val="0F4761" w:themeColor="accent1" w:themeShade="BF"/>
                <w:sz w:val="32"/>
                <w:szCs w:val="32"/>
              </w:rPr>
            </w:pPr>
          </w:p>
        </w:tc>
        <w:tc>
          <w:tcPr>
            <w:tcW w:w="11303" w:type="dxa"/>
          </w:tcPr>
          <w:p w14:paraId="78561F3F" w14:textId="77777777" w:rsidR="009F7B6C" w:rsidRPr="00124EBE" w:rsidRDefault="009F7B6C" w:rsidP="009F7B6C">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imes New Roman" w:hAnsiTheme="majorHAnsi" w:cstheme="majorBidi"/>
                <w:color w:val="0F4761" w:themeColor="accent1" w:themeShade="BF"/>
                <w:sz w:val="32"/>
                <w:szCs w:val="32"/>
              </w:rPr>
              <w:lastRenderedPageBreak/>
              <w:t xml:space="preserve">SUSTAINABLE CONSUMPTION: EU contributions to MERCOSUR through Directive 2024/825 </w:t>
            </w:r>
          </w:p>
          <w:p w14:paraId="1AF9B511" w14:textId="77777777" w:rsidR="009F7B6C" w:rsidRPr="00124EBE" w:rsidRDefault="009F7B6C" w:rsidP="009F7B6C">
            <w:pPr>
              <w:rPr>
                <w:rFonts w:eastAsiaTheme="minorEastAsia"/>
              </w:rPr>
            </w:pPr>
            <w:r w:rsidRPr="00124EBE">
              <w:rPr>
                <w:rFonts w:eastAsiaTheme="minorEastAsia"/>
              </w:rPr>
              <w:t xml:space="preserve">Based on Directive 2024/825, this study seeks to analyze the relevance of the new strategic agenda for consumer protection in the European Union (EU), and to explore its potential contributions to MERCOSUR. Concerns about environmental protection have been raised since the 20th century as evidenced by the Stockholm Conference, the Brundtland Report, and the Rio Conference. However, these concerns were disconnected from regional integration agendas. Within the European Union (EU), in light of the current climate emergency, the "European Green Deal" as launched – a strategic agenda set to reduce greenhouse gas emissions by 2030 and achieve climate neutrality by 2050. Directive 2024/825 is a materialization of this agenda, emphasizing 'ecological transition' and environmental responsibility linked to consumption. The Directive empowers consumers by guaranteeing informed environmental choices, prohibiting misleading environmental advertising claims, and establishing controls to promote fair competition. In MERCOSUR, despite the existence of a specialized sub-group (technical committee no. 7/GMC), the sustainable consumption agenda remains mainly focused on the digital world (digital contracts, agreement on digital signature). Furthermore, the MERCOSUR Citizens' Statute, which explores the social dimension of integration, lacks references to sustainable consumption, only mentioning - in item no. 4 on employment - the need to develop 'sustainable companies', and - in item 9 on consumer protection - the duty to provide sufficient and truthful information about products and services in a generic manner without environmental specifications. This study suggests that Directive 2024/825 could inspire an update of the Mercosur Citizenship Statute, including specifications for companies to address environmental issues in their commercial practices and the duty to provide adequate environmental information to consumers. This research is relevant considering that Brazil will host the 30th Conference of the Parties (COP) in 2025.  The </w:t>
            </w:r>
            <w:r w:rsidRPr="00124EBE">
              <w:rPr>
                <w:rFonts w:eastAsiaTheme="minorEastAsia"/>
              </w:rPr>
              <w:lastRenderedPageBreak/>
              <w:t xml:space="preserve">methodology adopted is qualitative, and uses the deductive method, based on bibliographical and documentary analysis; besides, the object is analyzed through descriptive and exploratory lenses. </w:t>
            </w:r>
          </w:p>
        </w:tc>
      </w:tr>
      <w:tr w:rsidR="009F7B6C" w:rsidRPr="00124EBE" w14:paraId="5B21B0E7" w14:textId="77777777" w:rsidTr="006C2D43">
        <w:tc>
          <w:tcPr>
            <w:tcW w:w="2159" w:type="dxa"/>
          </w:tcPr>
          <w:p w14:paraId="47944E83" w14:textId="77777777" w:rsidR="009F7B6C" w:rsidRPr="00124EBE" w:rsidRDefault="009F7B6C" w:rsidP="009F7B6C">
            <w:pPr>
              <w:keepNext/>
              <w:keepLines/>
              <w:spacing w:before="160" w:after="80"/>
              <w:outlineLvl w:val="1"/>
              <w:rPr>
                <w:rFonts w:asciiTheme="majorHAnsi" w:eastAsia="Times New Roman" w:hAnsiTheme="majorHAnsi" w:cstheme="majorBidi"/>
                <w:color w:val="0F4761" w:themeColor="accent1" w:themeShade="BF"/>
                <w:sz w:val="32"/>
                <w:szCs w:val="32"/>
              </w:rPr>
            </w:pPr>
            <w:r w:rsidRPr="00124EBE">
              <w:rPr>
                <w:rFonts w:asciiTheme="majorHAnsi" w:eastAsia="Times New Roman" w:hAnsiTheme="majorHAnsi" w:cstheme="majorBidi"/>
                <w:color w:val="0F4761" w:themeColor="accent1" w:themeShade="BF"/>
                <w:sz w:val="32"/>
                <w:szCs w:val="32"/>
              </w:rPr>
              <w:lastRenderedPageBreak/>
              <w:t>Dr Trish O’Sullivan, Senior Lecturer Massey University, Auckland, New Zealand</w:t>
            </w:r>
          </w:p>
          <w:p w14:paraId="1F94CAD6"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303" w:type="dxa"/>
          </w:tcPr>
          <w:p w14:paraId="2A364604" w14:textId="77777777" w:rsidR="009F7B6C" w:rsidRPr="00124EBE" w:rsidRDefault="009F7B6C" w:rsidP="009F7B6C">
            <w:pPr>
              <w:keepNext/>
              <w:keepLines/>
              <w:spacing w:before="160" w:after="80"/>
              <w:outlineLvl w:val="1"/>
              <w:rPr>
                <w:rFonts w:asciiTheme="majorHAnsi" w:eastAsia="Times New Roman" w:hAnsiTheme="majorHAnsi" w:cstheme="majorBidi"/>
                <w:color w:val="0F4761" w:themeColor="accent1" w:themeShade="BF"/>
                <w:sz w:val="32"/>
                <w:szCs w:val="32"/>
              </w:rPr>
            </w:pPr>
            <w:r w:rsidRPr="00124EBE">
              <w:rPr>
                <w:rFonts w:asciiTheme="majorHAnsi" w:eastAsia="Times New Roman" w:hAnsiTheme="majorHAnsi" w:cstheme="majorBidi"/>
                <w:color w:val="0F4761" w:themeColor="accent1" w:themeShade="BF"/>
                <w:sz w:val="32"/>
                <w:szCs w:val="32"/>
              </w:rPr>
              <w:t>Developing Effective Law to Ban Planned Obsolescence in Goods</w:t>
            </w:r>
          </w:p>
          <w:p w14:paraId="7F28CBDC" w14:textId="77777777" w:rsidR="009F7B6C" w:rsidRPr="00124EBE" w:rsidRDefault="009F7B6C" w:rsidP="009F7B6C">
            <w:pPr>
              <w:rPr>
                <w:rFonts w:eastAsia="Times New Roman"/>
              </w:rPr>
            </w:pPr>
            <w:r w:rsidRPr="00124EBE">
              <w:rPr>
                <w:rFonts w:eastAsia="Times New Roman"/>
              </w:rPr>
              <w:t>Planned obsolescence in goods fuels the need for continued and increased production and depletion of precious of resources. While having beneficial economic effects, planned obsolescence is detrimental to consumers and does not advance the benefits of sustainability. Manufacturers are using technology to come up with more sophisticated ways to reduce the life of products. For example, built in software locks which prevent repairs by anyone other than authorised repairers or software which effectively stops products from working on a pre-determined life expectancy date.    In June 2023 the European Parliament’s environment committee took a strong position  in the EU’s proposed ecodesign regulation for sustainable products, supporting an EU-wide ban on planned obsolescence.  New EU rules, introduced from March 2022, attempt to control planned obsolescence and aim to make consumer products easier to repair, reuse and recycle, thereby reducing their impact on the environment. This paper reviews the proposals and the existing EU rules on planned obsolescence and considers how effective they will be at controlling the production processes of the international manufacturing giants. The paper suggests that more needs to be done in the terms of developing a UN treaty which could ultimately bind more countries in the quest to ban planned obsolescence. The paper is written from a New Zealand perspective.</w:t>
            </w:r>
          </w:p>
        </w:tc>
      </w:tr>
      <w:tr w:rsidR="009F7B6C" w:rsidRPr="00124EBE" w14:paraId="1522026B" w14:textId="77777777" w:rsidTr="006C2D43">
        <w:tc>
          <w:tcPr>
            <w:tcW w:w="2159" w:type="dxa"/>
          </w:tcPr>
          <w:p w14:paraId="368C8308"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Taşkın, Zeynep Damla</w:t>
            </w:r>
          </w:p>
          <w:p w14:paraId="478BA013" w14:textId="77777777" w:rsidR="009F7B6C" w:rsidRPr="00124EBE" w:rsidRDefault="009F7B6C" w:rsidP="009F7B6C">
            <w:pPr>
              <w:spacing w:after="256"/>
              <w:ind w:left="-5" w:hanging="10"/>
              <w:rPr>
                <w:rFonts w:eastAsiaTheme="minorEastAsia"/>
              </w:rPr>
            </w:pPr>
            <w:r w:rsidRPr="00124EBE">
              <w:rPr>
                <w:rFonts w:eastAsia="Times New Roman"/>
                <w:b/>
              </w:rPr>
              <w:t xml:space="preserve">Affiliated institution: </w:t>
            </w:r>
            <w:r w:rsidRPr="00124EBE">
              <w:rPr>
                <w:rFonts w:eastAsia="Times New Roman"/>
              </w:rPr>
              <w:t>Istanbul Bilgi University (Istanbul, Turkey)</w:t>
            </w:r>
            <w:r w:rsidRPr="00124EBE">
              <w:rPr>
                <w:rFonts w:eastAsia="Times New Roman"/>
                <w:b/>
              </w:rPr>
              <w:t xml:space="preserve"> </w:t>
            </w:r>
          </w:p>
          <w:p w14:paraId="5288CE65" w14:textId="77777777" w:rsidR="009F7B6C" w:rsidRPr="00124EBE" w:rsidRDefault="009F7B6C" w:rsidP="009F7B6C">
            <w:pPr>
              <w:spacing w:after="257"/>
              <w:rPr>
                <w:rFonts w:eastAsiaTheme="minorEastAsia"/>
              </w:rPr>
            </w:pPr>
            <w:r w:rsidRPr="00124EBE">
              <w:rPr>
                <w:rFonts w:eastAsia="Times New Roman"/>
                <w:b/>
              </w:rPr>
              <w:t xml:space="preserve">Position held at institution: </w:t>
            </w:r>
            <w:r w:rsidRPr="00124EBE">
              <w:rPr>
                <w:rFonts w:eastAsia="Times New Roman"/>
              </w:rPr>
              <w:t>Assistant Professor</w:t>
            </w:r>
            <w:r w:rsidRPr="00124EBE">
              <w:rPr>
                <w:rFonts w:eastAsia="Times New Roman"/>
                <w:b/>
              </w:rPr>
              <w:t xml:space="preserve"> </w:t>
            </w:r>
          </w:p>
          <w:p w14:paraId="6562DC32" w14:textId="77777777" w:rsidR="009F7B6C" w:rsidRPr="00124EBE" w:rsidRDefault="009F7B6C" w:rsidP="009F7B6C">
            <w:pPr>
              <w:rPr>
                <w:rFonts w:eastAsiaTheme="minorEastAsia"/>
              </w:rPr>
            </w:pPr>
          </w:p>
        </w:tc>
        <w:tc>
          <w:tcPr>
            <w:tcW w:w="11303" w:type="dxa"/>
          </w:tcPr>
          <w:p w14:paraId="1CA64C66" w14:textId="77777777" w:rsidR="009F7B6C" w:rsidRPr="00124EBE" w:rsidRDefault="009F7B6C" w:rsidP="009F7B6C">
            <w:pPr>
              <w:rPr>
                <w:rFonts w:eastAsiaTheme="minorEastAsia"/>
                <w:b/>
                <w:bCs/>
              </w:rPr>
            </w:pPr>
            <w:r w:rsidRPr="00124EBE">
              <w:rPr>
                <w:rFonts w:eastAsia="Times New Roman"/>
                <w:b/>
                <w:bCs/>
              </w:rPr>
              <w:t xml:space="preserve">Road to Sustainability: Mastering the Art of Finger Pointing </w:t>
            </w:r>
          </w:p>
          <w:p w14:paraId="32CD9D8D" w14:textId="77777777" w:rsidR="009F7B6C" w:rsidRPr="00124EBE" w:rsidRDefault="009F7B6C" w:rsidP="009F7B6C">
            <w:pPr>
              <w:rPr>
                <w:rFonts w:eastAsiaTheme="minorEastAsia"/>
              </w:rPr>
            </w:pPr>
            <w:r w:rsidRPr="00124EBE">
              <w:rPr>
                <w:rFonts w:eastAsia="Times New Roman"/>
              </w:rPr>
              <w:t xml:space="preserve"> </w:t>
            </w:r>
            <w:r w:rsidRPr="00124EBE">
              <w:rPr>
                <w:rFonts w:eastAsiaTheme="minorEastAsia"/>
              </w:rPr>
              <w:t xml:space="preserve">With environmental concerns on a rise, consumers are expected to behave in a more sustainable manner and make their choices accordingly. Having to carry the burden of any potential environmental damage that may occur due to their decisions, consumers must not only always be in search of the most durable, reparable and energy efficient product, but also must resist the urge to consume more as opposed to what is constantly promoted by the brands. Putting the blame on the consumer for failing to guide the market with their consumption choices may only be seen as a way to avoid the real problem of unsustainable production of goods. Firstly, overproduction of goods that most of the time lack durability and reparability threatens the environment due to the level of energy that is consumed during the production of these goods. Secondly, these products which are neither durable nor reparable will turn into waste sooner than ideal, leading to many questions on how to deal with the generated waste. Although the marketing strategies try to convince consumers that recycling is the cure to all environmental problems, that is far from true. Recycling should only be taken into consideration as a last resort when it comes to dealing with goods that can no longer be reused. This is especially the case for certain type of goods, as acknowledged in the Provisional Agreement on ESPR with the proposed ban on destruction of unsold goods, such as textile and footwear. Recital 47 ESPR states that this ban on destruction includes the last three activities on the waste hierarchy as defined in Directive 2008/98/EC: recycling, other recovery and disposal. Despite not being mentioned in the Provisional Agreement, majority of public shares the same concerns with respect to electronics. In other words, the idea of saving the environment by way of recycling is a tool used by brands to let the consumers consume at full pace with an easy conscious. In this paper, the authors will discuss how reducing consumption and reusing already purchased goods may be prioritized to achieve a sustainable consumption.  </w:t>
            </w:r>
          </w:p>
        </w:tc>
      </w:tr>
      <w:tr w:rsidR="009F7B6C" w:rsidRPr="00124EBE" w14:paraId="6C46828C" w14:textId="77777777" w:rsidTr="006C2D43">
        <w:tc>
          <w:tcPr>
            <w:tcW w:w="2159" w:type="dxa"/>
          </w:tcPr>
          <w:p w14:paraId="54C36E54" w14:textId="77777777" w:rsidR="009F7B6C" w:rsidRPr="00124EBE" w:rsidRDefault="009F7B6C" w:rsidP="009F7B6C">
            <w:pPr>
              <w:keepNext/>
              <w:keepLines/>
              <w:spacing w:before="160" w:after="80"/>
              <w:outlineLvl w:val="1"/>
              <w:rPr>
                <w:rFonts w:asciiTheme="majorHAnsi" w:eastAsiaTheme="majorEastAsia" w:hAnsiTheme="majorHAnsi" w:cstheme="majorBidi"/>
                <w:color w:val="0F4761" w:themeColor="accent1" w:themeShade="BF"/>
                <w:sz w:val="32"/>
                <w:szCs w:val="32"/>
              </w:rPr>
            </w:pPr>
            <w:r w:rsidRPr="00124EBE">
              <w:rPr>
                <w:rFonts w:asciiTheme="majorHAnsi" w:eastAsiaTheme="majorEastAsia" w:hAnsiTheme="majorHAnsi" w:cstheme="majorBidi"/>
                <w:color w:val="0F4761" w:themeColor="accent1" w:themeShade="BF"/>
                <w:sz w:val="32"/>
                <w:szCs w:val="32"/>
              </w:rPr>
              <w:lastRenderedPageBreak/>
              <w:t>Dr. Petra Weingerl,</w:t>
            </w:r>
          </w:p>
          <w:p w14:paraId="686C73D7" w14:textId="77777777" w:rsidR="009F7B6C" w:rsidRPr="00124EBE" w:rsidRDefault="009F7B6C" w:rsidP="009F7B6C">
            <w:pPr>
              <w:spacing w:line="265" w:lineRule="auto"/>
              <w:ind w:right="1"/>
              <w:jc w:val="center"/>
              <w:rPr>
                <w:rFonts w:eastAsiaTheme="minorEastAsia"/>
              </w:rPr>
            </w:pPr>
            <w:r w:rsidRPr="00124EBE">
              <w:rPr>
                <w:rFonts w:eastAsiaTheme="minorEastAsia"/>
              </w:rPr>
              <w:t xml:space="preserve">MJur, DPhil (Oxford) </w:t>
            </w:r>
          </w:p>
          <w:p w14:paraId="23A4EB74" w14:textId="77777777" w:rsidR="009F7B6C" w:rsidRPr="00124EBE" w:rsidRDefault="009F7B6C" w:rsidP="009F7B6C">
            <w:pPr>
              <w:spacing w:line="265" w:lineRule="auto"/>
              <w:ind w:right="5"/>
              <w:jc w:val="center"/>
              <w:rPr>
                <w:rFonts w:eastAsiaTheme="minorEastAsia"/>
              </w:rPr>
            </w:pPr>
            <w:r w:rsidRPr="00124EBE">
              <w:rPr>
                <w:rFonts w:eastAsiaTheme="minorEastAsia"/>
              </w:rPr>
              <w:t xml:space="preserve">University of Maribor, Slovenia </w:t>
            </w:r>
          </w:p>
          <w:p w14:paraId="08E98DA5" w14:textId="77777777" w:rsidR="009F7B6C" w:rsidRPr="00124EBE" w:rsidRDefault="009F7B6C" w:rsidP="009F7B6C">
            <w:pPr>
              <w:rPr>
                <w:rFonts w:eastAsiaTheme="minorEastAsia"/>
              </w:rPr>
            </w:pPr>
          </w:p>
        </w:tc>
        <w:tc>
          <w:tcPr>
            <w:tcW w:w="11303" w:type="dxa"/>
          </w:tcPr>
          <w:p w14:paraId="02EBB7E1" w14:textId="77777777" w:rsidR="009F7B6C" w:rsidRPr="00124EBE" w:rsidRDefault="009F7B6C" w:rsidP="009F7B6C">
            <w:pPr>
              <w:ind w:left="12" w:right="2"/>
              <w:rPr>
                <w:rFonts w:eastAsiaTheme="minorEastAsia"/>
              </w:rPr>
            </w:pPr>
            <w:r w:rsidRPr="00124EBE">
              <w:rPr>
                <w:rFonts w:ascii="Calibri" w:eastAsia="Calibri" w:hAnsi="Calibri" w:cs="Calibri"/>
                <w:b/>
              </w:rPr>
              <w:t xml:space="preserve">Addressing Challenges of Sustainable Consumption with Private Law Measures: </w:t>
            </w:r>
          </w:p>
          <w:p w14:paraId="27F9EA69" w14:textId="77777777" w:rsidR="009F7B6C" w:rsidRPr="00124EBE" w:rsidRDefault="009F7B6C" w:rsidP="009F7B6C">
            <w:pPr>
              <w:ind w:left="12" w:right="3"/>
              <w:rPr>
                <w:rFonts w:eastAsiaTheme="minorEastAsia"/>
              </w:rPr>
            </w:pPr>
            <w:r w:rsidRPr="00124EBE">
              <w:rPr>
                <w:rFonts w:ascii="Calibri" w:eastAsia="Calibri" w:hAnsi="Calibri" w:cs="Calibri"/>
                <w:b/>
              </w:rPr>
              <w:t xml:space="preserve">A Focus on the Nature of Goods </w:t>
            </w:r>
          </w:p>
          <w:p w14:paraId="39A2966A" w14:textId="77777777" w:rsidR="009F7B6C" w:rsidRPr="00124EBE" w:rsidRDefault="009F7B6C" w:rsidP="009F7B6C">
            <w:pPr>
              <w:ind w:left="53"/>
              <w:rPr>
                <w:rFonts w:eastAsiaTheme="minorEastAsia"/>
              </w:rPr>
            </w:pPr>
            <w:r w:rsidRPr="00124EBE">
              <w:rPr>
                <w:rFonts w:eastAsiaTheme="minorEastAsia"/>
              </w:rPr>
              <w:t xml:space="preserve">This contribution examines sustainable consumption in the EU, and more specifically in Slovenia, by assessing the current policy and legal framework to improve resource efficiency and reduce waste and pollution. It centres on analysing the nature of goods in shaping the evolution of European and Slovenian law and policy towards sustainability using private law instruments. To this end, it recognises two key issues that private law should consider in addressing sustainability </w:t>
            </w:r>
            <w:r w:rsidRPr="00124EBE">
              <w:rPr>
                <w:rFonts w:ascii="Calibri" w:eastAsia="Calibri" w:hAnsi="Calibri" w:cs="Calibri"/>
              </w:rPr>
              <w:t>–</w:t>
            </w:r>
            <w:r w:rsidRPr="00124EBE">
              <w:rPr>
                <w:rFonts w:eastAsiaTheme="minorEastAsia"/>
              </w:rPr>
              <w:t xml:space="preserve"> the durability of tangible goods and the perishability of nondurable goods. </w:t>
            </w:r>
          </w:p>
          <w:p w14:paraId="2D7129F0" w14:textId="77777777" w:rsidR="009F7B6C" w:rsidRPr="00124EBE" w:rsidRDefault="009F7B6C" w:rsidP="009F7B6C">
            <w:pPr>
              <w:rPr>
                <w:rFonts w:eastAsiaTheme="minorEastAsia"/>
              </w:rPr>
            </w:pPr>
            <w:r w:rsidRPr="00124EBE">
              <w:rPr>
                <w:rFonts w:eastAsiaTheme="minorEastAsia"/>
              </w:rPr>
              <w:t xml:space="preserve"> </w:t>
            </w:r>
          </w:p>
          <w:p w14:paraId="6962B653" w14:textId="77777777" w:rsidR="009F7B6C" w:rsidRPr="00124EBE" w:rsidRDefault="009F7B6C" w:rsidP="009F7B6C">
            <w:pPr>
              <w:ind w:left="-5" w:right="-12"/>
              <w:rPr>
                <w:rFonts w:eastAsiaTheme="minorEastAsia"/>
              </w:rPr>
            </w:pPr>
            <w:r w:rsidRPr="00124EBE">
              <w:rPr>
                <w:rFonts w:eastAsiaTheme="minorEastAsia"/>
              </w:rPr>
              <w:t>The common denominator of sustainable product policy should be reducing waste significantly. The current legal and policy framework to encourage sustainable production and consumption relies on the awareness</w:t>
            </w:r>
            <w:r w:rsidRPr="00124EBE">
              <w:rPr>
                <w:rFonts w:ascii="Cambria Math" w:eastAsia="Cambria Math" w:hAnsi="Cambria Math" w:cs="Cambria Math"/>
              </w:rPr>
              <w:t>‑</w:t>
            </w:r>
            <w:r w:rsidRPr="00124EBE">
              <w:rPr>
                <w:rFonts w:eastAsiaTheme="minorEastAsia"/>
              </w:rPr>
              <w:t>raising model in the pre</w:t>
            </w:r>
            <w:r w:rsidRPr="00124EBE">
              <w:rPr>
                <w:rFonts w:ascii="Cambria Math" w:eastAsia="Cambria Math" w:hAnsi="Cambria Math" w:cs="Cambria Math"/>
              </w:rPr>
              <w:t>‑</w:t>
            </w:r>
            <w:r w:rsidRPr="00124EBE">
              <w:rPr>
                <w:rFonts w:eastAsiaTheme="minorEastAsia"/>
              </w:rPr>
              <w:t>contractual stage and on the empowered consumer who will buy eco</w:t>
            </w:r>
            <w:r w:rsidRPr="00124EBE">
              <w:rPr>
                <w:rFonts w:ascii="Cambria Math" w:eastAsia="Cambria Math" w:hAnsi="Cambria Math" w:cs="Cambria Math"/>
              </w:rPr>
              <w:t>‑</w:t>
            </w:r>
            <w:r w:rsidRPr="00124EBE">
              <w:rPr>
                <w:rFonts w:eastAsiaTheme="minorEastAsia"/>
              </w:rPr>
              <w:t>friendly goods, produce zero food waste and resort to eco</w:t>
            </w:r>
            <w:r w:rsidRPr="00124EBE">
              <w:rPr>
                <w:rFonts w:ascii="Cambria Math" w:eastAsia="Cambria Math" w:hAnsi="Cambria Math" w:cs="Cambria Math"/>
              </w:rPr>
              <w:t>‑</w:t>
            </w:r>
            <w:r w:rsidRPr="00124EBE">
              <w:rPr>
                <w:rFonts w:eastAsiaTheme="minorEastAsia"/>
              </w:rPr>
              <w:t>friendly remedies in the case of non</w:t>
            </w:r>
            <w:r w:rsidRPr="00124EBE">
              <w:rPr>
                <w:rFonts w:ascii="Cambria Math" w:eastAsia="Cambria Math" w:hAnsi="Cambria Math" w:cs="Cambria Math"/>
              </w:rPr>
              <w:t>‑</w:t>
            </w:r>
            <w:r w:rsidRPr="00124EBE">
              <w:rPr>
                <w:rFonts w:eastAsiaTheme="minorEastAsia"/>
              </w:rPr>
              <w:t>conformity in the contractual stage, most notably the right to repair and replacement with refurbished goods. The awareness</w:t>
            </w:r>
            <w:r w:rsidRPr="00124EBE">
              <w:rPr>
                <w:rFonts w:ascii="Cambria Math" w:eastAsia="Cambria Math" w:hAnsi="Cambria Math" w:cs="Cambria Math"/>
              </w:rPr>
              <w:t>‑</w:t>
            </w:r>
            <w:r w:rsidRPr="00124EBE">
              <w:rPr>
                <w:rFonts w:eastAsiaTheme="minorEastAsia"/>
              </w:rPr>
              <w:t>raising model in the pre</w:t>
            </w:r>
            <w:r w:rsidRPr="00124EBE">
              <w:rPr>
                <w:rFonts w:ascii="Cambria Math" w:eastAsia="Cambria Math" w:hAnsi="Cambria Math" w:cs="Cambria Math"/>
              </w:rPr>
              <w:t>‑</w:t>
            </w:r>
            <w:r w:rsidRPr="00124EBE">
              <w:rPr>
                <w:rFonts w:eastAsiaTheme="minorEastAsia"/>
              </w:rPr>
              <w:t xml:space="preserve">contractual stage is relevant to all goods. The same is not true for the concept of durability and related private law measures in the performance stage, such as the right to repair. They are, by definition, designed for durable goods only. The perishable nature of goods, e.g. food, necessitates distinct considerations for achieving sustainability objectives. </w:t>
            </w:r>
          </w:p>
          <w:p w14:paraId="0AF97BB3" w14:textId="77777777" w:rsidR="009F7B6C" w:rsidRPr="00124EBE" w:rsidRDefault="009F7B6C" w:rsidP="009F7B6C">
            <w:pPr>
              <w:rPr>
                <w:rFonts w:eastAsiaTheme="minorEastAsia"/>
              </w:rPr>
            </w:pPr>
            <w:r w:rsidRPr="00124EBE">
              <w:rPr>
                <w:rFonts w:eastAsiaTheme="minorEastAsia"/>
              </w:rPr>
              <w:t xml:space="preserve"> </w:t>
            </w:r>
          </w:p>
          <w:p w14:paraId="200B4AEF" w14:textId="77777777" w:rsidR="009F7B6C" w:rsidRPr="00124EBE" w:rsidRDefault="009F7B6C" w:rsidP="009F7B6C">
            <w:pPr>
              <w:ind w:left="-5" w:right="-12"/>
              <w:rPr>
                <w:rFonts w:eastAsia="Times New Roman"/>
                <w:b/>
              </w:rPr>
            </w:pPr>
            <w:r w:rsidRPr="00124EBE">
              <w:rPr>
                <w:rFonts w:eastAsiaTheme="minorEastAsia"/>
              </w:rPr>
              <w:t xml:space="preserve">Hitherto, the most obvious measures to prevent food waste are information requirements, i.e., labelling rules and food safety rules on date marking. Food waste prevention strategies currently do not envisage private law measures. However, there are rules on unfair trading and commercial practices with important private law implications that can be applied in certain instances and will be discussed in this contribution. It will be argued that there is a potential for strengthening the sustainability potential of rules on food waste prevention through the reinforcement of their link with private law instruments applied to sanction violations of those rules. </w:t>
            </w:r>
          </w:p>
        </w:tc>
      </w:tr>
    </w:tbl>
    <w:p w14:paraId="680B18E3" w14:textId="77777777" w:rsidR="009F7B6C" w:rsidRPr="00124EBE" w:rsidRDefault="009F7B6C" w:rsidP="009F7B6C">
      <w:pPr>
        <w:spacing w:after="0" w:line="240" w:lineRule="auto"/>
        <w:rPr>
          <w:rFonts w:asciiTheme="minorHAnsi" w:eastAsiaTheme="minorEastAsia" w:hAnsiTheme="minorHAnsi" w:cstheme="minorBidi"/>
        </w:rPr>
      </w:pPr>
    </w:p>
    <w:p w14:paraId="0CC6A930" w14:textId="77777777" w:rsidR="009F7B6C" w:rsidRPr="00124EBE" w:rsidRDefault="009F7B6C" w:rsidP="009F7B6C">
      <w:pPr>
        <w:spacing w:after="0" w:line="240" w:lineRule="auto"/>
        <w:rPr>
          <w:rFonts w:asciiTheme="minorHAnsi" w:eastAsiaTheme="minorEastAsia" w:hAnsiTheme="minorHAnsi" w:cstheme="minorBidi"/>
        </w:rPr>
      </w:pPr>
    </w:p>
    <w:p w14:paraId="10CD1656" w14:textId="77777777" w:rsidR="00230C65" w:rsidRDefault="00230C65"/>
    <w:sectPr w:rsidR="00230C65" w:rsidSect="003250EF">
      <w:headerReference w:type="defaul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31EC40" w14:textId="77777777" w:rsidR="007373BF" w:rsidRPr="00124EBE" w:rsidRDefault="007373BF" w:rsidP="009F7B6C">
      <w:pPr>
        <w:spacing w:after="0" w:line="240" w:lineRule="auto"/>
      </w:pPr>
      <w:r w:rsidRPr="00124EBE">
        <w:separator/>
      </w:r>
    </w:p>
  </w:endnote>
  <w:endnote w:type="continuationSeparator" w:id="0">
    <w:p w14:paraId="05C1D927" w14:textId="77777777" w:rsidR="007373BF" w:rsidRPr="00124EBE" w:rsidRDefault="007373BF" w:rsidP="009F7B6C">
      <w:pPr>
        <w:spacing w:after="0" w:line="240" w:lineRule="auto"/>
      </w:pPr>
      <w:r w:rsidRPr="00124EB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18EA9" w14:textId="77777777" w:rsidR="007373BF" w:rsidRPr="00124EBE" w:rsidRDefault="007373BF" w:rsidP="009F7B6C">
      <w:pPr>
        <w:spacing w:after="0" w:line="240" w:lineRule="auto"/>
      </w:pPr>
      <w:r w:rsidRPr="00124EBE">
        <w:separator/>
      </w:r>
    </w:p>
  </w:footnote>
  <w:footnote w:type="continuationSeparator" w:id="0">
    <w:p w14:paraId="31BFCED2" w14:textId="77777777" w:rsidR="007373BF" w:rsidRPr="00124EBE" w:rsidRDefault="007373BF" w:rsidP="009F7B6C">
      <w:pPr>
        <w:spacing w:after="0" w:line="240" w:lineRule="auto"/>
      </w:pPr>
      <w:r w:rsidRPr="00124EBE">
        <w:continuationSeparator/>
      </w:r>
    </w:p>
  </w:footnote>
  <w:footnote w:id="1">
    <w:p w14:paraId="3C555F6B" w14:textId="77777777" w:rsidR="009F7B6C" w:rsidRPr="008A7546" w:rsidRDefault="009F7B6C" w:rsidP="009F7B6C">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A212E1" w14:textId="0FE0E21B" w:rsidR="00295AA5" w:rsidRPr="00124EBE" w:rsidRDefault="00295AA5" w:rsidP="00295AA5">
    <w:pPr>
      <w:pStyle w:val="Header"/>
      <w:jc w:val="center"/>
      <w:rPr>
        <w:rFonts w:asciiTheme="majorHAnsi" w:hAnsiTheme="majorHAnsi"/>
      </w:rPr>
    </w:pPr>
    <w:r w:rsidRPr="00124EBE">
      <w:rPr>
        <w:rFonts w:asciiTheme="majorHAnsi" w:hAnsiTheme="majorHAnsi"/>
      </w:rPr>
      <w:t>IACL 2024, supported by Girton College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5FB"/>
    <w:rsid w:val="00124EBE"/>
    <w:rsid w:val="002240A4"/>
    <w:rsid w:val="00230C65"/>
    <w:rsid w:val="00295AA5"/>
    <w:rsid w:val="003250EF"/>
    <w:rsid w:val="0053206B"/>
    <w:rsid w:val="00673AA7"/>
    <w:rsid w:val="0067769E"/>
    <w:rsid w:val="00731E00"/>
    <w:rsid w:val="007373BF"/>
    <w:rsid w:val="009F7B6C"/>
    <w:rsid w:val="00B935FE"/>
    <w:rsid w:val="00D83B28"/>
    <w:rsid w:val="00DE45FB"/>
    <w:rsid w:val="00ED5DE0"/>
    <w:rsid w:val="00FB32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78099"/>
  <w15:chartTrackingRefBased/>
  <w15:docId w15:val="{6C4D62E7-573D-4D2D-92C9-513706392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45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45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45F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45F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E45F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E45F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E45F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E45F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E45F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5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45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45F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45F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E45F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E45F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E45F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E45F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E45F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E45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45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45F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45F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E45FB"/>
    <w:pPr>
      <w:spacing w:before="160"/>
      <w:jc w:val="center"/>
    </w:pPr>
    <w:rPr>
      <w:i/>
      <w:iCs/>
      <w:color w:val="404040" w:themeColor="text1" w:themeTint="BF"/>
    </w:rPr>
  </w:style>
  <w:style w:type="character" w:customStyle="1" w:styleId="QuoteChar">
    <w:name w:val="Quote Char"/>
    <w:basedOn w:val="DefaultParagraphFont"/>
    <w:link w:val="Quote"/>
    <w:uiPriority w:val="29"/>
    <w:rsid w:val="00DE45FB"/>
    <w:rPr>
      <w:i/>
      <w:iCs/>
      <w:color w:val="404040" w:themeColor="text1" w:themeTint="BF"/>
    </w:rPr>
  </w:style>
  <w:style w:type="paragraph" w:styleId="ListParagraph">
    <w:name w:val="List Paragraph"/>
    <w:basedOn w:val="Normal"/>
    <w:uiPriority w:val="34"/>
    <w:qFormat/>
    <w:rsid w:val="00DE45FB"/>
    <w:pPr>
      <w:ind w:left="720"/>
      <w:contextualSpacing/>
    </w:pPr>
  </w:style>
  <w:style w:type="character" w:styleId="IntenseEmphasis">
    <w:name w:val="Intense Emphasis"/>
    <w:basedOn w:val="DefaultParagraphFont"/>
    <w:uiPriority w:val="21"/>
    <w:qFormat/>
    <w:rsid w:val="00DE45FB"/>
    <w:rPr>
      <w:i/>
      <w:iCs/>
      <w:color w:val="0F4761" w:themeColor="accent1" w:themeShade="BF"/>
    </w:rPr>
  </w:style>
  <w:style w:type="paragraph" w:styleId="IntenseQuote">
    <w:name w:val="Intense Quote"/>
    <w:basedOn w:val="Normal"/>
    <w:next w:val="Normal"/>
    <w:link w:val="IntenseQuoteChar"/>
    <w:uiPriority w:val="30"/>
    <w:qFormat/>
    <w:rsid w:val="00DE45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45FB"/>
    <w:rPr>
      <w:i/>
      <w:iCs/>
      <w:color w:val="0F4761" w:themeColor="accent1" w:themeShade="BF"/>
    </w:rPr>
  </w:style>
  <w:style w:type="character" w:styleId="IntenseReference">
    <w:name w:val="Intense Reference"/>
    <w:basedOn w:val="DefaultParagraphFont"/>
    <w:uiPriority w:val="32"/>
    <w:qFormat/>
    <w:rsid w:val="00DE45FB"/>
    <w:rPr>
      <w:b/>
      <w:bCs/>
      <w:smallCaps/>
      <w:color w:val="0F4761" w:themeColor="accent1" w:themeShade="BF"/>
      <w:spacing w:val="5"/>
    </w:rPr>
  </w:style>
  <w:style w:type="paragraph" w:styleId="FootnoteText">
    <w:name w:val="footnote text"/>
    <w:basedOn w:val="Normal"/>
    <w:link w:val="FootnoteTextChar"/>
    <w:uiPriority w:val="99"/>
    <w:semiHidden/>
    <w:unhideWhenUsed/>
    <w:rsid w:val="009F7B6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F7B6C"/>
    <w:rPr>
      <w:sz w:val="20"/>
      <w:szCs w:val="20"/>
    </w:rPr>
  </w:style>
  <w:style w:type="table" w:styleId="TableGrid">
    <w:name w:val="Table Grid"/>
    <w:basedOn w:val="TableNormal"/>
    <w:uiPriority w:val="39"/>
    <w:rsid w:val="009F7B6C"/>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95A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AA5"/>
  </w:style>
  <w:style w:type="paragraph" w:styleId="Footer">
    <w:name w:val="footer"/>
    <w:basedOn w:val="Normal"/>
    <w:link w:val="FooterChar"/>
    <w:uiPriority w:val="99"/>
    <w:unhideWhenUsed/>
    <w:rsid w:val="00295A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A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EN/TXT/?uri=OJ%3AJOL_2023_231_R_0001&amp;qid=1695186598766"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energy.ec.europa.eu/topics/energy-strategy/clean-energy-all-europeans-package_e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vi.uva.nl/content/news/2022/11/energy-labels-for-our-digital-services.html"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google.com/url?sa=t&amp;source=web&amp;rct=j&amp;opi=89978449&amp;url=https://academic.oup.com/book/33728&amp;ved=2ahUKEwjq9Lij1eqFAxUMhv0HHYR9DBgQFnoECCAQAQ&amp;usg=AOvVaw0ernD8M99bv0z1g34vpJv6" TargetMode="External"/><Relationship Id="rId4" Type="http://schemas.openxmlformats.org/officeDocument/2006/relationships/footnotes" Target="footnotes.xml"/><Relationship Id="rId9" Type="http://schemas.openxmlformats.org/officeDocument/2006/relationships/hyperlink" Target="https://www.europarl.europa.eu/RegData/etudes/BRIE/2022/733583/EPRS_BRI(2022)733583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23</Pages>
  <Words>7785</Words>
  <Characters>44378</Characters>
  <Application>Microsoft Office Word</Application>
  <DocSecurity>0</DocSecurity>
  <Lines>369</Lines>
  <Paragraphs>104</Paragraphs>
  <ScaleCrop>false</ScaleCrop>
  <Company/>
  <LinksUpToDate>false</LinksUpToDate>
  <CharactersWithSpaces>52059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Lone</dc:creator>
  <cp:keywords/>
  <dc:description/>
  <cp:lastModifiedBy>Muhammed Lone</cp:lastModifiedBy>
  <cp:revision>5</cp:revision>
  <dcterms:created xsi:type="dcterms:W3CDTF">2024-08-18T17:05:00Z</dcterms:created>
  <dcterms:modified xsi:type="dcterms:W3CDTF">2024-08-18T18:13:00Z</dcterms:modified>
</cp:coreProperties>
</file>