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18E8F3" w14:textId="77777777" w:rsidR="004804C9" w:rsidRPr="00E04692" w:rsidRDefault="004804C9" w:rsidP="004804C9">
      <w:pPr>
        <w:keepLines/>
        <w:spacing w:before="360" w:after="80" w:line="240" w:lineRule="auto"/>
        <w:ind w:left="720" w:hanging="720"/>
        <w:outlineLvl w:val="0"/>
        <w:rPr>
          <w:rFonts w:asciiTheme="majorHAnsi" w:eastAsiaTheme="majorEastAsia" w:hAnsiTheme="majorHAnsi" w:cstheme="majorBidi"/>
          <w:color w:val="0F4761" w:themeColor="accent1" w:themeShade="BF"/>
          <w:sz w:val="40"/>
          <w:szCs w:val="40"/>
        </w:rPr>
      </w:pPr>
      <w:r w:rsidRPr="00E04692">
        <w:rPr>
          <w:rFonts w:asciiTheme="majorHAnsi" w:eastAsiaTheme="majorEastAsia" w:hAnsiTheme="majorHAnsi" w:cstheme="majorBidi"/>
          <w:color w:val="0F4761" w:themeColor="accent1" w:themeShade="BF"/>
          <w:sz w:val="40"/>
          <w:szCs w:val="40"/>
        </w:rPr>
        <w:t>Digital Environments</w:t>
      </w:r>
    </w:p>
    <w:tbl>
      <w:tblPr>
        <w:tblStyle w:val="TableGrid"/>
        <w:tblW w:w="13745" w:type="dxa"/>
        <w:tblLook w:val="04A0" w:firstRow="1" w:lastRow="0" w:firstColumn="1" w:lastColumn="0" w:noHBand="0" w:noVBand="1"/>
      </w:tblPr>
      <w:tblGrid>
        <w:gridCol w:w="2199"/>
        <w:gridCol w:w="11546"/>
      </w:tblGrid>
      <w:tr w:rsidR="004804C9" w:rsidRPr="00E04692" w14:paraId="3F4A2501" w14:textId="77777777" w:rsidTr="00C45912">
        <w:tc>
          <w:tcPr>
            <w:tcW w:w="2199" w:type="dxa"/>
          </w:tcPr>
          <w:p w14:paraId="5AAD8380" w14:textId="77777777" w:rsidR="004804C9" w:rsidRPr="00E04692" w:rsidRDefault="004804C9" w:rsidP="004804C9">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 xml:space="preserve">Name </w:t>
            </w:r>
          </w:p>
        </w:tc>
        <w:tc>
          <w:tcPr>
            <w:tcW w:w="11546" w:type="dxa"/>
          </w:tcPr>
          <w:p w14:paraId="4D9A9B71" w14:textId="77777777" w:rsidR="004804C9" w:rsidRPr="00E04692" w:rsidRDefault="004804C9" w:rsidP="004804C9">
            <w:pPr>
              <w:keepLines/>
              <w:widowControl w:val="0"/>
              <w:jc w:val="both"/>
              <w:rPr>
                <w:rFonts w:eastAsiaTheme="minorEastAsia"/>
              </w:rPr>
            </w:pPr>
            <w:r w:rsidRPr="00E04692">
              <w:rPr>
                <w:rFonts w:eastAsiaTheme="minorEastAsia"/>
              </w:rPr>
              <w:t>Title</w:t>
            </w:r>
          </w:p>
        </w:tc>
      </w:tr>
      <w:tr w:rsidR="004804C9" w:rsidRPr="00E04692" w14:paraId="3FDA8B32" w14:textId="77777777" w:rsidTr="00C45912">
        <w:tc>
          <w:tcPr>
            <w:tcW w:w="2199" w:type="dxa"/>
          </w:tcPr>
          <w:p w14:paraId="1A7A60DF" w14:textId="77777777" w:rsidR="004804C9" w:rsidRPr="00E04692" w:rsidRDefault="004804C9" w:rsidP="004804C9">
            <w:pPr>
              <w:keepLines/>
              <w:widowControl w:val="0"/>
              <w:spacing w:before="160" w:after="80"/>
              <w:outlineLvl w:val="1"/>
              <w:rPr>
                <w:rFonts w:asciiTheme="majorHAnsi" w:eastAsiaTheme="majorEastAsia" w:hAnsiTheme="majorHAnsi" w:cstheme="majorBidi"/>
                <w:i/>
                <w:iCs/>
                <w:color w:val="0F4761" w:themeColor="accent1" w:themeShade="BF"/>
                <w:sz w:val="32"/>
                <w:szCs w:val="32"/>
              </w:rPr>
            </w:pPr>
            <w:r w:rsidRPr="00E04692">
              <w:rPr>
                <w:rFonts w:asciiTheme="majorHAnsi" w:eastAsiaTheme="majorEastAsia" w:hAnsiTheme="majorHAnsi" w:cstheme="majorBidi"/>
                <w:i/>
                <w:iCs/>
                <w:color w:val="0F4761" w:themeColor="accent1" w:themeShade="BF"/>
                <w:sz w:val="32"/>
                <w:szCs w:val="32"/>
              </w:rPr>
              <w:t>Akkanat-Öztürk, Elif Beyza &amp;</w:t>
            </w:r>
          </w:p>
          <w:p w14:paraId="63E305C1" w14:textId="77777777" w:rsidR="004804C9" w:rsidRPr="00E04692" w:rsidRDefault="004804C9" w:rsidP="004804C9">
            <w:pPr>
              <w:keepLines/>
              <w:widowControl w:val="0"/>
              <w:rPr>
                <w:rFonts w:eastAsiaTheme="minorEastAsia"/>
                <w:i/>
                <w:iCs/>
              </w:rPr>
            </w:pPr>
            <w:r w:rsidRPr="00E04692">
              <w:rPr>
                <w:rFonts w:eastAsiaTheme="minorEastAsia"/>
                <w:i/>
                <w:iCs/>
              </w:rPr>
              <w:t>Yücedağ, Nafiye</w:t>
            </w:r>
          </w:p>
          <w:p w14:paraId="1760A68A" w14:textId="77777777" w:rsidR="004804C9" w:rsidRPr="00E04692" w:rsidRDefault="004804C9" w:rsidP="004804C9">
            <w:pPr>
              <w:keepLines/>
              <w:widowControl w:val="0"/>
              <w:rPr>
                <w:rFonts w:eastAsiaTheme="minorEastAsia"/>
              </w:rPr>
            </w:pPr>
            <w:r w:rsidRPr="00E04692">
              <w:rPr>
                <w:rFonts w:eastAsiaTheme="minorEastAsia"/>
              </w:rPr>
              <w:t>Istanbul University Faculty of Law, Comparative Law Department,</w:t>
            </w:r>
          </w:p>
        </w:tc>
        <w:tc>
          <w:tcPr>
            <w:tcW w:w="11546" w:type="dxa"/>
          </w:tcPr>
          <w:p w14:paraId="71E1C569" w14:textId="77777777" w:rsidR="004804C9" w:rsidRPr="00E04692" w:rsidRDefault="004804C9" w:rsidP="004804C9">
            <w:pPr>
              <w:keepLines/>
              <w:widowControl w:val="0"/>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hint="cs"/>
                <w:color w:val="0F4761" w:themeColor="accent1" w:themeShade="BF"/>
                <w:sz w:val="32"/>
                <w:szCs w:val="32"/>
              </w:rPr>
              <w:t xml:space="preserve">Unveiling a New Era: Unfair Contractual Terms </w:t>
            </w:r>
            <w:r w:rsidRPr="00E04692">
              <w:rPr>
                <w:rFonts w:asciiTheme="majorHAnsi" w:eastAsiaTheme="majorEastAsia" w:hAnsiTheme="majorHAnsi" w:cstheme="majorBidi"/>
                <w:color w:val="0F4761" w:themeColor="accent1" w:themeShade="BF"/>
                <w:sz w:val="32"/>
                <w:szCs w:val="32"/>
              </w:rPr>
              <w:t>Assessment</w:t>
            </w:r>
            <w:r w:rsidRPr="00E04692">
              <w:rPr>
                <w:rFonts w:asciiTheme="majorHAnsi" w:eastAsiaTheme="majorEastAsia" w:hAnsiTheme="majorHAnsi" w:cstheme="majorBidi" w:hint="cs"/>
                <w:color w:val="0F4761" w:themeColor="accent1" w:themeShade="BF"/>
                <w:sz w:val="32"/>
                <w:szCs w:val="32"/>
              </w:rPr>
              <w:t xml:space="preserve"> in </w:t>
            </w:r>
            <w:r w:rsidRPr="00E04692">
              <w:rPr>
                <w:rFonts w:asciiTheme="majorHAnsi" w:eastAsiaTheme="majorEastAsia" w:hAnsiTheme="majorHAnsi" w:cstheme="majorBidi"/>
                <w:color w:val="0F4761" w:themeColor="accent1" w:themeShade="BF"/>
                <w:sz w:val="32"/>
                <w:szCs w:val="32"/>
              </w:rPr>
              <w:t>Personal Data-as Counter-Performance Contracts</w:t>
            </w:r>
          </w:p>
          <w:p w14:paraId="7D5F3FB5" w14:textId="77777777" w:rsidR="004804C9" w:rsidRPr="00E04692" w:rsidRDefault="004804C9" w:rsidP="004804C9">
            <w:pPr>
              <w:keepLines/>
              <w:widowControl w:val="0"/>
              <w:rPr>
                <w:rFonts w:eastAsiaTheme="minorEastAsia"/>
              </w:rPr>
            </w:pPr>
            <w:r w:rsidRPr="00E04692">
              <w:rPr>
                <w:rFonts w:eastAsiaTheme="minorEastAsia"/>
              </w:rPr>
              <w:t xml:space="preserve">The exchange of personal data, often facilitated by service contracts, has become ubiquitous in today’s data-driven economy. Concerns about the interplay between privacy policies, informed consent and the presence of unfair contract terms arise as individuals engage in these transactions more often. </w:t>
            </w:r>
          </w:p>
          <w:p w14:paraId="4A1BF89E" w14:textId="77777777" w:rsidR="004804C9" w:rsidRPr="00E04692" w:rsidRDefault="004804C9" w:rsidP="004804C9">
            <w:pPr>
              <w:keepLines/>
              <w:widowControl w:val="0"/>
              <w:rPr>
                <w:rFonts w:eastAsiaTheme="minorEastAsia"/>
              </w:rPr>
            </w:pPr>
            <w:r w:rsidRPr="00E04692">
              <w:rPr>
                <w:rFonts w:eastAsiaTheme="minorEastAsia"/>
              </w:rPr>
              <w:t xml:space="preserve">This paper aims to shed light on this complex relationship and provide insights into the protection of individuals’ rights and interests in the evolving landscape of data-as-currency contracts. In such contracts, consent becomes a contractual condition, hence invoking consumer law regulations. In accordance with the rules of consumer law, whether a consent to the processing of personal data as a counter-performance is subject to an unfair term assessment especially transparency control will be discussed. </w:t>
            </w:r>
          </w:p>
          <w:p w14:paraId="2E1D9499" w14:textId="77777777" w:rsidR="004804C9" w:rsidRPr="00E04692" w:rsidRDefault="004804C9" w:rsidP="004804C9">
            <w:pPr>
              <w:keepLines/>
              <w:widowControl w:val="0"/>
              <w:rPr>
                <w:rFonts w:eastAsiaTheme="minorEastAsia"/>
              </w:rPr>
            </w:pPr>
            <w:r w:rsidRPr="00E04692">
              <w:rPr>
                <w:rFonts w:eastAsiaTheme="minorEastAsia"/>
              </w:rPr>
              <w:t>The question of whether consent to the processing of personal data as a consideration is subject to the unfairness test is controversial under the Directive Art. 4/2</w:t>
            </w:r>
            <w:r w:rsidRPr="00E04692">
              <w:rPr>
                <w:rFonts w:eastAsiaTheme="minorEastAsia" w:hint="cs"/>
              </w:rPr>
              <w:t xml:space="preserve">. </w:t>
            </w:r>
            <w:r w:rsidRPr="00E04692">
              <w:rPr>
                <w:rFonts w:eastAsiaTheme="minorEastAsia"/>
              </w:rPr>
              <w:t xml:space="preserve">However, given the rationale and purpose of excluding main subject matter (personal data) from the unfair contractual term assessment, it highly questionable to directly close the door to that assessment for data as-currency contracts. </w:t>
            </w:r>
          </w:p>
        </w:tc>
      </w:tr>
      <w:tr w:rsidR="004804C9" w:rsidRPr="00E04692" w14:paraId="29E54CD7" w14:textId="77777777" w:rsidTr="00C45912">
        <w:tc>
          <w:tcPr>
            <w:tcW w:w="2199" w:type="dxa"/>
          </w:tcPr>
          <w:p w14:paraId="3E1AE04B"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Ashok, Pratiksha</w:t>
            </w:r>
          </w:p>
          <w:p w14:paraId="281B8300" w14:textId="77777777" w:rsidR="004804C9" w:rsidRPr="00E04692" w:rsidRDefault="004804C9" w:rsidP="004804C9">
            <w:pPr>
              <w:rPr>
                <w:rFonts w:eastAsiaTheme="minorEastAsia"/>
              </w:rPr>
            </w:pPr>
            <w:r w:rsidRPr="00E04692">
              <w:rPr>
                <w:rFonts w:eastAsiaTheme="minorEastAsia"/>
              </w:rPr>
              <w:t xml:space="preserve">is a Ph.D. Researcher for the Platform Regulation and Operations in the Sharing Economy (PROSEco) Project at the Faculty of Law, UC Louvain. </w:t>
            </w:r>
          </w:p>
        </w:tc>
        <w:tc>
          <w:tcPr>
            <w:tcW w:w="11546" w:type="dxa"/>
          </w:tcPr>
          <w:p w14:paraId="427D641A"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Protection of Peer Consumers-A study of EU Consumer Law</w:t>
            </w:r>
          </w:p>
          <w:p w14:paraId="5F760FC3" w14:textId="77777777" w:rsidR="004804C9" w:rsidRPr="00E04692" w:rsidRDefault="004804C9" w:rsidP="004804C9">
            <w:pPr>
              <w:rPr>
                <w:rFonts w:eastAsiaTheme="minorEastAsia"/>
              </w:rPr>
            </w:pPr>
            <w:r w:rsidRPr="00E04692">
              <w:rPr>
                <w:rFonts w:eastAsiaTheme="minorEastAsia"/>
              </w:rPr>
              <w:t xml:space="preserve">With the rise of technology and the necessity to search for various sources of income, people began sharing what they had to earn some money. This sharing could be in the way of renting an extra room in your home or renting out lawnmowers, tractors and drilling machines that are underutilised. </w:t>
            </w:r>
          </w:p>
          <w:p w14:paraId="4F478F45" w14:textId="77777777" w:rsidR="004804C9" w:rsidRPr="00E04692" w:rsidRDefault="004804C9" w:rsidP="004804C9">
            <w:pPr>
              <w:rPr>
                <w:rFonts w:eastAsiaTheme="minorEastAsia"/>
              </w:rPr>
            </w:pPr>
          </w:p>
          <w:p w14:paraId="07502555" w14:textId="77777777" w:rsidR="004804C9" w:rsidRPr="00E04692" w:rsidRDefault="004804C9" w:rsidP="004804C9">
            <w:pPr>
              <w:rPr>
                <w:rFonts w:eastAsiaTheme="minorEastAsia"/>
              </w:rPr>
            </w:pPr>
            <w:r w:rsidRPr="00E04692">
              <w:rPr>
                <w:rFonts w:eastAsiaTheme="minorEastAsia"/>
              </w:rPr>
              <w:t xml:space="preserve">Sharing these resources online leads to consumers receiving goods and services from persons who are not traders or service providers as under consumer protection laws in the European Union. In this paper, the transactions they enter into are called peer-to-peer transactions (P2P), with peer service providers providing resources to peer consumers. The paper takes this stance by terming them consumer-to-consumer (C2C) transactions, which means that both parties are consumers under the definition under the law, creating an ouroboros. </w:t>
            </w:r>
          </w:p>
          <w:p w14:paraId="28B4EA7F" w14:textId="77777777" w:rsidR="004804C9" w:rsidRPr="00E04692" w:rsidRDefault="004804C9" w:rsidP="004804C9">
            <w:pPr>
              <w:rPr>
                <w:rFonts w:eastAsiaTheme="minorEastAsia"/>
              </w:rPr>
            </w:pPr>
          </w:p>
          <w:p w14:paraId="3F94E1F4" w14:textId="77777777" w:rsidR="004804C9" w:rsidRPr="00E04692" w:rsidRDefault="004804C9" w:rsidP="004804C9">
            <w:pPr>
              <w:rPr>
                <w:rFonts w:eastAsiaTheme="minorEastAsia"/>
              </w:rPr>
            </w:pPr>
            <w:r w:rsidRPr="00E04692">
              <w:rPr>
                <w:rFonts w:eastAsiaTheme="minorEastAsia"/>
              </w:rPr>
              <w:t>This paper embarks on to question might consumer protection law protect peer consumers in P2P transactions. The paper discusses the decision behind terming these transactions as P2P transactions, not C2C transactions. This discussion leads to the next section, which discusses the concept of consumers in P2P transactions. Asking whether consumers are protected by consumer protection legislation in the EU leads to an answer of no, leaving peer consumers in the lurch and an unanswered issue under EU Consumer law. This paper explores the reasoning behind not protecting peer consumers under existing consumer protection legislation and provides arguments for the need for the protection of peer consumers under existing or newly drafted consumer protection legislation. The paper adopts an explanatory research design to analyse existing consumer protection legislation in the EU in the context of peer-to-peer transactions.</w:t>
            </w:r>
          </w:p>
          <w:p w14:paraId="4DAD22FC" w14:textId="77777777" w:rsidR="004804C9" w:rsidRPr="00E04692" w:rsidRDefault="004804C9" w:rsidP="004804C9">
            <w:pPr>
              <w:rPr>
                <w:rFonts w:eastAsiaTheme="minorEastAsia"/>
              </w:rPr>
            </w:pPr>
          </w:p>
          <w:p w14:paraId="0623F31E" w14:textId="77777777" w:rsidR="004804C9" w:rsidRPr="00E04692" w:rsidRDefault="004804C9" w:rsidP="004804C9">
            <w:pPr>
              <w:rPr>
                <w:rFonts w:eastAsiaTheme="minorEastAsia"/>
              </w:rPr>
            </w:pPr>
            <w:r w:rsidRPr="00E04692">
              <w:rPr>
                <w:rFonts w:eastAsiaTheme="minorEastAsia"/>
              </w:rPr>
              <w:t>Necessity is indeed the mother of invention. The P2P economy was created and thrives due to the needs of consumers. The paper serves as the basis of discussion to protect peer consumers in P2P transactions.</w:t>
            </w:r>
          </w:p>
          <w:p w14:paraId="2C328A03" w14:textId="77777777" w:rsidR="004804C9" w:rsidRPr="00E04692" w:rsidRDefault="004804C9" w:rsidP="004804C9">
            <w:pPr>
              <w:jc w:val="both"/>
              <w:rPr>
                <w:rFonts w:eastAsiaTheme="minorEastAsia"/>
              </w:rPr>
            </w:pPr>
          </w:p>
        </w:tc>
      </w:tr>
      <w:tr w:rsidR="004804C9" w:rsidRPr="00E04692" w14:paraId="1FB271AF" w14:textId="77777777" w:rsidTr="00C45912">
        <w:tc>
          <w:tcPr>
            <w:tcW w:w="2199" w:type="dxa"/>
          </w:tcPr>
          <w:p w14:paraId="5CC18CFA"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Barocelli, Sebastian</w:t>
            </w:r>
          </w:p>
        </w:tc>
        <w:tc>
          <w:tcPr>
            <w:tcW w:w="11546" w:type="dxa"/>
          </w:tcPr>
          <w:p w14:paraId="084A277E" w14:textId="77777777" w:rsidR="004804C9" w:rsidRPr="00E04692" w:rsidRDefault="004804C9" w:rsidP="004804C9">
            <w:pPr>
              <w:keepNext/>
              <w:keepLines/>
              <w:spacing w:before="160" w:after="80"/>
              <w:outlineLvl w:val="1"/>
              <w:rPr>
                <w:rFonts w:asciiTheme="majorHAnsi" w:eastAsiaTheme="majorEastAsia" w:hAnsiTheme="majorHAnsi" w:cstheme="majorBidi"/>
                <w:b/>
                <w:bCs/>
                <w:color w:val="0F4761" w:themeColor="accent1" w:themeShade="BF"/>
                <w:sz w:val="32"/>
                <w:szCs w:val="32"/>
              </w:rPr>
            </w:pPr>
            <w:r w:rsidRPr="00E04692">
              <w:rPr>
                <w:rFonts w:asciiTheme="majorHAnsi" w:eastAsiaTheme="majorEastAsia" w:hAnsiTheme="majorHAnsi" w:cstheme="majorBidi"/>
                <w:b/>
                <w:bCs/>
                <w:color w:val="0F4761" w:themeColor="accent1" w:themeShade="BF"/>
                <w:sz w:val="32"/>
                <w:szCs w:val="32"/>
              </w:rPr>
              <w:t>Consumer Protection in the Digital Environment in Argentina: Regulatory Experience, Challenges, and Comparison with the European Union</w:t>
            </w:r>
          </w:p>
          <w:p w14:paraId="1FD9C9FE" w14:textId="77777777" w:rsidR="004804C9" w:rsidRPr="00E04692" w:rsidRDefault="004804C9" w:rsidP="004804C9">
            <w:pPr>
              <w:rPr>
                <w:rFonts w:eastAsiaTheme="minorEastAsia"/>
              </w:rPr>
            </w:pPr>
            <w:r w:rsidRPr="00E04692">
              <w:rPr>
                <w:rFonts w:eastAsiaTheme="minorEastAsia"/>
              </w:rPr>
              <w:t>The increasing influence of the digital environment on commercial transactions has prompted the need for effective regulation to protect consumer rights in Argentina. This abstract examines the regulatory experience in the country, highlighting key measures such as the unsubscribe button, the remorse button, publication of contracts, the importance of website monitoring, and challenges related to consumer education and abusive clauses within the digital ecosystem.</w:t>
            </w:r>
          </w:p>
          <w:p w14:paraId="0126D81D" w14:textId="77777777" w:rsidR="004804C9" w:rsidRPr="00E04692" w:rsidRDefault="004804C9" w:rsidP="004804C9">
            <w:pPr>
              <w:rPr>
                <w:rFonts w:eastAsiaTheme="minorEastAsia"/>
              </w:rPr>
            </w:pPr>
            <w:r w:rsidRPr="00E04692">
              <w:rPr>
                <w:rFonts w:eastAsiaTheme="minorEastAsia"/>
              </w:rPr>
              <w:t>The unsubscribe button, allowing users to opt out of digital services easily, has been a significant step towards consumer protection, ensuring their right to self-determination online. Similarly, the remorse button gives consumers the ability to retract their online purchases within a specified period, strengthening consumer trust in e-commerce. Moreover, the publication of contracts online, involving transparent disclosure of terms and conditions, is crucial for empowering consumers and ensuring they are fully informed when engaging in digital transactions.</w:t>
            </w:r>
          </w:p>
          <w:p w14:paraId="4A3D84E9" w14:textId="77777777" w:rsidR="004804C9" w:rsidRPr="00E04692" w:rsidRDefault="004804C9" w:rsidP="004804C9">
            <w:pPr>
              <w:rPr>
                <w:rFonts w:eastAsiaTheme="minorEastAsia"/>
              </w:rPr>
            </w:pPr>
            <w:r w:rsidRPr="00E04692">
              <w:rPr>
                <w:rFonts w:eastAsiaTheme="minorEastAsia"/>
              </w:rPr>
              <w:t>Additionally, website monitoring is essential to detect and prevent fraudulent activities, protecting consumers from scams and deceitful practices. Abusive clauses within the digital ecosystem pose a significant challenge to consumer protection, requiring vigilant enforcement and proactive measures to safeguard consumer rights.</w:t>
            </w:r>
          </w:p>
          <w:p w14:paraId="3520B736" w14:textId="77777777" w:rsidR="004804C9" w:rsidRPr="00E04692" w:rsidRDefault="004804C9" w:rsidP="004804C9">
            <w:pPr>
              <w:rPr>
                <w:rFonts w:eastAsiaTheme="minorEastAsia"/>
              </w:rPr>
            </w:pPr>
            <w:r w:rsidRPr="00E04692">
              <w:rPr>
                <w:rFonts w:eastAsiaTheme="minorEastAsia"/>
              </w:rPr>
              <w:t>Challenges persist in terms of consumer education, as navigating the complexities of the digital landscape requires informed decision-making and awareness of one's rights and responsibilities. Enhancing consumer literacy and awareness is crucial to empower individuals to make informed choices and protect themselves from exploitation in the digital marketplace.</w:t>
            </w:r>
          </w:p>
          <w:p w14:paraId="43216C62" w14:textId="77777777" w:rsidR="004804C9" w:rsidRPr="00E04692" w:rsidRDefault="004804C9" w:rsidP="004804C9">
            <w:pPr>
              <w:rPr>
                <w:rFonts w:eastAsiaTheme="minorEastAsia"/>
              </w:rPr>
            </w:pPr>
            <w:r w:rsidRPr="00E04692">
              <w:rPr>
                <w:rFonts w:eastAsiaTheme="minorEastAsia"/>
              </w:rPr>
              <w:t>Furthermore, it is important to analyze regulation within Mercosur and experiences in other cooperation forums in which Argentina participates in comparison with the European Union model. By comparing with European Union regulations, successful practices and areas for improvement in consumer protection in the digital environment can be identified.</w:t>
            </w:r>
          </w:p>
          <w:p w14:paraId="7447B64D" w14:textId="77777777" w:rsidR="004804C9" w:rsidRPr="00E04692" w:rsidRDefault="004804C9" w:rsidP="004804C9">
            <w:pPr>
              <w:rPr>
                <w:rFonts w:eastAsiaTheme="minorEastAsia"/>
              </w:rPr>
            </w:pPr>
            <w:r w:rsidRPr="00E04692">
              <w:rPr>
                <w:rFonts w:eastAsiaTheme="minorEastAsia"/>
              </w:rPr>
              <w:t>In conclusion, consumer protection in the digital environment in Argentina requires a comprehensive approach that addresses regulatory challenges, enhances consumer education, and ensures effective enforcement mechanisms. This abstract underscores the importance of a robust regulatory framework and proactive measures to safeguard consumer rights in the evolving digital landscape.</w:t>
            </w:r>
          </w:p>
          <w:p w14:paraId="7E29ABD8" w14:textId="77777777" w:rsidR="004804C9" w:rsidRPr="00E04692" w:rsidRDefault="004804C9" w:rsidP="004804C9">
            <w:pPr>
              <w:jc w:val="both"/>
              <w:rPr>
                <w:rFonts w:eastAsiaTheme="minorEastAsia"/>
              </w:rPr>
            </w:pPr>
          </w:p>
        </w:tc>
      </w:tr>
      <w:tr w:rsidR="004804C9" w:rsidRPr="00E04692" w14:paraId="2783A394" w14:textId="77777777" w:rsidTr="00C45912">
        <w:tc>
          <w:tcPr>
            <w:tcW w:w="2199" w:type="dxa"/>
          </w:tcPr>
          <w:p w14:paraId="1BC015ED"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 xml:space="preserve">Bouwman, Tom </w:t>
            </w:r>
          </w:p>
        </w:tc>
        <w:tc>
          <w:tcPr>
            <w:tcW w:w="11546" w:type="dxa"/>
          </w:tcPr>
          <w:p w14:paraId="3315E649"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 xml:space="preserve">Not all consumers are the same: how is differentiation between consumers operationalised in EU consumer law? </w:t>
            </w:r>
          </w:p>
          <w:p w14:paraId="6A305968" w14:textId="77777777" w:rsidR="004804C9" w:rsidRPr="00E04692" w:rsidRDefault="004804C9" w:rsidP="004804C9">
            <w:pPr>
              <w:rPr>
                <w:rFonts w:eastAsiaTheme="minorEastAsia"/>
              </w:rPr>
            </w:pPr>
            <w:bookmarkStart w:id="0" w:name="_Hlk164948590"/>
            <w:r w:rsidRPr="00E04692">
              <w:rPr>
                <w:rFonts w:eastAsiaTheme="minorEastAsia"/>
              </w:rPr>
              <w:t>It is superfluous to say that not all consumers are the same. Different consumers not only have different preferences, personalities, vulnerabilities, and skills but are also confronted with different challenges. Yet there seems to be little differentiation between consumers within European Union (EU) consumer law. Generally, all natural persons acting for purposes that are outside their trade, business, craft, or profession fall within the definition of a consumer and are entitled to the same level of protection regardless of their individual needs. This causes under-protection and over-protection, especially in modern consumer markets where consumers have simultaneously become more vulnerable and more active due to digitalisation and platformisation. It is, therefore, once again time to ask the question of whether the current operationalisation of differentiation between consumers is still fit for purpose. This paper takes the first step in answering this question by analysing how differentiation between consumers is operationalised within EU consumer law. To do so, this paper develops a theoretical framework, which consists of two parts. The first part clarifies the meaning of differentiation in relation to legal rules. It builds on Black’s regulatory theory about the nature of legal rules. The second part outlines the relevant operationalisations of differentiation in EU consumer law, which are status-based application conditions, fact-based application conditions, and norm-based application conditions. The subsequent analysis reveals that it is not just the general status-based application conditions of EU consumer law themselves that disregard individual differences between consumers. The other types of application conditions also do not prevent the status-based application conditions from paving the way for under-protection and over-protection. Furthermore, the analysis reveals that digitalisation and platformisation expose inherent shortcomings of how the general definition of a consumer, the average consumer benchmark, and the vulnerable group benchmark differentiate between consumers. Altogether, these findings provide directions for reconstructing EU consumer law in such a way that more individual differences between consumers are taken into account, which is especially urgent in consumer markets that are influenced by digitalisation and platformisation.</w:t>
            </w:r>
          </w:p>
          <w:bookmarkEnd w:id="0"/>
          <w:p w14:paraId="5BE2D148" w14:textId="77777777" w:rsidR="004804C9" w:rsidRPr="00E04692" w:rsidRDefault="004804C9" w:rsidP="004804C9">
            <w:pPr>
              <w:jc w:val="both"/>
              <w:rPr>
                <w:rFonts w:eastAsiaTheme="minorEastAsia"/>
              </w:rPr>
            </w:pPr>
          </w:p>
        </w:tc>
      </w:tr>
      <w:tr w:rsidR="004804C9" w:rsidRPr="00E04692" w14:paraId="4544F9C7" w14:textId="77777777" w:rsidTr="00C45912">
        <w:tc>
          <w:tcPr>
            <w:tcW w:w="2199" w:type="dxa"/>
          </w:tcPr>
          <w:p w14:paraId="0027383D"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Depincé, Malo</w:t>
            </w:r>
          </w:p>
        </w:tc>
        <w:tc>
          <w:tcPr>
            <w:tcW w:w="11546" w:type="dxa"/>
          </w:tcPr>
          <w:p w14:paraId="7BA53CF8"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Sharing consumers data</w:t>
            </w:r>
          </w:p>
          <w:p w14:paraId="0D20FADF" w14:textId="77777777" w:rsidR="004804C9" w:rsidRPr="00E04692" w:rsidRDefault="004804C9" w:rsidP="004804C9">
            <w:pPr>
              <w:rPr>
                <w:rFonts w:eastAsiaTheme="minorEastAsia"/>
              </w:rPr>
            </w:pPr>
            <w:r w:rsidRPr="00E04692">
              <w:rPr>
                <w:rFonts w:eastAsiaTheme="minorEastAsia"/>
              </w:rPr>
              <w:t>It is obvious that consumer data can have great value, this can easily be proven : some companies often collect more data than their needs justify (anticipating, without this being in accordance with the law, a use which they have not yet identified), those who have gathered or assembled data try to appropriate them (distribution networks often seek to prohibit their former members from accessing costumer data, etc.). The issue of the protection of natural persons to whom these data relate must nevertheless be raised. If the question of the collection of data has been dealt within the European Union by the GPDR (2016/679), its application is sometimes difficult. Furthermore, the issue of the recording and circulation of data remains, since paradoxically consumers may have an interest in their data circulating from one operator to another, in particular to enable them to change offers (for example in the context of health data collected by connected devices, if consumers want to keep their data history but change devices). The purpose of my contribution will be, in particular through the analysis of the European Digital Act, to think about the relevant mechanisms for supervising the collection, processing and circulation of data in order to remain profitable for consumers and satisfy their needs without abusive exploitation.</w:t>
            </w:r>
          </w:p>
        </w:tc>
      </w:tr>
      <w:tr w:rsidR="004804C9" w:rsidRPr="00E04692" w14:paraId="5C63240A" w14:textId="77777777" w:rsidTr="00C45912">
        <w:tc>
          <w:tcPr>
            <w:tcW w:w="2199" w:type="dxa"/>
          </w:tcPr>
          <w:p w14:paraId="022F2D0D"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Flaga-Gieruszyńska, Kinga</w:t>
            </w:r>
          </w:p>
          <w:p w14:paraId="66DFF275" w14:textId="77777777" w:rsidR="004804C9" w:rsidRPr="00E04692" w:rsidRDefault="004804C9" w:rsidP="004804C9">
            <w:pPr>
              <w:keepNext/>
              <w:keepLines/>
              <w:spacing w:before="160" w:after="80"/>
              <w:outlineLvl w:val="1"/>
              <w:rPr>
                <w:rFonts w:asciiTheme="majorHAnsi" w:eastAsiaTheme="majorEastAsia" w:hAnsiTheme="majorHAnsi" w:cstheme="majorBidi"/>
                <w:b/>
                <w:bCs/>
                <w:color w:val="0F4761" w:themeColor="accent1" w:themeShade="BF"/>
                <w:sz w:val="32"/>
                <w:szCs w:val="32"/>
              </w:rPr>
            </w:pPr>
            <w:r w:rsidRPr="00E04692">
              <w:rPr>
                <w:rFonts w:asciiTheme="majorHAnsi" w:eastAsiaTheme="majorEastAsia" w:hAnsiTheme="majorHAnsi" w:cstheme="majorBidi"/>
                <w:b/>
                <w:bCs/>
                <w:color w:val="0F4761" w:themeColor="accent1" w:themeShade="BF"/>
                <w:sz w:val="32"/>
                <w:szCs w:val="32"/>
              </w:rPr>
              <w:t>Professor of University of Szczecin, Poland</w:t>
            </w:r>
          </w:p>
          <w:p w14:paraId="38656F30"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546" w:type="dxa"/>
          </w:tcPr>
          <w:p w14:paraId="26675882" w14:textId="77777777" w:rsidR="004804C9" w:rsidRPr="00E04692" w:rsidRDefault="004804C9" w:rsidP="004804C9">
            <w:pPr>
              <w:rPr>
                <w:rFonts w:eastAsiaTheme="minorEastAsia"/>
                <w:b/>
                <w:bCs/>
              </w:rPr>
            </w:pPr>
            <w:r w:rsidRPr="00E04692">
              <w:rPr>
                <w:rFonts w:eastAsiaTheme="minorEastAsia"/>
                <w:b/>
                <w:bCs/>
              </w:rPr>
              <w:t>Challenges of Consumer Law Regarding Services Using Artificial Intelligence</w:t>
            </w:r>
          </w:p>
          <w:p w14:paraId="65BB456C" w14:textId="77777777" w:rsidR="004804C9" w:rsidRPr="00E04692" w:rsidRDefault="004804C9" w:rsidP="004804C9">
            <w:pPr>
              <w:rPr>
                <w:rFonts w:eastAsiaTheme="minorEastAsia"/>
              </w:rPr>
            </w:pPr>
            <w:r w:rsidRPr="00E04692">
              <w:rPr>
                <w:rFonts w:eastAsiaTheme="minorEastAsia"/>
              </w:rPr>
              <w:t>Consumer law must respond to the dynamic development of artificial intelligence (AI) technology, which translates into its increasingly widespread application across various sectors of the economy, including consumer services. Understanding how these changes impact consumer law and the challenges they pose is particularly crucial. Primarily, AI technologies are capable of processing vast amounts of personal data, raising questions about the privacy and security of this data. Regulations such as the GDPR in the European Union impose specific requirements on businesses, the fulfillment of which is essential for the legal operation of their AI-based products and services. At the same time, ensuring the transparency of AI algorithms is equally important for building consumer trust. The responsibility for decisions made by AI systems is an issue that must be clearly regulated to allow consumers the possibility to assert their rights in case of potential errors or abuses. Additionally, AI can inadvertently promote discrimination if the data on which it is trained contain errors or biases. Such a situation requires lawmakers to conduct thorough analysis and introduce appropriate control mechanisms. Data security is another significant challenge that must be addressed in the context of AI. Businesses must implement proper security measures to protect consumer data from cyberattacks and leaks. In summary, adapting consumer law to new technological realities is essential for protecting consumer interests and ensuring that the development of AI proceeds in a balanced and fair manner. Collaboration among all stakeholders, including lawmakers, regulators, businesses, and consumer organizations, is crucial for creating effective regulations that support innovation while simultaneously protecting consumer rights.</w:t>
            </w:r>
          </w:p>
        </w:tc>
      </w:tr>
      <w:tr w:rsidR="004804C9" w:rsidRPr="00E04692" w14:paraId="722A2149" w14:textId="77777777" w:rsidTr="00C45912">
        <w:tc>
          <w:tcPr>
            <w:tcW w:w="2199" w:type="dxa"/>
          </w:tcPr>
          <w:p w14:paraId="626A6B5F"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Gillies, Lorna</w:t>
            </w:r>
          </w:p>
        </w:tc>
        <w:tc>
          <w:tcPr>
            <w:tcW w:w="11546" w:type="dxa"/>
          </w:tcPr>
          <w:p w14:paraId="27A61040"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Cs w:val="32"/>
              </w:rPr>
              <w:t>The Use and Misuse of Artificial Intelligence in Cross-Border Consumer Cases: A Case for Modified Pragmatism in Private International Law”</w:t>
            </w:r>
          </w:p>
          <w:p w14:paraId="28CA40F1" w14:textId="77777777" w:rsidR="004804C9" w:rsidRPr="00E04692" w:rsidRDefault="004804C9" w:rsidP="004804C9">
            <w:pPr>
              <w:rPr>
                <w:rFonts w:eastAsiaTheme="minorEastAsia"/>
              </w:rPr>
            </w:pPr>
            <w:r w:rsidRPr="00E04692">
              <w:rPr>
                <w:rFonts w:eastAsiaTheme="minorEastAsia"/>
              </w:rPr>
              <w:t>Artificial Intelligence (AI) seeks to improve market efficiencies. AI has a “complex, autonomous and opaque”</w:t>
            </w:r>
            <w:r w:rsidRPr="00E04692">
              <w:rPr>
                <w:rFonts w:eastAsiaTheme="minorEastAsia"/>
                <w:vertAlign w:val="superscript"/>
              </w:rPr>
              <w:t xml:space="preserve"> </w:t>
            </w:r>
            <w:r w:rsidRPr="00E04692">
              <w:rPr>
                <w:rFonts w:eastAsiaTheme="minorEastAsia"/>
              </w:rPr>
              <w:t xml:space="preserve">nature which challenges the rule of law and scope of human agency. Like Law 2.0 technology before, the (mis)use of AI is not limited by jurisdictional boundaries. However, current efforts to regulate AI do not address cross-border issues. This paper focusses on cross-border consumer disputes involving use/misuse of AI. The paper introduces a novel approach in private international law - modified pragmatism. Modified pragmatism has three steps; balancing substantive and conflicts values, adapting existing private international law techniques, and ensuring </w:t>
            </w:r>
            <w:r w:rsidRPr="00E04692">
              <w:rPr>
                <w:rFonts w:eastAsiaTheme="minorEastAsia"/>
                <w:i/>
                <w:iCs/>
              </w:rPr>
              <w:t>ex-ante</w:t>
            </w:r>
            <w:r w:rsidRPr="00E04692">
              <w:rPr>
                <w:rFonts w:eastAsiaTheme="minorEastAsia"/>
              </w:rPr>
              <w:t xml:space="preserve"> enforcement through mandatory rules and public policy. </w:t>
            </w:r>
            <w:bookmarkStart w:id="1" w:name="_Hlk105713309"/>
            <w:r w:rsidRPr="00E04692">
              <w:rPr>
                <w:rFonts w:eastAsiaTheme="minorEastAsia"/>
              </w:rPr>
              <w:t>The paper considers how modified pragmatism can be used to support substantive consumer values for cross-border consumer disputes involving the use/misuse of AI. Modified pragmatism seeks to future-proof cross-border consume</w:t>
            </w:r>
            <w:bookmarkEnd w:id="1"/>
            <w:r w:rsidRPr="00E04692">
              <w:rPr>
                <w:rFonts w:eastAsiaTheme="minorEastAsia"/>
              </w:rPr>
              <w:t xml:space="preserve">r disputes where loss or harm occurs due to AI, regardless of regulatory approaches and (anti)competitive behaviour in cross-border markets dependent on AI technology. </w:t>
            </w:r>
          </w:p>
        </w:tc>
      </w:tr>
      <w:tr w:rsidR="004804C9" w:rsidRPr="00E04692" w14:paraId="479F1AD1" w14:textId="77777777" w:rsidTr="00C45912">
        <w:tc>
          <w:tcPr>
            <w:tcW w:w="2199" w:type="dxa"/>
          </w:tcPr>
          <w:p w14:paraId="554BCF26"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Calahorrano Latorre, Edison</w:t>
            </w:r>
          </w:p>
          <w:p w14:paraId="5856D8B8" w14:textId="77777777" w:rsidR="004804C9" w:rsidRPr="00E04692" w:rsidRDefault="004804C9" w:rsidP="004804C9">
            <w:pPr>
              <w:rPr>
                <w:rFonts w:eastAsiaTheme="minorEastAsia"/>
              </w:rPr>
            </w:pPr>
          </w:p>
        </w:tc>
        <w:tc>
          <w:tcPr>
            <w:tcW w:w="11546" w:type="dxa"/>
          </w:tcPr>
          <w:p w14:paraId="16C4E49C"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Dehumanization of clinical relationship. The direct to consumer telemedicine.</w:t>
            </w:r>
          </w:p>
          <w:p w14:paraId="1A82FF61" w14:textId="77777777" w:rsidR="004804C9" w:rsidRPr="00E04692" w:rsidRDefault="004804C9" w:rsidP="004804C9">
            <w:pPr>
              <w:rPr>
                <w:rFonts w:eastAsiaTheme="minorEastAsia"/>
              </w:rPr>
            </w:pPr>
            <w:r w:rsidRPr="00E04692">
              <w:rPr>
                <w:rFonts w:eastAsiaTheme="minorEastAsia"/>
              </w:rPr>
              <w:t>Telemedicine has the potential to democratize health care, meet accessibility standards, reduce costs and provide access to services in rural and remote areas. On the other hand, it is an effective tool for emergency preparedness and reduces the gap between demand and supply of healthcare. Despite these advances, the application of telemedicine, known as Direct to Consumer (DTC), has been the subject of much debate, as it is characterized by assistance provided by technological means with limited or no prior face-to-face session with a treating physician, so that the collection of information and the patient's clinical history is done in a completely depersonalized manner. This paper addresses the problem of the feasibility of including the services provided by DTC telemedicine platforms in the regulations protecting consumer rights.</w:t>
            </w:r>
          </w:p>
          <w:p w14:paraId="2E8BE363" w14:textId="77777777" w:rsidR="004804C9" w:rsidRPr="00E04692" w:rsidRDefault="004804C9" w:rsidP="004804C9">
            <w:pPr>
              <w:rPr>
                <w:rFonts w:eastAsiaTheme="minorEastAsia"/>
              </w:rPr>
            </w:pPr>
            <w:r w:rsidRPr="00E04692">
              <w:rPr>
                <w:rFonts w:eastAsiaTheme="minorEastAsia"/>
              </w:rPr>
              <w:t>The hypothesis that the complex web of activities provided by a DTC telemedicine platform constitutes a consumer service is supported by a dogmatic method and a systematic literature review. This is even more true for those DTC telemedicine services that are completely asynchronous and focused on mass care and prescription of drugs.</w:t>
            </w:r>
          </w:p>
        </w:tc>
      </w:tr>
      <w:tr w:rsidR="004804C9" w:rsidRPr="00E04692" w14:paraId="7A4C58AF" w14:textId="77777777" w:rsidTr="00C45912">
        <w:tc>
          <w:tcPr>
            <w:tcW w:w="2199" w:type="dxa"/>
          </w:tcPr>
          <w:p w14:paraId="3DD49333"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Luzak, Joasia</w:t>
            </w:r>
          </w:p>
        </w:tc>
        <w:tc>
          <w:tcPr>
            <w:tcW w:w="11546" w:type="dxa"/>
          </w:tcPr>
          <w:p w14:paraId="1F1FEC1D"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Protecting consumers against their poison: Defects in digital content and digital services</w:t>
            </w:r>
          </w:p>
          <w:p w14:paraId="26B1CD2F" w14:textId="77777777" w:rsidR="004804C9" w:rsidRPr="00E04692" w:rsidRDefault="004804C9" w:rsidP="004804C9">
            <w:pPr>
              <w:rPr>
                <w:rFonts w:eastAsiaTheme="minorEastAsia"/>
              </w:rPr>
            </w:pPr>
            <w:r w:rsidRPr="00E04692">
              <w:rPr>
                <w:rFonts w:eastAsiaTheme="minorEastAsia"/>
              </w:rPr>
              <w:t>On March 12, 2024 the European Parliament adopted its position on the proposal for the new Directive on liability for defective products confirming the planned extension of the scope of its application to some digital content and digital services. This follows from the recognition that tangible consumer products increasingly include more digital content or are linked with digital services, which can cause harm to consumers through various subsequent updates of such digital content (or lack thereof) or improper performance of digital services. Further, aside such smart products, consumers increasingly purchase digital content or digital services not stored on a physical medium, and their defects also have a capability to cause consumers’ harm. However, the harm caused by such defects currently often would not have been included in the scope of either personal injury (psychological or wellbeing harm) or property damage (corruption or loss of data).</w:t>
            </w:r>
          </w:p>
          <w:p w14:paraId="0E1943D7" w14:textId="77777777" w:rsidR="004804C9" w:rsidRPr="00E04692" w:rsidRDefault="004804C9" w:rsidP="004804C9">
            <w:pPr>
              <w:rPr>
                <w:rFonts w:eastAsiaTheme="minorEastAsia"/>
              </w:rPr>
            </w:pPr>
            <w:r w:rsidRPr="00E04692">
              <w:rPr>
                <w:rFonts w:eastAsiaTheme="minorEastAsia"/>
              </w:rPr>
              <w:t>This presentation critically analyses the proposed changes to the EU product liability system regarding their application to defects in digital content and in digital services, types of harm they can cause and their inclusion within the scope of the personal injury or property damage, as well as consequences these changes have on the burden of proof. The main question addressed in this contribution is whether the new proposal is future-proof or whether the newly proposed rules already are unlikely to suffice to provide a high level of consumer protection on the modern marketplace.</w:t>
            </w:r>
          </w:p>
        </w:tc>
      </w:tr>
      <w:tr w:rsidR="004804C9" w:rsidRPr="00E04692" w14:paraId="1E446EA0" w14:textId="77777777" w:rsidTr="00C45912">
        <w:tc>
          <w:tcPr>
            <w:tcW w:w="2199" w:type="dxa"/>
          </w:tcPr>
          <w:p w14:paraId="5DF319A6"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Mak, Vanessa</w:t>
            </w:r>
          </w:p>
        </w:tc>
        <w:tc>
          <w:tcPr>
            <w:tcW w:w="11546" w:type="dxa"/>
          </w:tcPr>
          <w:p w14:paraId="522BDAAF"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Redefining Equality in European Contract Law</w:t>
            </w:r>
          </w:p>
          <w:p w14:paraId="77713C32" w14:textId="77777777" w:rsidR="004804C9" w:rsidRPr="00E04692" w:rsidRDefault="004804C9" w:rsidP="004804C9">
            <w:pPr>
              <w:rPr>
                <w:rFonts w:eastAsiaTheme="minorEastAsia"/>
              </w:rPr>
            </w:pPr>
            <w:r w:rsidRPr="00E04692">
              <w:rPr>
                <w:rFonts w:eastAsiaTheme="minorEastAsia"/>
              </w:rPr>
              <w:t xml:space="preserve">Consumers have in law been defined as the weaker parties in a transaction. Contract laws have integrated consumer protection with a view to balancing the interests of the parties, ensuring equal bargaining power and to some extent substantive fairness in contractual relations. Rules of consumer protection have therefore, from a contract lawyer’s perspective, been construed as expressions of a general principle of equality. The principle of equality, conceived in this way, complements the general principle of autonomy underlying contract law, which embodies the idea that parties should have the capacity for self-realisation. </w:t>
            </w:r>
          </w:p>
          <w:p w14:paraId="4E1F3516" w14:textId="77777777" w:rsidR="004804C9" w:rsidRPr="00E04692" w:rsidRDefault="004804C9" w:rsidP="004804C9">
            <w:pPr>
              <w:rPr>
                <w:rFonts w:eastAsiaTheme="minorEastAsia"/>
              </w:rPr>
            </w:pPr>
            <w:r w:rsidRPr="00E04692">
              <w:rPr>
                <w:rFonts w:eastAsiaTheme="minorEastAsia"/>
              </w:rPr>
              <w:t xml:space="preserve">Does this construction of consumer contract law still hold in EU consumer markets transformed by the rise of online platforms and the overall move towards an economy based on services and experiences rather than the sale of physical goods? Or do we need to redefine the principle of equality in European contract law in order to correct for new inequalities arising between consumers and businesses? This paper evaluates the principle of equality in European contract law. Building on an analysis of equality and the ‘framed autonomy’ of European contract law, it focuses on digital markets as a case study, aiming to determine whether new forms of inequality can be addressed through EU actions in the field of contract law. The conclusion is that the rules laid down in instruments such as the Unfair Commercial Practices Directive (UCPD) and the Unfair Contract Terms Directive (UCTD) can provide protection to consumers against exploitative practices. However, problems arise in cases where the interest at stake go beyond economic interests and concern also non-economic interests, such as data protection or freedom of expression. In other cases, as with content creation, the issues at stake relate to economic value, but not of the kind currently regarded as significant in the market for exchange. Solutions can be pursued, it is submitted, by the European legislator and the European Court of Justice, potentially using the EU Charter of Fundamental Rights as a catalyst for reform. </w:t>
            </w:r>
          </w:p>
        </w:tc>
      </w:tr>
      <w:tr w:rsidR="004804C9" w:rsidRPr="00E04692" w14:paraId="656D01C5" w14:textId="77777777" w:rsidTr="00C45912">
        <w:tc>
          <w:tcPr>
            <w:tcW w:w="2199" w:type="dxa"/>
          </w:tcPr>
          <w:p w14:paraId="4254BD9A"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Miglionico, Andrea</w:t>
            </w:r>
          </w:p>
        </w:tc>
        <w:tc>
          <w:tcPr>
            <w:tcW w:w="11546" w:type="dxa"/>
          </w:tcPr>
          <w:p w14:paraId="47FA8FBE" w14:textId="77777777" w:rsidR="004804C9" w:rsidRPr="00E04692" w:rsidRDefault="004804C9" w:rsidP="004804C9">
            <w:pPr>
              <w:rPr>
                <w:rFonts w:eastAsiaTheme="minorEastAsia"/>
                <w:b/>
                <w:bCs/>
                <w:u w:val="single"/>
              </w:rPr>
            </w:pPr>
            <w:r w:rsidRPr="00E04692">
              <w:rPr>
                <w:rFonts w:eastAsiaTheme="minorEastAsia"/>
                <w:b/>
                <w:bCs/>
              </w:rPr>
              <w:t>Consumer vulnerability in the UK Digital Markets, Competition and Consumers Bill</w:t>
            </w:r>
          </w:p>
          <w:p w14:paraId="72693AD8" w14:textId="77777777" w:rsidR="004804C9" w:rsidRPr="00E04692" w:rsidRDefault="004804C9" w:rsidP="004804C9">
            <w:pPr>
              <w:rPr>
                <w:rFonts w:eastAsiaTheme="minorEastAsia"/>
              </w:rPr>
            </w:pPr>
            <w:r w:rsidRPr="00E04692">
              <w:rPr>
                <w:rFonts w:eastAsiaTheme="minorEastAsia"/>
              </w:rPr>
              <w:t xml:space="preserve">The UK’s Digital Markets, Competition and Consumers Bill (DMCC) aims to address economies of scale and the increasing market power of digital platforms which may lead to biased prices and poor outcomes for consumers. The DMCC responds to the need of reducing anticompetitive practices in digital markets as well as prohibiting harmful behaviour of big tech companies. One of the key concerns is the outcomes that consumers in vulnerable circumstances receive, and whether they are as good as the outcomes of other consumers. Undesirable outcomes are designed (intentionally or in self-interested ignorance) to increase exclusion of minority groups, i.e. individuals with mental health issues, ethnicity, low-income households and disabled people. </w:t>
            </w:r>
          </w:p>
          <w:p w14:paraId="4A0373F8" w14:textId="77777777" w:rsidR="004804C9" w:rsidRPr="00E04692" w:rsidRDefault="004804C9" w:rsidP="004804C9">
            <w:pPr>
              <w:rPr>
                <w:rFonts w:eastAsiaTheme="minorEastAsia"/>
              </w:rPr>
            </w:pPr>
            <w:r w:rsidRPr="00E04692">
              <w:rPr>
                <w:rFonts w:eastAsiaTheme="minorEastAsia"/>
              </w:rPr>
              <w:t>The legislation identifies characteristics of vulnerability, such as age, physical or mental health and credulity, although it is far from clear whether the concept of “mental health” replaces the wording of “mental infirmity” (used in the Unfair Commercial Practices Directive) and introduces degree of flexibility when it comes to mental health conditions.</w:t>
            </w:r>
          </w:p>
          <w:p w14:paraId="0184C28C" w14:textId="77777777" w:rsidR="004804C9" w:rsidRPr="00E04692" w:rsidRDefault="004804C9" w:rsidP="004804C9">
            <w:pPr>
              <w:rPr>
                <w:rFonts w:eastAsiaTheme="minorEastAsia"/>
              </w:rPr>
            </w:pPr>
            <w:r w:rsidRPr="00E04692">
              <w:rPr>
                <w:rFonts w:eastAsiaTheme="minorEastAsia"/>
              </w:rPr>
              <w:t xml:space="preserve">The DMCC sets out some of the circumstances when a group of consumers may be vulnerable to commercial practices, or products relating to commercial practices. For example, aggressive practices focus on the exploitation of bargaining power in the consumer relationship which significantly limits the consumer’s ability to make an informed decision. However, the framework does not clarify when the vulnerability results from manipulative or unfair practices of the digital platforms. Specifically, the Bill does not mention digital vulnerability as a result of cognitive impairment (e.g., mental health), which may exploit disadvantaged conditions of unserved or underserved individuals. </w:t>
            </w:r>
          </w:p>
          <w:p w14:paraId="5D2812FB"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 xml:space="preserve">This contribution argues that the DMCC expands the concept of consumer vulnerability as a result of aspects of economic disadvantage. The Bill makes it clear that vulnerability should reflect a detrimental relationship rather than personal characteristics. Further, it removes the vulnerable consumer test that only applies where the practice is likely to distort the economic behaviour of the vulnerable group. Therefore, the Bill develops the category of protected characteristics including mental health and “circumstances they </w:t>
            </w:r>
            <w:r w:rsidRPr="00E04692">
              <w:rPr>
                <w:rFonts w:asciiTheme="majorHAnsi" w:eastAsiaTheme="majorEastAsia" w:hAnsiTheme="majorHAnsi" w:cstheme="majorBidi"/>
                <w:color w:val="0F4761" w:themeColor="accent1" w:themeShade="BF"/>
                <w:sz w:val="32"/>
                <w:szCs w:val="32"/>
              </w:rPr>
              <w:lastRenderedPageBreak/>
              <w:t>are in” as causes of vulnerability which may lead into a reclassification of those protected attributes.</w:t>
            </w:r>
          </w:p>
        </w:tc>
      </w:tr>
      <w:tr w:rsidR="004804C9" w:rsidRPr="00E04692" w14:paraId="08588011" w14:textId="77777777" w:rsidTr="00C45912">
        <w:tc>
          <w:tcPr>
            <w:tcW w:w="2199" w:type="dxa"/>
          </w:tcPr>
          <w:p w14:paraId="21E9DF06"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Schaub, Martien Y.</w:t>
            </w:r>
          </w:p>
        </w:tc>
        <w:tc>
          <w:tcPr>
            <w:tcW w:w="11546" w:type="dxa"/>
          </w:tcPr>
          <w:p w14:paraId="241DB7B5"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The role and responsibility of online marketplaces in EU law</w:t>
            </w:r>
          </w:p>
          <w:p w14:paraId="231D5C05" w14:textId="77777777" w:rsidR="004804C9" w:rsidRPr="00E04692" w:rsidRDefault="004804C9" w:rsidP="004804C9">
            <w:pPr>
              <w:rPr>
                <w:rFonts w:eastAsiaTheme="minorEastAsia"/>
              </w:rPr>
            </w:pPr>
            <w:r w:rsidRPr="00E04692">
              <w:rPr>
                <w:rFonts w:eastAsiaTheme="minorEastAsia"/>
              </w:rPr>
              <w:t>Online marketplaces facilitate the conclusion of contracts between their users. The users and the platform are in a three partite relationship with each other: the users first conclude a contract with the platform and subsequently they can conclude contracts with each other. The platform has a central and steering role when it comes to the contracts that are concluded between the users. For some time now, academia has argued that there is a need for clarification and legislative intervention regarding the position of the online intermediaries in this triangular constellation. It has been pointed out that the role of the platform and whether or not this role comes with certain responsibilities or liabilities needs to be clarified.</w:t>
            </w:r>
          </w:p>
          <w:p w14:paraId="385FE74F" w14:textId="77777777" w:rsidR="004804C9" w:rsidRPr="00E04692" w:rsidRDefault="004804C9" w:rsidP="004804C9">
            <w:pPr>
              <w:rPr>
                <w:rFonts w:eastAsiaTheme="minorEastAsia"/>
              </w:rPr>
            </w:pPr>
            <w:r w:rsidRPr="00E04692">
              <w:rPr>
                <w:rFonts w:eastAsiaTheme="minorEastAsia"/>
              </w:rPr>
              <w:t>In the recent past, the European Union has adopted several legal acts containing, amongst others, specific rules for online marketplaces, examples are Regulation (EU) 2022/2065 (Digital Services Act) and Directive 2019/2161 (Modernization Directive). The way the position of online marketplaces is addressed in these legislative acts is disappointing. The legislative approach towards the role and responsibility of online marketplaces is piecemeal and leaves to be desired from a consumer protection perspective. For example, the Modernization Directive only contains some information requirements and the Digital Services Act is unclear when it comes to the rights the consumer may exert towards online marketplaces.</w:t>
            </w:r>
          </w:p>
          <w:p w14:paraId="5239A414" w14:textId="77777777" w:rsidR="004804C9" w:rsidRPr="00E04692" w:rsidRDefault="004804C9" w:rsidP="004804C9">
            <w:pPr>
              <w:rPr>
                <w:rFonts w:eastAsiaTheme="minorEastAsia"/>
              </w:rPr>
            </w:pPr>
            <w:r w:rsidRPr="00E04692">
              <w:rPr>
                <w:rFonts w:eastAsiaTheme="minorEastAsia"/>
              </w:rPr>
              <w:t>In this contribution I will scrutinize the position of online marketplaces in relation to consumer contracts concluded via their platform in the current European legal framework and identify problems and gaps from a consumer protection perspective. The question that will be addressed is: what gaps and problems exist in the recently adopted legislative instruments regarding the role and responsibility of online marketplaces towards consumers and how can these be solved?</w:t>
            </w:r>
          </w:p>
        </w:tc>
      </w:tr>
      <w:tr w:rsidR="004804C9" w:rsidRPr="00E04692" w14:paraId="10E84542" w14:textId="77777777" w:rsidTr="00C45912">
        <w:tc>
          <w:tcPr>
            <w:tcW w:w="2199" w:type="dxa"/>
          </w:tcPr>
          <w:p w14:paraId="4635B5C3"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Christian Twigg-Flesner, Professor of Contract and Consumer Law, University of Warwick</w:t>
            </w:r>
          </w:p>
          <w:p w14:paraId="158ACC6A"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546" w:type="dxa"/>
          </w:tcPr>
          <w:p w14:paraId="08D0B86E"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“Preparing Consumer Law for AI-driven digital assistants”</w:t>
            </w:r>
          </w:p>
          <w:p w14:paraId="4A401719" w14:textId="77777777" w:rsidR="004804C9" w:rsidRPr="00E04692" w:rsidRDefault="004804C9" w:rsidP="004804C9">
            <w:pPr>
              <w:rPr>
                <w:rFonts w:eastAsiaTheme="minorEastAsia"/>
              </w:rPr>
            </w:pPr>
            <w:r w:rsidRPr="00E04692">
              <w:rPr>
                <w:rFonts w:eastAsiaTheme="minorEastAsia"/>
              </w:rPr>
              <w:t xml:space="preserve">There is considerable interest in the implications of using artificial intelligence technology (AI) for automating some or all the stages of a typical contract lifecycle as concrete instances of AI-driven contract automation are a realistic prospect. AI’s ability (depending on its design, programming and training) to make inferences from vast amounts of data and to take complex decisions makes it possible to take humans taken out of the contract decision-making loop, particularly at the point of contract formation.  AI systems are adaptive and therefore agile and responsive to both data and other variables, which is a step change from earlier means of automation through deterministic algorithms which, like mechanical processes, provide a pre-set pattern of decision-making. The potential for “digital assistants” taking over routine contracting decisions based on data-driven user profiling is no longer fanciful. </w:t>
            </w:r>
          </w:p>
          <w:p w14:paraId="17C2EA55" w14:textId="77777777" w:rsidR="004804C9" w:rsidRPr="00E04692" w:rsidRDefault="004804C9" w:rsidP="004804C9">
            <w:pPr>
              <w:rPr>
                <w:rFonts w:eastAsiaTheme="minorEastAsia"/>
              </w:rPr>
            </w:pPr>
            <w:r w:rsidRPr="00E04692">
              <w:rPr>
                <w:rFonts w:eastAsiaTheme="minorEastAsia"/>
              </w:rPr>
              <w:t xml:space="preserve">Such developments will raise questions for Consumer Law, both regarding its general fitness for AI-driven contracting and the wider underpinnings of Consumer Law. Not only does the adaptive capacity of AI raise questions over attribution of decisions and knowledge, but also how one should deal with instances when something has “gone wrong”, e.g., an entirely unexpected decision by an AI system (for one example see the recent Canadian small claims tribunal case </w:t>
            </w:r>
            <w:r w:rsidRPr="00E04692">
              <w:rPr>
                <w:rFonts w:eastAsiaTheme="minorEastAsia"/>
                <w:i/>
                <w:iCs/>
              </w:rPr>
              <w:t>Moffat v Air Canada</w:t>
            </w:r>
            <w:r w:rsidRPr="00E04692">
              <w:rPr>
                <w:rFonts w:eastAsiaTheme="minorEastAsia"/>
              </w:rPr>
              <w:t xml:space="preserve"> (2024) involving a chatbot giving incorrect advice).  </w:t>
            </w:r>
          </w:p>
          <w:p w14:paraId="2BA486F6" w14:textId="77777777" w:rsidR="004804C9" w:rsidRPr="00E04692" w:rsidRDefault="004804C9" w:rsidP="004804C9">
            <w:pPr>
              <w:rPr>
                <w:rFonts w:eastAsiaTheme="minorEastAsia"/>
              </w:rPr>
            </w:pPr>
            <w:r w:rsidRPr="00E04692">
              <w:rPr>
                <w:rFonts w:eastAsiaTheme="minorEastAsia"/>
              </w:rPr>
              <w:t xml:space="preserve">This paper will explore what the potential introduction of AI-driven digital assistants might mean for consumer law and how one might adapt consumer law in a way that does not disregard the need to ensure strong consumer protection for those consumers who do not wish to utilise such digital assistants. Here, the work of the European Law Institute (ELI) in its project on “Guiding Principles and Model Rules for Algorithmic Contracts” (I am a co-reporter) has already identified many issues, and work on developing guiding principles and model rules for algorithmic consumer contracts is in progress. This paper will look beyond ELI’s work to ask how consumer law in Europe can be made “AI-ready”.  </w:t>
            </w:r>
          </w:p>
          <w:p w14:paraId="61DA5B2A"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p>
        </w:tc>
      </w:tr>
      <w:tr w:rsidR="004804C9" w:rsidRPr="00E04692" w14:paraId="141B0293" w14:textId="77777777" w:rsidTr="00C45912">
        <w:tc>
          <w:tcPr>
            <w:tcW w:w="2199" w:type="dxa"/>
          </w:tcPr>
          <w:p w14:paraId="39B5B724"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 xml:space="preserve">Chris Willett, </w:t>
            </w:r>
          </w:p>
          <w:p w14:paraId="0B3FA278"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546" w:type="dxa"/>
          </w:tcPr>
          <w:p w14:paraId="23488686"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Customer Service: New Consumer Surplus</w:t>
            </w:r>
          </w:p>
          <w:p w14:paraId="305D8D9C" w14:textId="77777777" w:rsidR="004804C9" w:rsidRPr="00E04692" w:rsidRDefault="004804C9" w:rsidP="004804C9">
            <w:pPr>
              <w:rPr>
                <w:rFonts w:ascii="Arial" w:eastAsiaTheme="minorEastAsia" w:hAnsi="Arial" w:cs="Arial"/>
              </w:rPr>
            </w:pPr>
            <w:r w:rsidRPr="00E04692">
              <w:rPr>
                <w:rFonts w:ascii="Arial" w:eastAsiaTheme="minorEastAsia" w:hAnsi="Arial" w:cs="Arial"/>
              </w:rPr>
              <w:t>The idea is to identify overlooked consumer surplus losses arising in the context of dispute resolution (especially in a digital context); the legal gaps or at best uncertainty in coverage of these issues; and to begin to construct a more tailored regime to deal with the problem.</w:t>
            </w:r>
          </w:p>
          <w:p w14:paraId="100E65BA" w14:textId="77777777" w:rsidR="004804C9" w:rsidRPr="00E04692" w:rsidRDefault="004804C9" w:rsidP="004804C9">
            <w:pPr>
              <w:rPr>
                <w:rFonts w:ascii="Arial" w:eastAsiaTheme="minorEastAsia" w:hAnsi="Arial" w:cs="Arial"/>
              </w:rPr>
            </w:pPr>
            <w:r w:rsidRPr="00E04692">
              <w:rPr>
                <w:rFonts w:ascii="Arial" w:eastAsiaTheme="minorEastAsia" w:hAnsi="Arial" w:cs="Arial"/>
              </w:rPr>
              <w:t xml:space="preserve">When consumers are in disputes either over the trader’s alleged default or the consumer’s alleged default, they suffer enormous time loss, inconvenience, and stress; as a result of delays, costs, Kafkaesque systems, chatbots, mistakes, obfuscation, deception, and pressure. More research is needed on the psychological effects. </w:t>
            </w:r>
          </w:p>
          <w:p w14:paraId="13615210" w14:textId="77777777" w:rsidR="004804C9" w:rsidRPr="00E04692" w:rsidRDefault="004804C9" w:rsidP="004804C9">
            <w:pPr>
              <w:rPr>
                <w:rFonts w:ascii="Arial" w:eastAsiaTheme="minorEastAsia" w:hAnsi="Arial" w:cs="Arial"/>
              </w:rPr>
            </w:pPr>
            <w:r w:rsidRPr="00E04692">
              <w:rPr>
                <w:rFonts w:ascii="Arial" w:eastAsiaTheme="minorEastAsia" w:hAnsi="Arial" w:cs="Arial"/>
              </w:rPr>
              <w:t xml:space="preserve">Where the issue is delays/failure to provide appropriate remedies to the consumer for trader breach, there are clear gaps in the capacity of the unfair practices regime to compensate for the resultant time loss, inconvenience, and distress: some delaying, obsfucatory, Kafkaesque behaviour may not cross the misleading/aggressive practice threshold; and even if it does, damages are triggered by making a payment or entering a contract, not (the likely result here) simply giving up a claim. </w:t>
            </w:r>
          </w:p>
          <w:p w14:paraId="1795D9DA" w14:textId="77777777" w:rsidR="004804C9" w:rsidRPr="00E04692" w:rsidRDefault="004804C9" w:rsidP="004804C9">
            <w:pPr>
              <w:rPr>
                <w:rFonts w:ascii="Arial" w:eastAsiaTheme="minorEastAsia" w:hAnsi="Arial" w:cs="Arial"/>
              </w:rPr>
            </w:pPr>
            <w:r w:rsidRPr="00E04692">
              <w:rPr>
                <w:rFonts w:ascii="Arial" w:eastAsiaTheme="minorEastAsia" w:hAnsi="Arial" w:cs="Arial"/>
              </w:rPr>
              <w:t xml:space="preserve">What if the trader pursues the consumer for an alleged default, causing loss of time, inconvenience, and distress e.g., via deception, pressure, delays in responding to consumer communications etc?  Again, the bad behaviour may not cross the misleading/aggressive practice threshold, and even if it does, (a) why should I need to make the payment I allegedly owe to trigger my right to compensation? (b) if I do pay up it is questionable whether I can be compensated for the time loss, distress suffered prior to making the payment. </w:t>
            </w:r>
          </w:p>
          <w:p w14:paraId="6AD32FD9" w14:textId="77777777" w:rsidR="004804C9" w:rsidRPr="00E04692" w:rsidRDefault="004804C9" w:rsidP="004804C9">
            <w:pPr>
              <w:rPr>
                <w:rFonts w:ascii="Arial" w:eastAsiaTheme="minorEastAsia" w:hAnsi="Arial" w:cs="Arial"/>
              </w:rPr>
            </w:pPr>
            <w:r w:rsidRPr="00E04692">
              <w:rPr>
                <w:rFonts w:ascii="Arial" w:eastAsiaTheme="minorEastAsia" w:hAnsi="Arial" w:cs="Arial"/>
              </w:rPr>
              <w:t xml:space="preserve">What about a breach of contract claim to compensate time loss, inconvenience, and distress, caused by unfair behaviour either in resisting consumer claims or in enforcing against consumers? Here there are various uncertainties and clear gaps: E.g., in a service contract is the reasonable care obligation still in existence at the dispute stage? Is there </w:t>
            </w:r>
            <w:r w:rsidRPr="00E04692">
              <w:rPr>
                <w:rFonts w:ascii="Arial" w:eastAsiaTheme="minorEastAsia" w:hAnsi="Arial" w:cs="Arial"/>
                <w:i/>
                <w:iCs/>
              </w:rPr>
              <w:t>any</w:t>
            </w:r>
            <w:r w:rsidRPr="00E04692">
              <w:rPr>
                <w:rFonts w:ascii="Arial" w:eastAsiaTheme="minorEastAsia" w:hAnsi="Arial" w:cs="Arial"/>
              </w:rPr>
              <w:t xml:space="preserve"> obligation to ground a claim in a goods or digital contents contract? Excludability of relevant obligation/liability.</w:t>
            </w:r>
          </w:p>
          <w:p w14:paraId="42DF85C1" w14:textId="77777777" w:rsidR="004804C9" w:rsidRPr="00E04692" w:rsidRDefault="004804C9" w:rsidP="004804C9">
            <w:pPr>
              <w:rPr>
                <w:rFonts w:eastAsiaTheme="minorEastAsia"/>
              </w:rPr>
            </w:pPr>
            <w:r w:rsidRPr="00E04692">
              <w:rPr>
                <w:rFonts w:ascii="Arial" w:eastAsiaTheme="minorEastAsia" w:hAnsi="Arial" w:cs="Arial"/>
              </w:rPr>
              <w:t xml:space="preserve">Piecemeal reform of the above rules would be messy and inaccessible. We need a dedicated dispute resolution regime providing for compensation in the above situations for practices that are misleading or aggressive, but also that are unfair in other reasonably well-defined ways e.g., unreasonable delays.  </w:t>
            </w:r>
          </w:p>
        </w:tc>
      </w:tr>
      <w:tr w:rsidR="004804C9" w:rsidRPr="00E04692" w14:paraId="5A8DBC70" w14:textId="77777777" w:rsidTr="00C45912">
        <w:tc>
          <w:tcPr>
            <w:tcW w:w="2199" w:type="dxa"/>
          </w:tcPr>
          <w:p w14:paraId="6B3E837D"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O’Brien, Russell</w:t>
            </w:r>
          </w:p>
        </w:tc>
        <w:tc>
          <w:tcPr>
            <w:tcW w:w="11546" w:type="dxa"/>
          </w:tcPr>
          <w:p w14:paraId="58473431"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Addressing consumer harms in the digital environment through the UK’s competition law collective proceedings regime</w:t>
            </w:r>
          </w:p>
          <w:p w14:paraId="3EAA174A" w14:textId="77777777" w:rsidR="004804C9" w:rsidRPr="00E04692" w:rsidRDefault="004804C9" w:rsidP="004804C9">
            <w:pPr>
              <w:rPr>
                <w:rFonts w:eastAsiaTheme="minorEastAsia"/>
              </w:rPr>
            </w:pPr>
            <w:r w:rsidRPr="00E04692">
              <w:rPr>
                <w:rFonts w:eastAsiaTheme="minorEastAsia"/>
              </w:rPr>
              <w:t>Enforcing consumer law is difficult. Public authorities face resource constraints that require careful prioritisation. Individual private cases naturally have a limited effect on righting market wide wrongs.  A class action regime would be more effective in enforcing consumer rights than individual claims. However the Digital Markets Competition and Consumer bill has not created such a regime for consumer law, while the representative proceedings option under CPR 19.8 has proved to be, following Lloyd v Google, a damp squib.</w:t>
            </w:r>
          </w:p>
          <w:p w14:paraId="1E4C4368" w14:textId="77777777" w:rsidR="004804C9" w:rsidRPr="00E04692" w:rsidRDefault="004804C9" w:rsidP="004804C9">
            <w:pPr>
              <w:rPr>
                <w:rFonts w:eastAsiaTheme="minorEastAsia"/>
              </w:rPr>
            </w:pPr>
            <w:r w:rsidRPr="00E04692">
              <w:rPr>
                <w:rFonts w:eastAsiaTheme="minorEastAsia"/>
              </w:rPr>
              <w:t xml:space="preserve">This article contends that the UK’s competition law collective proceedings regime (CCPR) gives an opportunity for more invigorated enforcement of consumer rights in the digital environment in the UK. </w:t>
            </w:r>
          </w:p>
          <w:p w14:paraId="6EC2B83B" w14:textId="77777777" w:rsidR="004804C9" w:rsidRPr="00E04692" w:rsidRDefault="004804C9" w:rsidP="004804C9">
            <w:pPr>
              <w:rPr>
                <w:rFonts w:eastAsiaTheme="minorEastAsia"/>
              </w:rPr>
            </w:pPr>
            <w:r w:rsidRPr="00E04692">
              <w:rPr>
                <w:rFonts w:eastAsiaTheme="minorEastAsia"/>
              </w:rPr>
              <w:t>First, recent judgments have eased the bringing of “quasi-consumer cases” through competition law. The steer from the Supreme Court in Merricks is that the CCPR is to improve access to justice for consumers. Subsequent judgments from the CAT and Court of Appeal, such as Gutmann, have affirmed this approach, and provided greater clarity on bringing exploitative abuse cases.</w:t>
            </w:r>
          </w:p>
          <w:p w14:paraId="3F22AC44" w14:textId="77777777" w:rsidR="004804C9" w:rsidRPr="00E04692" w:rsidRDefault="004804C9" w:rsidP="004804C9">
            <w:pPr>
              <w:rPr>
                <w:rFonts w:eastAsiaTheme="minorEastAsia"/>
              </w:rPr>
            </w:pPr>
            <w:r w:rsidRPr="00E04692">
              <w:rPr>
                <w:rFonts w:eastAsiaTheme="minorEastAsia"/>
              </w:rPr>
              <w:t>Second, the CCPR is particularly well suited to bringing cases in the digital environment. Due to network effects and the tendency for digital markets to tip, dominant companies are common. These cases are likely to continue even as the DMU gets going, as the presence of a sectoral regulator does not preclude the application of competition law.</w:t>
            </w:r>
          </w:p>
          <w:p w14:paraId="303777DC" w14:textId="77777777" w:rsidR="004804C9" w:rsidRPr="00E04692" w:rsidRDefault="004804C9" w:rsidP="004804C9">
            <w:pPr>
              <w:rPr>
                <w:rFonts w:eastAsiaTheme="minorEastAsia"/>
              </w:rPr>
            </w:pPr>
            <w:r w:rsidRPr="00E04692">
              <w:rPr>
                <w:rFonts w:eastAsiaTheme="minorEastAsia"/>
              </w:rPr>
              <w:t>Third, that the list of abuses under Chapter II is non-exhaustive means competition law can address a range of consumer harms, whether this concerns the use of consumer data, phone batteries or misleading statements. This breadth is especially advantageous in the digital environment where novel harms can arise quickly. Furthermore, competition law can also consider breaches of other laws to evidence an abuse. Therefore, privacy and consumer law could be expressly cited in showing an abuse. Competition law is also unique in prohibiting unfair pricing. However, the courts' traditional reluctance to intervene in pricing may make this difficult to argue.</w:t>
            </w:r>
          </w:p>
          <w:p w14:paraId="5AFDED84" w14:textId="77777777" w:rsidR="004804C9" w:rsidRPr="00E04692" w:rsidRDefault="004804C9" w:rsidP="004804C9">
            <w:pPr>
              <w:rPr>
                <w:rFonts w:eastAsiaTheme="minorEastAsia"/>
              </w:rPr>
            </w:pPr>
            <w:r w:rsidRPr="00E04692">
              <w:rPr>
                <w:rFonts w:eastAsiaTheme="minorEastAsia"/>
              </w:rPr>
              <w:t>The article will note the complexities within the CCPR and competition law, but conclude the potential for invigorated enforcement is certainly there.</w:t>
            </w:r>
          </w:p>
        </w:tc>
      </w:tr>
      <w:tr w:rsidR="004804C9" w:rsidRPr="00E04692" w14:paraId="0C3F2D64" w14:textId="77777777" w:rsidTr="00C45912">
        <w:tc>
          <w:tcPr>
            <w:tcW w:w="2199" w:type="dxa"/>
          </w:tcPr>
          <w:p w14:paraId="0A830C94" w14:textId="77777777" w:rsidR="004804C9" w:rsidRPr="00E04692" w:rsidRDefault="004804C9" w:rsidP="004804C9">
            <w:pPr>
              <w:keepNext/>
              <w:keepLines/>
              <w:spacing w:before="160" w:after="80"/>
              <w:outlineLvl w:val="1"/>
              <w:rPr>
                <w:rFonts w:asciiTheme="majorHAnsi" w:eastAsiaTheme="majorEastAsia" w:hAnsiTheme="majorHAnsi" w:cstheme="majorBidi"/>
                <w:b/>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Karkatzounis,</w:t>
            </w:r>
            <w:r w:rsidRPr="00E04692">
              <w:rPr>
                <w:rFonts w:asciiTheme="majorHAnsi" w:eastAsiaTheme="majorEastAsia" w:hAnsiTheme="majorHAnsi" w:cstheme="majorBidi"/>
                <w:b/>
                <w:color w:val="0F4761" w:themeColor="accent1" w:themeShade="BF"/>
                <w:sz w:val="32"/>
                <w:szCs w:val="32"/>
              </w:rPr>
              <w:t xml:space="preserve"> Vassilis</w:t>
            </w:r>
          </w:p>
          <w:p w14:paraId="60862EDA" w14:textId="77777777" w:rsidR="004804C9" w:rsidRPr="00E04692" w:rsidRDefault="004804C9" w:rsidP="004804C9">
            <w:pPr>
              <w:rPr>
                <w:rFonts w:eastAsiaTheme="minorEastAsia"/>
                <w:b/>
              </w:rPr>
            </w:pPr>
            <w:r w:rsidRPr="00E04692">
              <w:rPr>
                <w:rFonts w:eastAsiaTheme="minorEastAsia"/>
                <w:b/>
              </w:rPr>
              <w:t xml:space="preserve">Margaritis, Evangelos </w:t>
            </w:r>
          </w:p>
          <w:p w14:paraId="16C05E07" w14:textId="77777777" w:rsidR="004804C9" w:rsidRPr="00E04692" w:rsidRDefault="004804C9" w:rsidP="004804C9">
            <w:pPr>
              <w:rPr>
                <w:rFonts w:eastAsiaTheme="minorEastAsia"/>
              </w:rPr>
            </w:pPr>
            <w:r w:rsidRPr="00E04692">
              <w:rPr>
                <w:rFonts w:eastAsiaTheme="minorEastAsia"/>
                <w:b/>
              </w:rPr>
              <w:t>Mitrou, Lilian</w:t>
            </w:r>
          </w:p>
        </w:tc>
        <w:tc>
          <w:tcPr>
            <w:tcW w:w="11546" w:type="dxa"/>
          </w:tcPr>
          <w:p w14:paraId="6CE3FD8B" w14:textId="77777777" w:rsidR="004804C9" w:rsidRPr="00E04692" w:rsidRDefault="004804C9" w:rsidP="004804C9">
            <w:pPr>
              <w:shd w:val="clear" w:color="auto" w:fill="FFFFFF"/>
              <w:suppressAutoHyphens/>
              <w:rPr>
                <w:rFonts w:ascii="Arial" w:eastAsia="Arial" w:hAnsi="Arial" w:cs="Arial"/>
                <w:b/>
                <w:kern w:val="0"/>
                <w:sz w:val="22"/>
                <w:szCs w:val="22"/>
                <w:lang w:eastAsia="zh-CN" w:bidi="hi-IN"/>
                <w14:ligatures w14:val="none"/>
              </w:rPr>
            </w:pPr>
            <w:r w:rsidRPr="00E04692">
              <w:rPr>
                <w:rFonts w:ascii="Arial" w:eastAsia="Arial" w:hAnsi="Arial" w:cs="Arial"/>
                <w:b/>
                <w:kern w:val="0"/>
                <w:sz w:val="22"/>
                <w:szCs w:val="22"/>
                <w:lang w:eastAsia="zh-CN" w:bidi="hi-IN"/>
                <w14:ligatures w14:val="none"/>
              </w:rPr>
              <w:t>Online Advertising and the 'Consent or Pay' Model: equivalent alternatives or a false dilemma?</w:t>
            </w:r>
          </w:p>
          <w:p w14:paraId="0182B6E2" w14:textId="77777777" w:rsidR="004804C9" w:rsidRPr="00E04692" w:rsidRDefault="004804C9" w:rsidP="004804C9">
            <w:pPr>
              <w:shd w:val="clear" w:color="auto" w:fill="FFFFFF"/>
              <w:suppressAutoHyphens/>
              <w:rPr>
                <w:rFonts w:ascii="Arial" w:eastAsia="Arial" w:hAnsi="Arial" w:cs="Arial"/>
                <w:kern w:val="0"/>
                <w:sz w:val="22"/>
                <w:szCs w:val="22"/>
                <w:lang w:eastAsia="zh-CN" w:bidi="hi-IN"/>
                <w14:ligatures w14:val="none"/>
              </w:rPr>
            </w:pPr>
            <w:r w:rsidRPr="00E04692">
              <w:rPr>
                <w:rFonts w:ascii="Arial" w:eastAsia="Arial" w:hAnsi="Arial" w:cs="Arial"/>
                <w:kern w:val="0"/>
                <w:sz w:val="22"/>
                <w:szCs w:val="22"/>
                <w:lang w:eastAsia="zh-CN" w:bidi="hi-IN"/>
                <w14:ligatures w14:val="none"/>
              </w:rPr>
              <w:t>This paper conducts a comprehensive analysis of the 'Consent or Pay' model, a strategy increasingly adopted by a wide spectrum of online platforms, from industry giants to niche websites. Termed alternatively as 'paywall' and 'pay or consent', this model typically offers users a binary choice to either allow the processing of their data for (predominantly behavioural) advertising or to pay a monetary fee for accessing services without their data being processed for such purposes.</w:t>
            </w:r>
          </w:p>
          <w:p w14:paraId="0EAEB979" w14:textId="77777777" w:rsidR="004804C9" w:rsidRPr="00E04692" w:rsidRDefault="004804C9" w:rsidP="004804C9">
            <w:pPr>
              <w:shd w:val="clear" w:color="auto" w:fill="FFFFFF"/>
              <w:suppressAutoHyphens/>
              <w:rPr>
                <w:rFonts w:ascii="Arial" w:eastAsia="Arial" w:hAnsi="Arial" w:cs="Arial"/>
                <w:kern w:val="0"/>
                <w:sz w:val="22"/>
                <w:szCs w:val="22"/>
                <w:lang w:eastAsia="zh-CN" w:bidi="hi-IN"/>
                <w14:ligatures w14:val="none"/>
              </w:rPr>
            </w:pPr>
            <w:r w:rsidRPr="00E04692">
              <w:rPr>
                <w:rFonts w:ascii="Arial" w:eastAsia="Arial" w:hAnsi="Arial" w:cs="Arial"/>
                <w:kern w:val="0"/>
                <w:sz w:val="22"/>
                <w:szCs w:val="22"/>
                <w:lang w:eastAsia="zh-CN" w:bidi="hi-IN"/>
                <w14:ligatures w14:val="none"/>
              </w:rPr>
              <w:t>Traditionally, offering online services at no financial cost - realistically, in exchange for personal data or user attention - has been central to online business models. However, the emergence of the 'Consent or Pay' model not only reinforces existing concerns but also introduces complex new challenges to established principles of consumer and data protection law.</w:t>
            </w:r>
          </w:p>
          <w:p w14:paraId="600E015E" w14:textId="77777777" w:rsidR="004804C9" w:rsidRPr="00E04692" w:rsidRDefault="004804C9" w:rsidP="004804C9">
            <w:pPr>
              <w:shd w:val="clear" w:color="auto" w:fill="FFFFFF"/>
              <w:suppressAutoHyphens/>
              <w:rPr>
                <w:rFonts w:ascii="Arial" w:eastAsia="Arial" w:hAnsi="Arial" w:cs="Arial"/>
                <w:kern w:val="0"/>
                <w:sz w:val="22"/>
                <w:szCs w:val="22"/>
                <w:lang w:eastAsia="zh-CN" w:bidi="hi-IN"/>
                <w14:ligatures w14:val="none"/>
              </w:rPr>
            </w:pPr>
            <w:r w:rsidRPr="00E04692">
              <w:rPr>
                <w:rFonts w:ascii="Arial" w:eastAsia="Arial" w:hAnsi="Arial" w:cs="Arial"/>
                <w:kern w:val="0"/>
                <w:sz w:val="22"/>
                <w:szCs w:val="22"/>
                <w:lang w:eastAsia="zh-CN" w:bidi="hi-IN"/>
                <w14:ligatures w14:val="none"/>
              </w:rPr>
              <w:t>This article adopts a holistic approach to the 'Consent or Pay' model, scrutinising critical dogmatic tenets and potential misconceptions, such as the notion that personal data should be a non-tradable commodity and the inherent limitations of 'free' consent in contexts where advertising revenues critically underpin platform operations. Amidst these examinations, the imperative necessity to rigorously enforce consumer and data privacy regulations remains a key pillar in the policy-making discussion.</w:t>
            </w:r>
          </w:p>
          <w:p w14:paraId="14575126" w14:textId="77777777" w:rsidR="004804C9" w:rsidRPr="00E04692" w:rsidRDefault="004804C9" w:rsidP="004804C9">
            <w:pPr>
              <w:shd w:val="clear" w:color="auto" w:fill="FFFFFF"/>
              <w:suppressAutoHyphens/>
              <w:rPr>
                <w:rFonts w:ascii="Arial" w:eastAsia="Arial" w:hAnsi="Arial" w:cs="Arial"/>
                <w:kern w:val="0"/>
                <w:sz w:val="22"/>
                <w:szCs w:val="22"/>
                <w:lang w:eastAsia="zh-CN" w:bidi="hi-IN"/>
                <w14:ligatures w14:val="none"/>
              </w:rPr>
            </w:pPr>
            <w:r w:rsidRPr="00E04692">
              <w:rPr>
                <w:rFonts w:ascii="Arial" w:eastAsia="Arial" w:hAnsi="Arial" w:cs="Arial"/>
                <w:kern w:val="0"/>
                <w:sz w:val="22"/>
                <w:szCs w:val="22"/>
                <w:lang w:eastAsia="zh-CN" w:bidi="hi-IN"/>
                <w14:ligatures w14:val="none"/>
              </w:rPr>
              <w:t>This paper critically examines the ‘Consent or Pay’ model following a four-stage analysis. It first explores the legal conditions and market dynamics that have facilitated the proliferation of the 'Pay or OK' model across various platforms, including news websites and social media. The paper then delves into the core challenges regarding consumer protection, data protection and privacy, focusing on transparency, user’s genuine choice, and the exercise of users’ rights. Subsequently, the paper presents an analysis of empirical data gathered on user attitudes towards online advertising and the 'Consent or Pay' model. Finally, the article assesses whether the 'Consent or Pay' model constitutes a fair business practice for offering online services or whether it poses a false dilemma to internet users.</w:t>
            </w:r>
          </w:p>
          <w:p w14:paraId="74D0E070" w14:textId="77777777" w:rsidR="004804C9" w:rsidRPr="00E04692" w:rsidRDefault="004804C9" w:rsidP="004804C9">
            <w:pPr>
              <w:rPr>
                <w:rFonts w:eastAsiaTheme="minorEastAsia"/>
              </w:rPr>
            </w:pPr>
            <w:r w:rsidRPr="00E04692">
              <w:rPr>
                <w:rFonts w:eastAsiaTheme="minorEastAsia"/>
              </w:rPr>
              <w:t>Overall, this paper seeks to determine whether the 'Consent or Pay' model enhances or undermines the autonomy of users within the digital economy, fostering a critical discourse on its legal viability.</w:t>
            </w:r>
          </w:p>
        </w:tc>
      </w:tr>
      <w:tr w:rsidR="004804C9" w:rsidRPr="00E04692" w14:paraId="1FF9999F" w14:textId="77777777" w:rsidTr="00C45912">
        <w:tc>
          <w:tcPr>
            <w:tcW w:w="2199" w:type="dxa"/>
          </w:tcPr>
          <w:p w14:paraId="6EBCFCD0"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Çilenti-Konuralp Ayşen</w:t>
            </w:r>
          </w:p>
        </w:tc>
        <w:tc>
          <w:tcPr>
            <w:tcW w:w="11546" w:type="dxa"/>
          </w:tcPr>
          <w:p w14:paraId="633BAD33"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Consumers' Right of Withdrawal: A Determent for Digital Markets?</w:t>
            </w:r>
          </w:p>
          <w:p w14:paraId="03705E44" w14:textId="77777777" w:rsidR="004804C9" w:rsidRPr="00E04692" w:rsidRDefault="004804C9" w:rsidP="004804C9">
            <w:pPr>
              <w:rPr>
                <w:rFonts w:eastAsiaTheme="majorEastAsia"/>
              </w:rPr>
            </w:pPr>
            <w:r w:rsidRPr="00E04692">
              <w:rPr>
                <w:rFonts w:eastAsiaTheme="majorEastAsia"/>
              </w:rPr>
              <w:tab/>
              <w:t>Consumer protection for the contracts made in digital environments has a specific importance. This is because the consumer who makes a distance contract becomes bound by a contract without the opportunity to directly examine the product or service. For this reason, the EU Consumer Rights Directive (2011/83) regulates the right of withdrawal in detail for the special protection of the consumer in distance contracts. Many EU member states have included these regulations in their domestic laws through legislation. Although not a member, Türkiye's Law on Consumer Protection (No:6502) is also one of the laws affected by the EU Directive.</w:t>
            </w:r>
          </w:p>
          <w:p w14:paraId="08DCF6ED" w14:textId="77777777" w:rsidR="004804C9" w:rsidRPr="00E04692" w:rsidRDefault="004804C9" w:rsidP="004804C9">
            <w:pPr>
              <w:rPr>
                <w:rFonts w:eastAsiaTheme="majorEastAsia"/>
              </w:rPr>
            </w:pPr>
            <w:r w:rsidRPr="00E04692">
              <w:rPr>
                <w:rFonts w:eastAsiaTheme="majorEastAsia"/>
              </w:rPr>
              <w:tab/>
              <w:t>There are many exceptions to the right of withdrawal for goods and services. Also, exercise of right of withdrawal by the consumer has certain prerequisites. The limitations on the use of right of withdrawal are crucial for this right to genuinely serve its ultimate purpose. This is because the increase in the economic burden caused by the right of withdrawal on the trader may affect the preference for digital transactions and direct the trader to traditional shopping environments, ultimately causing an increase in consumer prices. In Türkiye specifically, these exceptions have been expanded for many electronic products and the withdrawal costs have been reformed by the amendment that came into force in 2022. In practice, for a long time, traders had resisted the exercise of right of withdrawal on smart devices to prevent frauds such as device copying, and legal disputes were brought to consumer courts. Thus, such amendment was made. This amendment recalls the following question: Is the lawmaker allowing a regression in the field of consumer protection? This question must be handled in the light of economic analysis of consumer protection, more specifically the right of withdrawal. On that matter, possibility of these exceptions gradually increasing in domestic laws, continuity of the preference for transacting in the digital environment, and the fact that the right of withdrawal is a tool that can be used in a way that does not disrupt the balance of the market, are issues that need to be discussed in terms of economic analysis of the law.</w:t>
            </w:r>
          </w:p>
        </w:tc>
      </w:tr>
      <w:tr w:rsidR="004804C9" w:rsidRPr="00E04692" w14:paraId="2EF8E9B8" w14:textId="77777777" w:rsidTr="00C45912">
        <w:tc>
          <w:tcPr>
            <w:tcW w:w="2199" w:type="dxa"/>
          </w:tcPr>
          <w:p w14:paraId="45873317"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imes New Roman" w:hAnsiTheme="majorHAnsi" w:cstheme="minorHAnsi"/>
                <w:i/>
                <w:iCs/>
                <w:color w:val="0F4761" w:themeColor="accent1" w:themeShade="BF"/>
                <w:sz w:val="22"/>
                <w:szCs w:val="22"/>
                <w:lang w:eastAsia="de-DE"/>
              </w:rPr>
              <w:lastRenderedPageBreak/>
              <w:t>Busch, Christoph</w:t>
            </w:r>
          </w:p>
        </w:tc>
        <w:tc>
          <w:tcPr>
            <w:tcW w:w="11546" w:type="dxa"/>
          </w:tcPr>
          <w:p w14:paraId="6EBFDA63" w14:textId="77777777" w:rsidR="004804C9" w:rsidRPr="00E04692" w:rsidRDefault="004804C9" w:rsidP="004804C9">
            <w:pPr>
              <w:keepNext/>
              <w:keepLines/>
              <w:spacing w:before="160" w:after="80"/>
              <w:outlineLvl w:val="1"/>
              <w:rPr>
                <w:rFonts w:asciiTheme="majorHAnsi" w:eastAsia="Times New Roman" w:hAnsiTheme="majorHAnsi" w:cstheme="majorBidi"/>
                <w:color w:val="0F4761" w:themeColor="accent1" w:themeShade="BF"/>
                <w:sz w:val="32"/>
                <w:szCs w:val="32"/>
                <w:lang w:eastAsia="de-DE"/>
              </w:rPr>
            </w:pPr>
            <w:r w:rsidRPr="00E04692">
              <w:rPr>
                <w:rFonts w:asciiTheme="majorHAnsi" w:eastAsia="Times New Roman" w:hAnsiTheme="majorHAnsi" w:cstheme="majorBidi"/>
                <w:color w:val="0F4761" w:themeColor="accent1" w:themeShade="BF"/>
                <w:sz w:val="32"/>
                <w:szCs w:val="32"/>
                <w:lang w:eastAsia="de-DE"/>
              </w:rPr>
              <w:t>Protecting Consumers in the Digital Subscription Economy:</w:t>
            </w:r>
          </w:p>
          <w:p w14:paraId="5129EA6B" w14:textId="77777777" w:rsidR="004804C9" w:rsidRPr="00E04692" w:rsidRDefault="004804C9" w:rsidP="004804C9">
            <w:pPr>
              <w:keepNext/>
              <w:keepLines/>
              <w:spacing w:before="160" w:after="80"/>
              <w:outlineLvl w:val="1"/>
              <w:rPr>
                <w:rFonts w:asciiTheme="majorHAnsi" w:eastAsia="Times New Roman" w:hAnsiTheme="majorHAnsi" w:cstheme="majorBidi"/>
                <w:color w:val="0F4761" w:themeColor="accent1" w:themeShade="BF"/>
                <w:sz w:val="32"/>
                <w:szCs w:val="32"/>
                <w:lang w:eastAsia="de-DE"/>
              </w:rPr>
            </w:pPr>
            <w:r w:rsidRPr="00E04692">
              <w:rPr>
                <w:rFonts w:asciiTheme="majorHAnsi" w:eastAsia="Times New Roman" w:hAnsiTheme="majorHAnsi" w:cstheme="majorBidi"/>
                <w:color w:val="0F4761" w:themeColor="accent1" w:themeShade="BF"/>
                <w:sz w:val="32"/>
                <w:szCs w:val="32"/>
                <w:lang w:eastAsia="de-DE"/>
              </w:rPr>
              <w:t>A Comparative Perspective</w:t>
            </w:r>
          </w:p>
          <w:p w14:paraId="5012FEC9" w14:textId="77777777" w:rsidR="004804C9" w:rsidRPr="00E04692" w:rsidRDefault="004804C9" w:rsidP="004804C9">
            <w:pPr>
              <w:rPr>
                <w:rFonts w:eastAsia="Times New Roman" w:cstheme="minorHAnsi"/>
                <w:b/>
                <w:bCs/>
                <w:sz w:val="22"/>
                <w:szCs w:val="22"/>
                <w:lang w:eastAsia="de-DE"/>
              </w:rPr>
            </w:pPr>
            <w:r w:rsidRPr="00E04692">
              <w:rPr>
                <w:rFonts w:eastAsia="Times New Roman" w:cstheme="minorHAnsi"/>
                <w:sz w:val="22"/>
                <w:szCs w:val="22"/>
                <w:lang w:eastAsia="de-DE"/>
              </w:rPr>
              <w:t>Over the past few years, subscription-based business models have become popular across a broad range of industries – from streaming services and fitness apps to meal box kits and dating apps. At the same time, the subscription economy is increasingly becoming the focus of regulatory initiatives in various jurisdictions across Europe.</w:t>
            </w:r>
          </w:p>
          <w:p w14:paraId="03C53ECA" w14:textId="77777777" w:rsidR="004804C9" w:rsidRPr="00E04692" w:rsidRDefault="004804C9" w:rsidP="004804C9">
            <w:pPr>
              <w:spacing w:before="100" w:beforeAutospacing="1" w:after="100" w:afterAutospacing="1"/>
              <w:rPr>
                <w:rFonts w:eastAsia="Times New Roman" w:cstheme="minorHAnsi"/>
                <w:sz w:val="22"/>
                <w:szCs w:val="22"/>
                <w:lang w:eastAsia="de-DE"/>
              </w:rPr>
            </w:pPr>
            <w:r w:rsidRPr="00E04692">
              <w:rPr>
                <w:rFonts w:eastAsia="Times New Roman" w:cstheme="minorHAnsi"/>
                <w:sz w:val="22"/>
                <w:szCs w:val="22"/>
                <w:lang w:eastAsia="de-DE"/>
              </w:rPr>
              <w:t>At the EU level, the Digital Markets Act stipulates that digital gatekeepers should not make it unnecessarily difficult for consumers to unsubscribe from a core platform service. Going even further, Germany and France in 2022 and 2023 introduced new regulations for subscription contracts which require businesses to prominently display a “cancellation button” on their websites. These national rules are likely to become a model for future EU legislation under the Digital Fairness Fitness Check of EU Consumer Law which is currently being conducted by the European Commission.</w:t>
            </w:r>
            <w:r w:rsidRPr="00E04692">
              <w:rPr>
                <w:rFonts w:eastAsia="Times New Roman" w:cstheme="minorHAnsi"/>
                <w:position w:val="8"/>
                <w:sz w:val="22"/>
                <w:szCs w:val="22"/>
                <w:lang w:eastAsia="de-DE"/>
              </w:rPr>
              <w:t xml:space="preserve"> </w:t>
            </w:r>
            <w:r w:rsidRPr="00E04692">
              <w:rPr>
                <w:rFonts w:eastAsia="Times New Roman" w:cstheme="minorHAnsi"/>
                <w:sz w:val="22"/>
                <w:szCs w:val="22"/>
                <w:lang w:eastAsia="de-DE"/>
              </w:rPr>
              <w:t>In a parallel move, in the UK the Digital Markets, Competition and Consumers Bill seeks to give new rights to consumers entering into a subscription contract and making it easier to cancel unwanted subscriptions.</w:t>
            </w:r>
          </w:p>
          <w:p w14:paraId="41066FB9"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imes New Roman" w:hAnsiTheme="majorHAnsi" w:cstheme="minorHAnsi"/>
                <w:color w:val="0F4761" w:themeColor="accent1" w:themeShade="BF"/>
                <w:sz w:val="22"/>
                <w:szCs w:val="22"/>
                <w:lang w:eastAsia="de-DE"/>
              </w:rPr>
              <w:t>Against this background, the paper explores how courts and lawmakers across Europe are addressing the regulatory challenges of the digital subscription economy. In doing so, the paper elaborates a comparative typology of regulatory tools that are currently employed for protecting consumers.</w:t>
            </w:r>
            <w:r w:rsidRPr="00E04692">
              <w:rPr>
                <w:rFonts w:asciiTheme="majorHAnsi" w:eastAsia="Times New Roman" w:hAnsiTheme="majorHAnsi" w:cstheme="minorHAnsi"/>
                <w:color w:val="0F4761" w:themeColor="accent1" w:themeShade="BF"/>
                <w:position w:val="8"/>
                <w:sz w:val="22"/>
                <w:szCs w:val="22"/>
                <w:lang w:eastAsia="de-DE"/>
              </w:rPr>
              <w:t xml:space="preserve"> </w:t>
            </w:r>
            <w:r w:rsidRPr="00E04692">
              <w:rPr>
                <w:rFonts w:asciiTheme="majorHAnsi" w:eastAsia="Times New Roman" w:hAnsiTheme="majorHAnsi" w:cstheme="minorHAnsi"/>
                <w:color w:val="0F4761" w:themeColor="accent1" w:themeShade="BF"/>
                <w:sz w:val="22"/>
                <w:szCs w:val="22"/>
                <w:lang w:eastAsia="de-DE"/>
              </w:rPr>
              <w:t>On the basis of the comparative analysis, the paper identifies and discusses several recent regulatory trends. First, regulators have been shifting their focus from mandatory disclosures towards “design duties” that spell out detailed specifications for the design of user interfaces. Second, instead of primarily ensuring an informed consent when consumers are entering</w:t>
            </w:r>
            <w:r w:rsidRPr="00E04692">
              <w:rPr>
                <w:rFonts w:asciiTheme="majorHAnsi" w:eastAsia="Times New Roman" w:hAnsiTheme="majorHAnsi" w:cstheme="minorHAnsi"/>
                <w:i/>
                <w:iCs/>
                <w:color w:val="0F4761" w:themeColor="accent1" w:themeShade="BF"/>
                <w:sz w:val="22"/>
                <w:szCs w:val="22"/>
                <w:lang w:eastAsia="de-DE"/>
              </w:rPr>
              <w:t xml:space="preserve"> </w:t>
            </w:r>
            <w:r w:rsidRPr="00E04692">
              <w:rPr>
                <w:rFonts w:asciiTheme="majorHAnsi" w:eastAsia="Times New Roman" w:hAnsiTheme="majorHAnsi" w:cstheme="minorHAnsi"/>
                <w:color w:val="0F4761" w:themeColor="accent1" w:themeShade="BF"/>
                <w:sz w:val="22"/>
                <w:szCs w:val="22"/>
                <w:lang w:eastAsia="de-DE"/>
              </w:rPr>
              <w:t>a subscription contract, regulators have introduced a variety of legal and technological tools that seek to facilitate exiting</w:t>
            </w:r>
            <w:r w:rsidRPr="00E04692">
              <w:rPr>
                <w:rFonts w:asciiTheme="majorHAnsi" w:eastAsia="Times New Roman" w:hAnsiTheme="majorHAnsi" w:cstheme="minorHAnsi"/>
                <w:i/>
                <w:iCs/>
                <w:color w:val="0F4761" w:themeColor="accent1" w:themeShade="BF"/>
                <w:sz w:val="22"/>
                <w:szCs w:val="22"/>
                <w:lang w:eastAsia="de-DE"/>
              </w:rPr>
              <w:t xml:space="preserve"> </w:t>
            </w:r>
            <w:r w:rsidRPr="00E04692">
              <w:rPr>
                <w:rFonts w:asciiTheme="majorHAnsi" w:eastAsia="Times New Roman" w:hAnsiTheme="majorHAnsi" w:cstheme="minorHAnsi"/>
                <w:color w:val="0F4761" w:themeColor="accent1" w:themeShade="BF"/>
                <w:sz w:val="22"/>
                <w:szCs w:val="22"/>
                <w:lang w:eastAsia="de-DE"/>
              </w:rPr>
              <w:t>from subscriptions. Finally, the paper suggests that future regulatory action should take into consideration the role of “regulatory intermediaries”</w:t>
            </w:r>
            <w:r w:rsidRPr="00E04692">
              <w:rPr>
                <w:rFonts w:asciiTheme="majorHAnsi" w:eastAsia="Times New Roman" w:hAnsiTheme="majorHAnsi" w:cstheme="minorHAnsi"/>
                <w:color w:val="0F4761" w:themeColor="accent1" w:themeShade="BF"/>
                <w:position w:val="8"/>
                <w:sz w:val="22"/>
                <w:szCs w:val="22"/>
                <w:lang w:eastAsia="de-DE"/>
              </w:rPr>
              <w:t xml:space="preserve"> </w:t>
            </w:r>
            <w:r w:rsidRPr="00E04692">
              <w:rPr>
                <w:rFonts w:asciiTheme="majorHAnsi" w:eastAsia="Times New Roman" w:hAnsiTheme="majorHAnsi" w:cstheme="minorHAnsi"/>
                <w:color w:val="0F4761" w:themeColor="accent1" w:themeShade="BF"/>
                <w:sz w:val="22"/>
                <w:szCs w:val="22"/>
                <w:lang w:eastAsia="de-DE"/>
              </w:rPr>
              <w:t>(e.g. providers of app stores and payment services) as well as technological solutions provided by third parties (e.g. LegalTech providers) that could facilitate the implementation of exit mechanisms for digital subscribers.</w:t>
            </w:r>
          </w:p>
        </w:tc>
      </w:tr>
      <w:tr w:rsidR="004804C9" w:rsidRPr="00E04692" w14:paraId="17BE5CFD" w14:textId="77777777" w:rsidTr="00C45912">
        <w:tc>
          <w:tcPr>
            <w:tcW w:w="2199" w:type="dxa"/>
          </w:tcPr>
          <w:p w14:paraId="1E2B05B2"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Vardi, Noah</w:t>
            </w:r>
          </w:p>
          <w:p w14:paraId="73864CEF"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Farrajota, Joana</w:t>
            </w:r>
          </w:p>
        </w:tc>
        <w:tc>
          <w:tcPr>
            <w:tcW w:w="11546" w:type="dxa"/>
          </w:tcPr>
          <w:p w14:paraId="024273C6"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"Online platforms and trilateral contractual relations: testing liability"</w:t>
            </w:r>
          </w:p>
          <w:p w14:paraId="4A602BA6" w14:textId="77777777" w:rsidR="004804C9" w:rsidRPr="00E04692" w:rsidRDefault="004804C9" w:rsidP="004804C9">
            <w:pPr>
              <w:rPr>
                <w:rFonts w:eastAsiaTheme="minorEastAsia"/>
              </w:rPr>
            </w:pPr>
            <w:r w:rsidRPr="00E04692">
              <w:rPr>
                <w:rFonts w:eastAsiaTheme="minorEastAsia"/>
              </w:rPr>
              <w:t xml:space="preserve">On an online market, three different contracts are executed, involving market operator, supplier, and customer.  This triangular structure forces us to take a new look at contract law, which was essentially built to deal with situations in which access to goods and services is made through the execution of a single contract, executed between two parties. </w:t>
            </w:r>
          </w:p>
          <w:p w14:paraId="66776C67" w14:textId="77777777" w:rsidR="004804C9" w:rsidRPr="00E04692" w:rsidRDefault="004804C9" w:rsidP="004804C9">
            <w:pPr>
              <w:ind w:left="-5"/>
              <w:rPr>
                <w:rFonts w:eastAsiaTheme="minorEastAsia"/>
              </w:rPr>
            </w:pPr>
            <w:r w:rsidRPr="00E04692">
              <w:rPr>
                <w:rFonts w:eastAsiaTheme="minorEastAsia"/>
              </w:rPr>
              <w:t xml:space="preserve">In this paper we would like to address the following question: outside situations where the trilateral nature of the relation between the parties is merely an illusion that does not stand a more close analysis, could the intermediary (market operator) be held liable for non-compliance with the main agreement? Two different situations should be considered: cases where the intermediary contributed to the non-compliance and cases where it did not contribute to the non-compliance. </w:t>
            </w:r>
          </w:p>
          <w:p w14:paraId="0E8687E2" w14:textId="77777777" w:rsidR="004804C9" w:rsidRPr="00E04692" w:rsidRDefault="004804C9" w:rsidP="004804C9">
            <w:pPr>
              <w:spacing w:after="19"/>
              <w:rPr>
                <w:rFonts w:eastAsiaTheme="minorEastAsia"/>
              </w:rPr>
            </w:pPr>
            <w:r w:rsidRPr="00E04692">
              <w:rPr>
                <w:rFonts w:eastAsiaTheme="minorEastAsia"/>
              </w:rPr>
              <w:t xml:space="preserve"> In situations where there is truly a trilateral relation then the general principle should be that the intermediary is not liable for non-compliance with the main agreement. And that as a result of the principle of relativity of contracts. </w:t>
            </w:r>
          </w:p>
          <w:p w14:paraId="5A17A21F" w14:textId="77777777" w:rsidR="004804C9" w:rsidRPr="00E04692" w:rsidRDefault="004804C9" w:rsidP="004804C9">
            <w:pPr>
              <w:spacing w:after="19"/>
              <w:rPr>
                <w:rFonts w:eastAsiaTheme="minorEastAsia"/>
              </w:rPr>
            </w:pPr>
            <w:r w:rsidRPr="00E04692">
              <w:rPr>
                <w:rFonts w:eastAsiaTheme="minorEastAsia"/>
              </w:rPr>
              <w:t xml:space="preserve"> There are however situations where liability of the intermediary intuitively seems to make sense, for instance, when the intermediary in some way interfered with compliance with the main agreement.  </w:t>
            </w:r>
          </w:p>
          <w:p w14:paraId="57B361DE" w14:textId="77777777" w:rsidR="004804C9" w:rsidRPr="00E04692" w:rsidRDefault="004804C9" w:rsidP="004804C9">
            <w:pPr>
              <w:spacing w:after="19"/>
              <w:rPr>
                <w:rFonts w:eastAsiaTheme="minorEastAsia"/>
              </w:rPr>
            </w:pPr>
            <w:r w:rsidRPr="00E04692">
              <w:rPr>
                <w:rFonts w:eastAsiaTheme="minorEastAsia"/>
              </w:rPr>
              <w:t xml:space="preserve"> After excluding the possibility to apply here the concept of linked agreements, the only way in which it seems possible to envisage a liability of a market operator that made clear it is not a party to the main contract is to hold it liable for breach of the main contract whenever it assumed (in any way) such an obligation towards the customer (and this seems to be a possible solution that emerges from the construction of existing EU legislation on consumer rights, e-commerce and unfair commercial practices). This safeguards the principle of protecting trust and does not clash with the principle of the relativity of contracts, since the negative effects of a contract have repercussions on the legal sphere of a third party (the operator) to the exact extent that he has contractually obliged himself to do so. </w:t>
            </w:r>
          </w:p>
        </w:tc>
      </w:tr>
      <w:tr w:rsidR="004804C9" w:rsidRPr="00E04692" w14:paraId="6C9BDABE" w14:textId="77777777" w:rsidTr="00C45912">
        <w:tc>
          <w:tcPr>
            <w:tcW w:w="2199" w:type="dxa"/>
          </w:tcPr>
          <w:p w14:paraId="7D02197E"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Flores da Silva, Witor</w:t>
            </w:r>
          </w:p>
          <w:p w14:paraId="5498F0D5"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546" w:type="dxa"/>
          </w:tcPr>
          <w:p w14:paraId="0A5BF12D"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Algorithms and artificial intelligence: the challenge of effective consumer protection in the digital environment in the age of globalisation</w:t>
            </w:r>
          </w:p>
          <w:p w14:paraId="043FFE01" w14:textId="77777777" w:rsidR="004804C9" w:rsidRPr="00E04692" w:rsidRDefault="004804C9" w:rsidP="004804C9">
            <w:pPr>
              <w:rPr>
                <w:rFonts w:eastAsiaTheme="minorEastAsia"/>
              </w:rPr>
            </w:pPr>
            <w:r w:rsidRPr="00E04692">
              <w:rPr>
                <w:rFonts w:eastAsiaTheme="minorEastAsia"/>
              </w:rPr>
              <w:t>Abstract: In the context of the globalised world, the rise of artificial intelligence and the omnipresence of algorithms have revolutionised consumer relations in the digital environment. The use of these tools has been widely adopted to predict and bias consumer behaviour, as well as personalising user experiences. The massive collection of data by</w:t>
            </w:r>
          </w:p>
          <w:p w14:paraId="260017C0" w14:textId="77777777" w:rsidR="004804C9" w:rsidRPr="00E04692" w:rsidRDefault="004804C9" w:rsidP="004804C9">
            <w:pPr>
              <w:rPr>
                <w:rFonts w:eastAsiaTheme="minorEastAsia"/>
              </w:rPr>
            </w:pPr>
            <w:r w:rsidRPr="00E04692">
              <w:rPr>
                <w:rFonts w:eastAsiaTheme="minorEastAsia"/>
              </w:rPr>
              <w:t>algorithms to feed Artificial Intelligence systems can result in violations of consumers' privacy and autonomy, as their sensitive information is exploited without their full consent or knowledge to create filter bubbles, restricting the diversity of information and their exposure to new ideas and perspectives. This practice on digital platforms seeks to optimise the segmentation of ads and targeted content, aiming to influence users' consumption behaviour in a subtle and often manipulative way. The lack of transparency in algorithmic decision-making processes can lead to algorithmic discrimination, where certain groups are systematically disadvantaged or marginalised based on demographic characteristics such as race, gender, location or social class. In view of these challenges, it is crucial to recognise and address the negative impacts of these technologies on consumer relations in the digital environment. This paper addresses the need to propose international standards to protect consumers from harmful practices related to artificial intelligence and algorithms in the digital environment, given the transnational nature of these relations. The importance of creating rules of international law to protect consumers in the digital environment will be analysed, taking into account globalisation and the universal use of these technologies in contemporary consumption. Co-operation between foreign countries is essential to deal effectively with these issues that cross geographical and jurisdictional boundaries. Following the example of the regulations recently implemented in the European Union through the Digital Service Act and the Digital Market Act, with a view to creating a safe digital consumer environment to protect users' fundamental rights, the formulation of international standards should be guided by similar principles, which guarantee the protection of consumer rights while promoting transparency, fairness and the responsibility of companies operating in the digital environment. These standards should address key issues such as data privacy, algorithmic discrimination, algorithmic transparency and cyber security.</w:t>
            </w:r>
          </w:p>
        </w:tc>
      </w:tr>
      <w:tr w:rsidR="004804C9" w:rsidRPr="00E04692" w14:paraId="4B3F1569" w14:textId="77777777" w:rsidTr="00C45912">
        <w:tc>
          <w:tcPr>
            <w:tcW w:w="2199" w:type="dxa"/>
          </w:tcPr>
          <w:p w14:paraId="32239B7E"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Konuralp, Orhan Emre</w:t>
            </w:r>
          </w:p>
        </w:tc>
        <w:tc>
          <w:tcPr>
            <w:tcW w:w="11546" w:type="dxa"/>
          </w:tcPr>
          <w:p w14:paraId="1B10FCFA"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A Digitalization Dilemma: Is it worth the dispute for what it's worth?</w:t>
            </w:r>
          </w:p>
          <w:p w14:paraId="75C5D23E" w14:textId="77777777" w:rsidR="004804C9" w:rsidRPr="00E04692" w:rsidRDefault="004804C9" w:rsidP="004804C9">
            <w:pPr>
              <w:rPr>
                <w:rFonts w:eastAsiaTheme="minorEastAsia"/>
              </w:rPr>
            </w:pPr>
            <w:r w:rsidRPr="00E04692">
              <w:rPr>
                <w:rFonts w:eastAsiaTheme="minorEastAsia"/>
              </w:rPr>
              <w:t>Digitalization is an inevitable reality of our century. Being able to handle all our work electronically not only saves us time but also prevents unnecessary expenses. These benefits cause digitalization to manifest itself in the field of law as well. Possibilities that did not seem possible 20 years ago are now accepted by law – sometimes as a mandatory way.</w:t>
            </w:r>
          </w:p>
          <w:p w14:paraId="411F830B" w14:textId="77777777" w:rsidR="004804C9" w:rsidRPr="00E04692" w:rsidRDefault="004804C9" w:rsidP="004804C9">
            <w:pPr>
              <w:rPr>
                <w:rFonts w:eastAsiaTheme="minorEastAsia"/>
              </w:rPr>
            </w:pPr>
            <w:r w:rsidRPr="00E04692">
              <w:rPr>
                <w:rFonts w:eastAsiaTheme="minorEastAsia"/>
              </w:rPr>
              <w:t>When it comes to the settlement of consumer disputes, consumer arbitration committees, which can be applied over the internet, has jurisdiction over the certain consumer disputes in Turkish law for a long time. However, for disputes whose value exceeds a certain limit, it is not possible to apply to these arbitral tribunals and it is necessary to file a lawsuit directly in consumer courts. With an amendment made in 2020, it became mandatory to apply to a mediator before filing a lawsuit. This situation caused a contradiction regarding the digitalization.</w:t>
            </w:r>
          </w:p>
          <w:p w14:paraId="70F313D6" w14:textId="77777777" w:rsidR="004804C9" w:rsidRPr="00E04692" w:rsidRDefault="004804C9" w:rsidP="004804C9">
            <w:pPr>
              <w:rPr>
                <w:rFonts w:eastAsiaTheme="minorEastAsia"/>
              </w:rPr>
            </w:pPr>
            <w:r w:rsidRPr="00E04692">
              <w:rPr>
                <w:rFonts w:eastAsiaTheme="minorEastAsia"/>
              </w:rPr>
              <w:t>If consumers apply to an arbitration committee, they can entirely conduct their application digitally and receive the arbitration committee's decision without leaving their home. Conversely, if they need to file a lawsuit, they must first apply to mediation. Although the applying to mediation can be done online, mediation meetings must necessarily be conducted face-to-face. The Mediation Directorate does not grant the mediator discretionary authority in this regard; the Directorate insists that meetings must be conducted face-to-face. The Mediation Law also does not contain a clear provision regarding this matter. If the mediation process concludes without reaching an agreement, the consumer must file a lawsuit before the consumer court. Although a lawsuit can be filed through an online system, court hearings are conducted face-to-face as a rule. Since it is at the discretion of the judge to conduct a virtual hearing upon the parties' request, which constitutes an exceptional circumstance.</w:t>
            </w:r>
          </w:p>
          <w:p w14:paraId="384CE696" w14:textId="77777777" w:rsidR="004804C9" w:rsidRPr="00E04692" w:rsidRDefault="004804C9" w:rsidP="004804C9">
            <w:pPr>
              <w:rPr>
                <w:rFonts w:eastAsiaTheme="minorEastAsia"/>
              </w:rPr>
            </w:pPr>
          </w:p>
          <w:p w14:paraId="7936ED6B" w14:textId="77777777" w:rsidR="004804C9" w:rsidRPr="00E04692" w:rsidRDefault="004804C9" w:rsidP="004804C9">
            <w:pPr>
              <w:rPr>
                <w:rFonts w:eastAsiaTheme="minorEastAsia"/>
              </w:rPr>
            </w:pPr>
            <w:r w:rsidRPr="00E04692">
              <w:rPr>
                <w:rFonts w:eastAsiaTheme="minorEastAsia"/>
              </w:rPr>
              <w:t>As can be seen, while a consumer who applies to the arbitral tribunal has a very easy dispute resolution opportunity, when the value of his dispute increases, s/he has to first apply to the mediator and then to the court. In this case, there is no opportunity to benefit from virtual dispute resolution methods. The aim of this paper is to examine this controversy caused by non-harmonized laws.</w:t>
            </w:r>
          </w:p>
        </w:tc>
      </w:tr>
      <w:tr w:rsidR="004804C9" w:rsidRPr="00E04692" w14:paraId="217DF825" w14:textId="77777777" w:rsidTr="00C45912">
        <w:tc>
          <w:tcPr>
            <w:tcW w:w="2199" w:type="dxa"/>
          </w:tcPr>
          <w:p w14:paraId="4E253A94"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Liu, P.Y.M. (Michelle)</w:t>
            </w:r>
          </w:p>
        </w:tc>
        <w:tc>
          <w:tcPr>
            <w:tcW w:w="11546" w:type="dxa"/>
          </w:tcPr>
          <w:p w14:paraId="05452D04"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Aptos" w:eastAsiaTheme="majorEastAsia" w:hAnsi="Aptos" w:cstheme="majorBidi"/>
                <w:color w:val="000000"/>
                <w:sz w:val="32"/>
                <w:szCs w:val="32"/>
              </w:rPr>
              <w:t>"Rethinking power imbalances in the digital age".</w:t>
            </w:r>
          </w:p>
          <w:p w14:paraId="49DC9F7C" w14:textId="77777777" w:rsidR="004804C9" w:rsidRPr="00E04692" w:rsidRDefault="004804C9" w:rsidP="004804C9">
            <w:pPr>
              <w:rPr>
                <w:rFonts w:eastAsiaTheme="minorEastAsia"/>
              </w:rPr>
            </w:pPr>
            <w:r w:rsidRPr="00E04692">
              <w:rPr>
                <w:rFonts w:eastAsiaTheme="minorEastAsia"/>
              </w:rPr>
              <w:t xml:space="preserve">Mindful of the consumer-trader power imbalance, EU law makes a few assumptions as to the consumer’s weaker position and its causes. However, the power balance between the consumer and the trader has grown significantly due to digitalisation. This begs the question whether digitalisation renders the assumptions outdated and undermines the instruments to protect the consumer. Consequently, ‘digital vulnerability’ became a buzzword amongst EU consumer law scholars.  However, the exact outlines of this concept are still vague. Therefore, the aim of this submission is to explore these new territories. What is digital vulnerability? What consequences does the adoption of this notion bring and can it solve the power imbalance in the digital age? </w:t>
            </w:r>
          </w:p>
          <w:p w14:paraId="2FDF3842" w14:textId="77777777" w:rsidR="004804C9" w:rsidRPr="00E04692" w:rsidRDefault="004804C9" w:rsidP="004804C9">
            <w:pPr>
              <w:rPr>
                <w:rFonts w:eastAsiaTheme="minorEastAsia"/>
              </w:rPr>
            </w:pPr>
            <w:r w:rsidRPr="00E04692">
              <w:rPr>
                <w:rFonts w:eastAsiaTheme="minorEastAsia"/>
              </w:rPr>
              <w:t>The proposed submission will research whether EU law adequately contributes to levelling the playing field between the consumer and the trader in a digital setting, and if it does not contribute sufficiently, whether the concept of digital vulnerability can fill the gaps. First, it will elucidate EU law’s assumptions pertaining to the consumer’s weaker position and its causes. These assumptions will be scrutinised to investigate whether these assumptions properly capture the power imbalance. Some assumptions might not hold in the digital reality, so gaps in EU law’s image of the power imbalance will be discussed. Then, the submission will suggest new factors for EU law to consider when updating legal instruments to protect the consumer. Next, the possibility of ‘digital vulnerability’ filling these lacunae will be explored. Is ‘digital vulnerability’ something that the EU legislator should take into account when improving consumer protection? The submission will also deal with possible conceptual refinements of the notion ‘digital vulnerability’. Finally, the submission will propose a new idea on the power imbalance between the consumer and the trader in the digital age and practical ways to level the playing field in the digital age.</w:t>
            </w:r>
          </w:p>
        </w:tc>
      </w:tr>
      <w:tr w:rsidR="004804C9" w:rsidRPr="00E04692" w14:paraId="06D8CA87" w14:textId="77777777" w:rsidTr="00C45912">
        <w:tc>
          <w:tcPr>
            <w:tcW w:w="2199" w:type="dxa"/>
          </w:tcPr>
          <w:p w14:paraId="78A577CF" w14:textId="77777777" w:rsidR="004804C9" w:rsidRPr="00E04692" w:rsidRDefault="004804C9" w:rsidP="004804C9">
            <w:pPr>
              <w:ind w:left="-5"/>
              <w:rPr>
                <w:rFonts w:eastAsiaTheme="minorEastAsia"/>
              </w:rPr>
            </w:pPr>
            <w:r w:rsidRPr="00E04692">
              <w:rPr>
                <w:rFonts w:eastAsiaTheme="minorEastAsia"/>
              </w:rPr>
              <w:t xml:space="preserve"> Päläs, Jenna University of Eastern Finland, Department of Law, </w:t>
            </w:r>
          </w:p>
          <w:p w14:paraId="7EF22E44" w14:textId="77777777" w:rsidR="004804C9" w:rsidRPr="00E04692" w:rsidRDefault="004804C9" w:rsidP="004804C9">
            <w:pPr>
              <w:ind w:left="-5"/>
              <w:rPr>
                <w:rFonts w:eastAsiaTheme="minorEastAsia"/>
              </w:rPr>
            </w:pPr>
            <w:r w:rsidRPr="00E04692">
              <w:rPr>
                <w:rFonts w:eastAsiaTheme="minorEastAsia"/>
              </w:rPr>
              <w:t xml:space="preserve">D.Soc.Sc., </w:t>
            </w:r>
          </w:p>
          <w:p w14:paraId="2BE5E077" w14:textId="77777777" w:rsidR="004804C9" w:rsidRPr="00E04692" w:rsidRDefault="004804C9" w:rsidP="004804C9">
            <w:pPr>
              <w:ind w:left="-5"/>
              <w:rPr>
                <w:rFonts w:eastAsiaTheme="minorEastAsia"/>
              </w:rPr>
            </w:pPr>
            <w:r w:rsidRPr="00E04692">
              <w:rPr>
                <w:rFonts w:eastAsiaTheme="minorEastAsia"/>
              </w:rPr>
              <w:t xml:space="preserve">Salminen, Mirva UiT </w:t>
            </w:r>
            <w:r w:rsidRPr="00E04692">
              <w:rPr>
                <w:rFonts w:ascii="Aptos" w:eastAsia="Aptos" w:hAnsi="Aptos" w:cs="Aptos"/>
              </w:rPr>
              <w:t>–</w:t>
            </w:r>
            <w:r w:rsidRPr="00E04692">
              <w:rPr>
                <w:rFonts w:eastAsiaTheme="minorEastAsia"/>
              </w:rPr>
              <w:t xml:space="preserve"> The Arctic </w:t>
            </w:r>
            <w:r w:rsidRPr="00E04692">
              <w:rPr>
                <w:rFonts w:eastAsiaTheme="minorEastAsia"/>
              </w:rPr>
              <w:lastRenderedPageBreak/>
              <w:t xml:space="preserve">University of Norway, Department of Technology and Safety, </w:t>
            </w:r>
          </w:p>
        </w:tc>
        <w:tc>
          <w:tcPr>
            <w:tcW w:w="11546" w:type="dxa"/>
          </w:tcPr>
          <w:p w14:paraId="2CE0EF27"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Aptos" w:hAnsiTheme="majorHAnsi" w:cstheme="majorBidi"/>
                <w:color w:val="0F4761" w:themeColor="accent1" w:themeShade="BF"/>
                <w:sz w:val="32"/>
                <w:szCs w:val="32"/>
              </w:rPr>
              <w:lastRenderedPageBreak/>
              <w:t xml:space="preserve">Interrogating the Concept of Security in the Consumer Protection Regulation on Digital Services in the Digital Single Market </w:t>
            </w:r>
          </w:p>
          <w:p w14:paraId="4C436E4E" w14:textId="77777777" w:rsidR="004804C9" w:rsidRPr="00E04692" w:rsidRDefault="004804C9" w:rsidP="004804C9">
            <w:pPr>
              <w:spacing w:after="167"/>
              <w:ind w:left="-5"/>
              <w:rPr>
                <w:rFonts w:eastAsiaTheme="minorEastAsia"/>
              </w:rPr>
            </w:pPr>
            <w:r w:rsidRPr="00E04692">
              <w:rPr>
                <w:rFonts w:eastAsiaTheme="minorEastAsia"/>
              </w:rPr>
              <w:t xml:space="preserve">In the regulation tsunami induced by the European Union (EU), several legal measures have been adopted to reach a well-functioning, efficient, and borderless Digital Single Market. The criticality of digital services and solutions increases as the conversion of digital and physical progresses. Simultaneously, consumers use and are increasingly dependent on diverse digital services, content, and applications. This transition to a digital </w:t>
            </w:r>
            <w:r w:rsidRPr="00E04692">
              <w:rPr>
                <w:rFonts w:eastAsiaTheme="minorEastAsia"/>
              </w:rPr>
              <w:lastRenderedPageBreak/>
              <w:t xml:space="preserve">everyday life has reshaped the risks and threats that consumers encounter, as well as the requirements for consumer protection. </w:t>
            </w:r>
          </w:p>
          <w:p w14:paraId="51EB7695" w14:textId="77777777" w:rsidR="004804C9" w:rsidRPr="00E04692" w:rsidRDefault="004804C9" w:rsidP="004804C9">
            <w:pPr>
              <w:spacing w:after="169"/>
              <w:ind w:left="-5"/>
              <w:rPr>
                <w:rFonts w:eastAsiaTheme="minorEastAsia"/>
              </w:rPr>
            </w:pPr>
            <w:r w:rsidRPr="00E04692">
              <w:rPr>
                <w:rFonts w:eastAsiaTheme="minorEastAsia"/>
              </w:rPr>
              <w:t xml:space="preserve">Digital security is a pivotal aspect of digital economy and services. Security has been incorporated into EU regulation as legal requirements, criteria for contractual conformity, and obligations for service providers. Although the juridical discourse has addressed a variety of questions of the interconnection between digital security and consumer protection, the normative commitments of the legal concept of security have remained uncontested. </w:t>
            </w:r>
          </w:p>
          <w:p w14:paraId="51312093" w14:textId="77777777" w:rsidR="004804C9" w:rsidRPr="00E04692" w:rsidRDefault="004804C9" w:rsidP="004804C9">
            <w:pPr>
              <w:spacing w:after="170"/>
              <w:ind w:left="-5"/>
              <w:rPr>
                <w:rFonts w:eastAsiaTheme="minorEastAsia"/>
              </w:rPr>
            </w:pPr>
            <w:r w:rsidRPr="00E04692">
              <w:rPr>
                <w:rFonts w:eastAsiaTheme="minorEastAsia"/>
              </w:rPr>
              <w:t xml:space="preserve">The conceptual content of security in EU consumer law constitutes what consumers can expect from service providers as well as from the legal system of consumer protection. In our ongoing research, we investigate the concept of security </w:t>
            </w:r>
            <w:r w:rsidRPr="00E04692">
              <w:rPr>
                <w:rFonts w:ascii="Aptos" w:eastAsia="Aptos" w:hAnsi="Aptos" w:cs="Aptos"/>
              </w:rPr>
              <w:t>–</w:t>
            </w:r>
            <w:r w:rsidRPr="00E04692">
              <w:rPr>
                <w:rFonts w:eastAsiaTheme="minorEastAsia"/>
              </w:rPr>
              <w:t xml:space="preserve"> both as a desired end state and as a means to enhance consumer protection. By combining legal doctrinal research and critical security studies, we analyse 1) how security is defined in selected statutes and legal norms and 2) how an analytical explication of the concept of security can create room for interrogating legal concepts and definitions. We focus on EU rules and legislative pieces that determine the contractual position of consumers as service users vis-a-vis suppliers of digital services. </w:t>
            </w:r>
          </w:p>
          <w:p w14:paraId="64BB7733" w14:textId="77777777" w:rsidR="004804C9" w:rsidRPr="00E04692" w:rsidRDefault="004804C9" w:rsidP="004804C9">
            <w:pPr>
              <w:ind w:left="-5"/>
              <w:rPr>
                <w:rFonts w:eastAsiaTheme="minorEastAsia"/>
              </w:rPr>
            </w:pPr>
            <w:r w:rsidRPr="00E04692">
              <w:rPr>
                <w:rFonts w:eastAsiaTheme="minorEastAsia"/>
              </w:rPr>
              <w:t xml:space="preserve">The research contributes to a wider discussion on the policy level choices and implications of legal conceptualisations: Who, in fact, is being protected? Which types of insecurities consumer protection norms and measures can identify and address? Can emerging risks and threats be mitigated through the current notions in EU law? As our main research outcome, we offer conceptual specifications and propositions that construct a context-sensitive framework for legal interpretations and argumentation. In addition, we specify analytical points for challenging consumer law policies behind the regulation on digital services. </w:t>
            </w:r>
          </w:p>
        </w:tc>
      </w:tr>
      <w:tr w:rsidR="004804C9" w:rsidRPr="00E04692" w14:paraId="1E83E4AE" w14:textId="77777777" w:rsidTr="00C45912">
        <w:tc>
          <w:tcPr>
            <w:tcW w:w="2199" w:type="dxa"/>
          </w:tcPr>
          <w:p w14:paraId="45DE5F34"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van Gelder, Emma</w:t>
            </w:r>
          </w:p>
          <w:p w14:paraId="7EF736A3"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Bakx, Iris</w:t>
            </w:r>
          </w:p>
        </w:tc>
        <w:tc>
          <w:tcPr>
            <w:tcW w:w="11546" w:type="dxa"/>
          </w:tcPr>
          <w:p w14:paraId="6CF808DE"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Regulation of health apps and wearables: a thin line between persuasion and manipulation of consumers</w:t>
            </w:r>
          </w:p>
          <w:p w14:paraId="02791E05" w14:textId="77777777" w:rsidR="004804C9" w:rsidRPr="00E04692" w:rsidRDefault="004804C9" w:rsidP="004804C9">
            <w:pPr>
              <w:spacing w:line="276" w:lineRule="auto"/>
              <w:jc w:val="both"/>
              <w:rPr>
                <w:sz w:val="22"/>
                <w:szCs w:val="22"/>
              </w:rPr>
            </w:pPr>
            <w:r w:rsidRPr="00E04692">
              <w:rPr>
                <w:sz w:val="22"/>
                <w:szCs w:val="22"/>
              </w:rPr>
              <w:t xml:space="preserve">Consumers increasingly make use of health related technologies, such as mobile apps on their smartphones or wearables. Mobile apps range from apps we can use to keep track of our health data to apps that can help us with self-diagnosis, to lifestyle and wellbeing apps (i.e. Freedom and Headspace). Wearables include devices such as smartwatches (i.e. Fitbit or Apple Watch). The use of those kinds of applications is at times referred to as Consumer eHealth. </w:t>
            </w:r>
          </w:p>
          <w:p w14:paraId="7B81528C" w14:textId="77777777" w:rsidR="004804C9" w:rsidRPr="00E04692" w:rsidRDefault="004804C9" w:rsidP="004804C9">
            <w:pPr>
              <w:spacing w:line="276" w:lineRule="auto"/>
              <w:jc w:val="both"/>
              <w:rPr>
                <w:sz w:val="22"/>
                <w:szCs w:val="22"/>
              </w:rPr>
            </w:pPr>
            <w:r w:rsidRPr="00E04692">
              <w:rPr>
                <w:sz w:val="22"/>
                <w:szCs w:val="22"/>
              </w:rPr>
              <w:t xml:space="preserve">Although these apps hold the promise that they improve your health, they are provided by commercial companies which have the prime aim to gain economic revenue. Also, they are offered by these companies often </w:t>
            </w:r>
            <w:r w:rsidRPr="00E04692">
              <w:rPr>
                <w:i/>
                <w:iCs/>
                <w:sz w:val="22"/>
                <w:szCs w:val="22"/>
              </w:rPr>
              <w:t>without</w:t>
            </w:r>
            <w:r w:rsidRPr="00E04692">
              <w:rPr>
                <w:sz w:val="22"/>
                <w:szCs w:val="22"/>
              </w:rPr>
              <w:t xml:space="preserve"> the involvement of a health professional. The companies collect a vast amount of data of their users. Based upon this data collection the companies can embed digital choice architectures within their health apps. Therefore, these apps not only help their customers, but also have the potential to influence and shape their behavior and even persuade them into making certain choices they would not have taken otherwise. This is certainly the case as consumers are becoming increasingly digitally vulnerable in the online world. The line between support and manipulation is thin. </w:t>
            </w:r>
          </w:p>
          <w:p w14:paraId="2B48AF90" w14:textId="77777777" w:rsidR="004804C9" w:rsidRPr="00E04692" w:rsidRDefault="004804C9" w:rsidP="004804C9">
            <w:pPr>
              <w:spacing w:line="276" w:lineRule="auto"/>
              <w:jc w:val="both"/>
              <w:rPr>
                <w:sz w:val="22"/>
                <w:szCs w:val="22"/>
              </w:rPr>
            </w:pPr>
            <w:r w:rsidRPr="00E04692">
              <w:rPr>
                <w:sz w:val="22"/>
                <w:szCs w:val="22"/>
              </w:rPr>
              <w:t>This raises the question when private companies cross the line from persuasion to manipulation; what kind of regulations apply to these practices and what type of protection for consumers can be derived from these regulations. Certainly, when using mobile apps and wearables, we cannot rely on a legal framework such as the Medical Treatment Act. For instance, when a mobile app or a wearable offer commercial practices the Unfair Commercial Practices Directive can apply, and when a mobile app or wearable is considered a medical device, the Medical Devices Regulation</w:t>
            </w:r>
            <w:r w:rsidRPr="00E04692">
              <w:rPr>
                <w:sz w:val="22"/>
                <w:szCs w:val="22"/>
                <w:vertAlign w:val="superscript"/>
              </w:rPr>
              <w:t xml:space="preserve"> </w:t>
            </w:r>
            <w:r w:rsidRPr="00E04692">
              <w:rPr>
                <w:sz w:val="22"/>
                <w:szCs w:val="22"/>
              </w:rPr>
              <w:t xml:space="preserve"> can apply. </w:t>
            </w:r>
          </w:p>
        </w:tc>
      </w:tr>
      <w:tr w:rsidR="004804C9" w:rsidRPr="00E04692" w14:paraId="462059BD" w14:textId="77777777" w:rsidTr="00C45912">
        <w:tc>
          <w:tcPr>
            <w:tcW w:w="2199" w:type="dxa"/>
          </w:tcPr>
          <w:p w14:paraId="44E8B7FC"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Tekman, Nezihe</w:t>
            </w:r>
          </w:p>
        </w:tc>
        <w:tc>
          <w:tcPr>
            <w:tcW w:w="11546" w:type="dxa"/>
          </w:tcPr>
          <w:p w14:paraId="2EE7110B"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 xml:space="preserve">Digitally Vulnerable Consumer Approach? </w:t>
            </w:r>
          </w:p>
          <w:p w14:paraId="7185AC4F" w14:textId="77777777" w:rsidR="004804C9" w:rsidRPr="00E04692" w:rsidRDefault="004804C9" w:rsidP="004804C9">
            <w:pPr>
              <w:rPr>
                <w:rFonts w:eastAsiaTheme="minorEastAsia"/>
              </w:rPr>
            </w:pPr>
            <w:r w:rsidRPr="00E04692">
              <w:rPr>
                <w:rFonts w:eastAsiaTheme="minorEastAsia"/>
              </w:rPr>
              <w:t xml:space="preserve">Answer to the question of whether it was the egg or the chicken that came first can be answered by European consumer law. It was with the Gut Springenheide case and its ‘egg problem’ where a new era began for the consumer protection law and the introduction of the ‘average consumer’. Ever since, European consumer image is based on an ‘average consumer’ being ‘reasonably well-informed, reasonably observant and circumspect’. It can be argued that the consumer protection legislation is revolving around two sharp images of consumers being either average or vulnerable consumer. Traditional contracts, face-to-face communication has long been minimised by way of online transactions even via the touch of a button through the smart phones, smart televisions and new technological innovations being introduced daily. However, the problem is whether (vulnerable) consumers can adopt to these changes, whether the consumers are aware of the economic consequences of these innovative technologies interlinked with their abilities or inabilities thereof. A consumer by his/her characteristics can possess all the qualities of an average consumer but can be financially vulnerable to enter ‘sensible’ economical transactions and/or long-term economical obligations or may be digitally illiterate to be able to comprehend the relevant information provided. Realistically, being a vulnerable consumer is not limited or should not be limited to the ‘check-list’ provided by the legislative instruments, eg. mental or physical infirmity, age or credulity to the extent of trader’s foreseeability. </w:t>
            </w:r>
          </w:p>
          <w:p w14:paraId="30304052" w14:textId="77777777" w:rsidR="004804C9" w:rsidRPr="00E04692" w:rsidRDefault="004804C9" w:rsidP="004804C9">
            <w:pPr>
              <w:rPr>
                <w:rFonts w:eastAsiaTheme="minorEastAsia"/>
              </w:rPr>
            </w:pPr>
            <w:r w:rsidRPr="00E04692">
              <w:rPr>
                <w:rFonts w:eastAsiaTheme="minorEastAsia"/>
              </w:rPr>
              <w:t>Digitalisation of a daily life may have challenges for the vulnerable consumers depending on where their vulnerabilities lie and these consumers may not be ready to tackle and the ‘self-help’ or ‘All the necessary information being disclosed’ approach can be argued to be insufficient.  This research will aim to discuss the notion of vulnerable consumers in digital environments and whether the protection provided with the recent legislative instruments could be sufficient to provide a high level of consumer protection.</w:t>
            </w:r>
          </w:p>
        </w:tc>
      </w:tr>
      <w:tr w:rsidR="004804C9" w:rsidRPr="00E04692" w14:paraId="0A0FDADA" w14:textId="77777777" w:rsidTr="00C45912">
        <w:tc>
          <w:tcPr>
            <w:tcW w:w="2199" w:type="dxa"/>
          </w:tcPr>
          <w:p w14:paraId="621F7A3B"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Namysłowska, Monika</w:t>
            </w:r>
          </w:p>
          <w:p w14:paraId="6CA109B7"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Olbryk, Aleksandra</w:t>
            </w:r>
          </w:p>
          <w:p w14:paraId="78FE9AFA"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546" w:type="dxa"/>
          </w:tcPr>
          <w:p w14:paraId="5A8C5F6E"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Consumer-Citizen Empowerment in the Digital Age: Reflections on Online Political Advertising</w:t>
            </w:r>
          </w:p>
          <w:p w14:paraId="5635ED7B" w14:textId="77777777" w:rsidR="004804C9" w:rsidRPr="00E04692" w:rsidRDefault="004804C9" w:rsidP="004804C9">
            <w:pPr>
              <w:rPr>
                <w:rFonts w:eastAsiaTheme="minorEastAsia"/>
              </w:rPr>
            </w:pPr>
            <w:r w:rsidRPr="00E04692">
              <w:rPr>
                <w:rFonts w:eastAsiaTheme="minorEastAsia"/>
              </w:rPr>
              <w:t>In our presentation, we delve into the implications of Regulation (EU) 2024/900 on the transparency and targeting of political advertising, adopted by the European Parliament and the Council on March 13, 2024. Our inquiry explores whether this regulation falls under the purview of digital consumer protection legislation and its ramifications.</w:t>
            </w:r>
          </w:p>
          <w:p w14:paraId="6DE45E73" w14:textId="77777777" w:rsidR="004804C9" w:rsidRPr="00E04692" w:rsidRDefault="004804C9" w:rsidP="004804C9">
            <w:pPr>
              <w:rPr>
                <w:rFonts w:eastAsiaTheme="minorEastAsia"/>
              </w:rPr>
            </w:pPr>
            <w:r w:rsidRPr="00E04692">
              <w:rPr>
                <w:rFonts w:eastAsiaTheme="minorEastAsia"/>
              </w:rPr>
              <w:t>While addressing commercial political advertising aimed at influencing electoral outcomes or legislative processes, the Regulation notably mentions the term ‘consumer’ only once in the context of such advertising (Recital 25). Despite this limited use of the term, our hypothesis posits that there is little doubt that the Regulation perceives consumers as recipients of political advertising. We will draw insights from both the relevant provisions of the Regulation and the regulatory tools employed therein.</w:t>
            </w:r>
          </w:p>
          <w:p w14:paraId="6D0848A7" w14:textId="77777777" w:rsidR="004804C9" w:rsidRPr="00E04692" w:rsidRDefault="004804C9" w:rsidP="004804C9">
            <w:pPr>
              <w:rPr>
                <w:rFonts w:eastAsiaTheme="minorEastAsia"/>
              </w:rPr>
            </w:pPr>
            <w:r w:rsidRPr="00E04692">
              <w:rPr>
                <w:rFonts w:eastAsiaTheme="minorEastAsia"/>
              </w:rPr>
              <w:t>Our analysis addresses the broader question of how legal frameworks governing online political advertising intersect with consumer protection principles. By examining the regulatory landscape and interpretative frameworks outlined in the Regulation, we will elucidate the evolving role of consumers in the digital political sphere. Furthermore, we will explore the potential impacts of the Regulation on consumer rights and democratic processes, considering factors such as transparency, accountability, and the mitigation of online harms.</w:t>
            </w:r>
          </w:p>
          <w:p w14:paraId="71D817A4" w14:textId="77777777" w:rsidR="004804C9" w:rsidRPr="00E04692" w:rsidRDefault="004804C9" w:rsidP="004804C9">
            <w:pPr>
              <w:rPr>
                <w:rFonts w:eastAsiaTheme="minorEastAsia"/>
              </w:rPr>
            </w:pPr>
            <w:r w:rsidRPr="00E04692">
              <w:rPr>
                <w:rFonts w:eastAsiaTheme="minorEastAsia"/>
              </w:rPr>
              <w:t>Our presentation endeavours to contribute to a deeper understanding of the complex dynamics between consumer-citizen and digital political engagement by comprehensively examining the legal aspects and societal impacts of online political advertising.</w:t>
            </w:r>
          </w:p>
        </w:tc>
      </w:tr>
      <w:tr w:rsidR="004804C9" w:rsidRPr="00E04692" w14:paraId="0CA55E95" w14:textId="77777777" w:rsidTr="00C45912">
        <w:tc>
          <w:tcPr>
            <w:tcW w:w="2199" w:type="dxa"/>
          </w:tcPr>
          <w:p w14:paraId="1D4BA2CE"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Namysłowska, Monika</w:t>
            </w:r>
          </w:p>
          <w:p w14:paraId="79B188DB"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p>
        </w:tc>
        <w:tc>
          <w:tcPr>
            <w:tcW w:w="11546" w:type="dxa"/>
          </w:tcPr>
          <w:p w14:paraId="2ADC3976"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b/>
                <w:bCs/>
                <w:color w:val="0F4761" w:themeColor="accent1" w:themeShade="BF"/>
                <w:sz w:val="32"/>
                <w:szCs w:val="32"/>
              </w:rPr>
              <w:t xml:space="preserve">Reflections on Two Decades: Polish Consumer Law and Digital Transformation </w:t>
            </w:r>
          </w:p>
          <w:p w14:paraId="5D95401A" w14:textId="77777777" w:rsidR="004804C9" w:rsidRPr="00E04692" w:rsidRDefault="004804C9" w:rsidP="004804C9">
            <w:pPr>
              <w:rPr>
                <w:rFonts w:eastAsiaTheme="majorEastAsia"/>
              </w:rPr>
            </w:pPr>
            <w:r w:rsidRPr="00E04692">
              <w:rPr>
                <w:rFonts w:eastAsiaTheme="majorEastAsia"/>
              </w:rPr>
              <w:t xml:space="preserve">Over the past two decades, spanning since Poland's accession to the European Union, the development of digital consumer protection in Poland has provided a comprehensive case study for understanding the evolution of consumer law in the digital age, as well as the complex interactions between EU legislation and national laws. </w:t>
            </w:r>
          </w:p>
          <w:p w14:paraId="41C9164A" w14:textId="77777777" w:rsidR="004804C9" w:rsidRPr="00E04692" w:rsidRDefault="004804C9" w:rsidP="004804C9">
            <w:pPr>
              <w:rPr>
                <w:rFonts w:eastAsiaTheme="majorEastAsia"/>
              </w:rPr>
            </w:pPr>
            <w:r w:rsidRPr="00E04692">
              <w:rPr>
                <w:rFonts w:eastAsiaTheme="majorEastAsia"/>
              </w:rPr>
              <w:t xml:space="preserve">In my presentation, I intend to explore Poland's progress in safeguarding consumers against digital threats within the European Union and evaluate Poland's contributions to the advancement of EU consumer digital law. Additionally, I will propose potential solutions based on Polish practices to enhance the protection of EU consumers in the digital realm, such as guidelines for influencers and shifting the burden of proof. </w:t>
            </w:r>
          </w:p>
          <w:p w14:paraId="5A68DD7D" w14:textId="77777777" w:rsidR="004804C9" w:rsidRPr="00E04692" w:rsidRDefault="004804C9" w:rsidP="004804C9">
            <w:pPr>
              <w:rPr>
                <w:rFonts w:eastAsiaTheme="majorEastAsia"/>
              </w:rPr>
            </w:pPr>
            <w:r w:rsidRPr="00E04692">
              <w:rPr>
                <w:rFonts w:eastAsiaTheme="majorEastAsia"/>
              </w:rPr>
              <w:t xml:space="preserve">I will also discuss the impact of emerging technologies on consumer protection using the Polish Competition and Consumer Protection Office as an example. The presentation will delve into specific measures implemented by Poland, highlighting successful strategies and areas where improvements are needed in the legal response to digital challenges. </w:t>
            </w:r>
          </w:p>
          <w:p w14:paraId="0405DEA1" w14:textId="77777777" w:rsidR="004804C9" w:rsidRPr="00E04692" w:rsidRDefault="004804C9" w:rsidP="004804C9">
            <w:pPr>
              <w:rPr>
                <w:rFonts w:eastAsiaTheme="majorEastAsia"/>
              </w:rPr>
            </w:pPr>
            <w:r w:rsidRPr="00E04692">
              <w:rPr>
                <w:rFonts w:eastAsiaTheme="majorEastAsia"/>
              </w:rPr>
              <w:t xml:space="preserve">Furthermore, I will analyze Poland's regulatory approach to consumer issues since joining the EU, covering topics ranging from e-commerce to legislation like the Digital Services Act and the Artificial Intelligence Act. The analysis will address both substantive legal aspects and enforcement mechanisms. By reflecting on Poland's experiences in consumer protection in the digital era, this presentation aims to illuminate broader implications for EU integration and the harmonization of consumer law across Member States. </w:t>
            </w:r>
          </w:p>
          <w:p w14:paraId="703A6E46" w14:textId="77777777" w:rsidR="004804C9" w:rsidRPr="00E04692" w:rsidRDefault="004804C9" w:rsidP="004804C9">
            <w:pPr>
              <w:rPr>
                <w:rFonts w:eastAsiaTheme="majorEastAsia"/>
              </w:rPr>
            </w:pPr>
            <w:r w:rsidRPr="00E04692">
              <w:rPr>
                <w:rFonts w:eastAsiaTheme="majorEastAsia"/>
              </w:rPr>
              <w:t xml:space="preserve">Through examining past achievements and future prospects, my presentation seeks to contribute to the ongoing dialogue surrounding consumer rights in the digital age within the European Union. </w:t>
            </w:r>
          </w:p>
        </w:tc>
      </w:tr>
      <w:tr w:rsidR="004804C9" w:rsidRPr="00E04692" w14:paraId="18E1EFD5" w14:textId="77777777" w:rsidTr="00C45912">
        <w:tc>
          <w:tcPr>
            <w:tcW w:w="2199" w:type="dxa"/>
          </w:tcPr>
          <w:p w14:paraId="3F2A2404"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Markworth, David</w:t>
            </w:r>
          </w:p>
        </w:tc>
        <w:tc>
          <w:tcPr>
            <w:tcW w:w="11546" w:type="dxa"/>
          </w:tcPr>
          <w:p w14:paraId="4EB47589"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Aptos" w:hAnsiTheme="majorHAnsi" w:cstheme="majorBidi"/>
                <w:color w:val="0F4761" w:themeColor="accent1" w:themeShade="BF"/>
                <w:sz w:val="32"/>
                <w:szCs w:val="32"/>
              </w:rPr>
              <w:t xml:space="preserve">Consumer risks from bundle offers – Exploring the Digital Contract Law Directives’ blind spot through an accountant’s lens </w:t>
            </w:r>
          </w:p>
          <w:p w14:paraId="7C0DD891" w14:textId="77777777" w:rsidR="004804C9" w:rsidRPr="00E04692" w:rsidRDefault="004804C9" w:rsidP="004804C9">
            <w:pPr>
              <w:rPr>
                <w:rFonts w:eastAsiaTheme="minorEastAsia"/>
              </w:rPr>
            </w:pPr>
            <w:r w:rsidRPr="00E04692">
              <w:rPr>
                <w:rFonts w:eastAsiaTheme="minorEastAsia"/>
              </w:rPr>
              <w:t>European law must aim at protecting consumers even though business practices are constantly evolving. A recent innovation in the way consumers are provided with goods and services is that multiple products – that could have been marketed independently – are tied up into bundles and offered at lump sum prices. My paper analyses how these bundle offers expose a blind spot in the current consumer protection framework. By applying comparative legal methods to accounting standardsetting, I show how this shortcoming exposes consumers to specific bundle-risks and what needs to change.</w:t>
            </w:r>
          </w:p>
          <w:p w14:paraId="3A3A1DAD" w14:textId="77777777" w:rsidR="004804C9" w:rsidRPr="00E04692" w:rsidRDefault="004804C9" w:rsidP="004804C9">
            <w:pPr>
              <w:rPr>
                <w:rFonts w:eastAsiaTheme="minorEastAsia"/>
              </w:rPr>
            </w:pPr>
            <w:r w:rsidRPr="00E04692">
              <w:rPr>
                <w:rFonts w:eastAsiaTheme="minorEastAsia"/>
              </w:rPr>
              <w:t>A well-established example for a bundle offer is the combination of a mobile phone sale at a</w:t>
            </w:r>
          </w:p>
          <w:p w14:paraId="62913802" w14:textId="77777777" w:rsidR="004804C9" w:rsidRPr="00E04692" w:rsidRDefault="004804C9" w:rsidP="004804C9">
            <w:pPr>
              <w:rPr>
                <w:rFonts w:eastAsiaTheme="minorEastAsia"/>
              </w:rPr>
            </w:pPr>
            <w:r w:rsidRPr="00E04692">
              <w:rPr>
                <w:rFonts w:eastAsiaTheme="minorEastAsia"/>
              </w:rPr>
              <w:t>‘reduced’ price and a long-term service contract, which generates enough revenue to off-set the loss from the sale. But nowadays, business revenue so frequently stems from bundle offers that the International Accounting Standards Board in 2018 created a new standard specifically to resolve the accounting problems associated with them.</w:t>
            </w:r>
          </w:p>
          <w:p w14:paraId="781E8D79" w14:textId="77777777" w:rsidR="004804C9" w:rsidRPr="00E04692" w:rsidRDefault="004804C9" w:rsidP="004804C9">
            <w:pPr>
              <w:rPr>
                <w:rFonts w:eastAsiaTheme="minorEastAsia"/>
              </w:rPr>
            </w:pPr>
            <w:r w:rsidRPr="00E04692">
              <w:rPr>
                <w:rFonts w:eastAsiaTheme="minorEastAsia"/>
              </w:rPr>
              <w:t>This indicates that consumer law should adopt a bigger-picture view when it comes to bundle</w:t>
            </w:r>
          </w:p>
          <w:p w14:paraId="4726589D" w14:textId="77777777" w:rsidR="004804C9" w:rsidRPr="00E04692" w:rsidRDefault="004804C9" w:rsidP="004804C9">
            <w:pPr>
              <w:rPr>
                <w:rFonts w:eastAsiaTheme="minorEastAsia"/>
              </w:rPr>
            </w:pPr>
            <w:r w:rsidRPr="00E04692">
              <w:rPr>
                <w:rFonts w:eastAsiaTheme="minorEastAsia"/>
              </w:rPr>
              <w:t>offers. To consumers, they seem attractive eg since after-sales services appear gratuitous (even though the the extra service’s cost was included into the lump-sum price). But bundle offers lead to a lock-in that makes it difficult for consumers to switch providers, even if they have had bad experiences in an earlier stage of the performance relationship, because transactions that would have been limited to a one-time exchange are artificially extended.</w:t>
            </w:r>
          </w:p>
          <w:p w14:paraId="25224A0A" w14:textId="77777777" w:rsidR="004804C9" w:rsidRPr="00E04692" w:rsidRDefault="004804C9" w:rsidP="004804C9">
            <w:pPr>
              <w:rPr>
                <w:rFonts w:eastAsiaTheme="minorEastAsia"/>
              </w:rPr>
            </w:pPr>
            <w:r w:rsidRPr="00E04692">
              <w:rPr>
                <w:rFonts w:eastAsiaTheme="minorEastAsia"/>
              </w:rPr>
              <w:t>In its first part, the paper describes bundle offers as a modern business practice. The</w:t>
            </w:r>
          </w:p>
          <w:p w14:paraId="2F7F34A8" w14:textId="77777777" w:rsidR="004804C9" w:rsidRPr="00E04692" w:rsidRDefault="004804C9" w:rsidP="004804C9">
            <w:pPr>
              <w:rPr>
                <w:rFonts w:eastAsiaTheme="minorEastAsia"/>
              </w:rPr>
            </w:pPr>
            <w:r w:rsidRPr="00E04692">
              <w:rPr>
                <w:rFonts w:eastAsiaTheme="minorEastAsia"/>
              </w:rPr>
              <w:t>methodology section explains why the paper relies on applying comparative legal methods to</w:t>
            </w:r>
          </w:p>
          <w:p w14:paraId="3E13CE66" w14:textId="77777777" w:rsidR="004804C9" w:rsidRPr="00E04692" w:rsidRDefault="004804C9" w:rsidP="004804C9">
            <w:pPr>
              <w:rPr>
                <w:rFonts w:eastAsiaTheme="minorEastAsia"/>
              </w:rPr>
            </w:pPr>
            <w:r w:rsidRPr="00E04692">
              <w:rPr>
                <w:rFonts w:eastAsiaTheme="minorEastAsia"/>
              </w:rPr>
              <w:t>accounting standardsetting to come to its results. Accounting research is introduced as a useful tool for consumer law scholars to identify gaps in the framework. The third part consists of a review on the extent to which bundle offers are not covered by the current consumer protection framework. This is especially true for the Digital Contract Law Directives, although they include bundle-provisions. The fourth part describes the specific risks of bundle offers and comments on how they are reinforced by the missing regulation. Lastly, I outline recommendations on how bundle offers could be recognized more thoroughly.</w:t>
            </w:r>
          </w:p>
        </w:tc>
      </w:tr>
      <w:tr w:rsidR="004804C9" w:rsidRPr="00E04692" w14:paraId="455F877F" w14:textId="77777777" w:rsidTr="00C45912">
        <w:tc>
          <w:tcPr>
            <w:tcW w:w="2199" w:type="dxa"/>
          </w:tcPr>
          <w:p w14:paraId="2EBA6A83"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FOFIU, Diana-Raluca</w:t>
            </w:r>
          </w:p>
        </w:tc>
        <w:tc>
          <w:tcPr>
            <w:tcW w:w="11546" w:type="dxa"/>
          </w:tcPr>
          <w:p w14:paraId="4094FCE8"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t xml:space="preserve">The Untrodden Path of Representative Actions for the Regularization of  e-Commerce </w:t>
            </w:r>
          </w:p>
          <w:p w14:paraId="2EB7178A" w14:textId="77777777" w:rsidR="004804C9" w:rsidRPr="00E04692" w:rsidRDefault="004804C9" w:rsidP="004804C9">
            <w:pPr>
              <w:rPr>
                <w:rFonts w:eastAsiaTheme="minorEastAsia"/>
              </w:rPr>
            </w:pPr>
          </w:p>
          <w:p w14:paraId="410ED902" w14:textId="77777777" w:rsidR="004804C9" w:rsidRPr="00E04692" w:rsidRDefault="004804C9" w:rsidP="004804C9">
            <w:pPr>
              <w:rPr>
                <w:rFonts w:eastAsiaTheme="minorEastAsia"/>
              </w:rPr>
            </w:pPr>
            <w:r w:rsidRPr="00E04692">
              <w:rPr>
                <w:rFonts w:eastAsiaTheme="minorEastAsia"/>
              </w:rPr>
              <w:t xml:space="preserve">Breaches of the legal provisions governing e-commerce almost inevitably affect many consumers, across several Member States. Whether it is digital commercial practices, the configuration of platforms or the way personal data is handled, non-compliances are often overlooked by consumers because it appears to be a complicated and resource-intensive battle. Directive 2020/1828 on representative actions for the protection of the collective interests of consumers indents to be a facilitator for obtaining injunctive and redress measures. However, for countries with no tradition of collective actions, such as Romania, the implementation of this mechanism is a challenge in itself.   </w:t>
            </w:r>
          </w:p>
          <w:p w14:paraId="71A7ED54" w14:textId="77777777" w:rsidR="004804C9" w:rsidRPr="00E04692" w:rsidRDefault="004804C9" w:rsidP="004804C9">
            <w:pPr>
              <w:rPr>
                <w:rFonts w:eastAsiaTheme="minorEastAsia"/>
              </w:rPr>
            </w:pPr>
            <w:r w:rsidRPr="00E04692">
              <w:rPr>
                <w:rFonts w:eastAsiaTheme="minorEastAsia"/>
              </w:rPr>
              <w:t xml:space="preserve">This article aims to analyse the path and the challenges of a (cross-border) representative action used to tackle infringements of EU law governing the digital environment. It first examines the actors involved in this process, the capacity and resources of the qualified entities, and the costbenefit analysis of this procedure. More importantly, it observes whether these actions can be a solution for the enforcement of those legal provisions which a consumer would not have a significant interest in pursuing through an individual action, such as the field of dark patterns and of commercial practices in advertising. The opportunity of using digital tools to increase the efficiency of cross-border representative actions, such as the European Commission Representative Actions Collaboration Tool (EC-REACT) is also considered. </w:t>
            </w:r>
          </w:p>
          <w:p w14:paraId="524893EB" w14:textId="77777777" w:rsidR="004804C9" w:rsidRPr="00E04692" w:rsidRDefault="004804C9" w:rsidP="004804C9">
            <w:pPr>
              <w:rPr>
                <w:rFonts w:eastAsiaTheme="minorEastAsia"/>
              </w:rPr>
            </w:pPr>
            <w:r w:rsidRPr="00E04692">
              <w:rPr>
                <w:rFonts w:eastAsiaTheme="minorEastAsia"/>
              </w:rPr>
              <w:t>Finally, the main objective of the article is to draw some conclusions about the ability of these representative actions to create a safer and more honest digital experience, but also to increase the effectiveness of the EU landmark legislation, such as the Digital Services Act, the Digital Markets Act, or the General Data Protection Regulation. An empirical analysis, observing the tradition of collective action on e-commerce issues in the world, will also be a factor in the achievement of the paper's objective.</w:t>
            </w:r>
          </w:p>
        </w:tc>
      </w:tr>
      <w:tr w:rsidR="004804C9" w:rsidRPr="00E04692" w14:paraId="18FC5785" w14:textId="77777777" w:rsidTr="00C45912">
        <w:tc>
          <w:tcPr>
            <w:tcW w:w="2199" w:type="dxa"/>
          </w:tcPr>
          <w:p w14:paraId="7CDDE6E7" w14:textId="77777777" w:rsidR="004804C9" w:rsidRPr="00E04692" w:rsidRDefault="004804C9" w:rsidP="004804C9">
            <w:pPr>
              <w:keepNext/>
              <w:keepLines/>
              <w:spacing w:before="160" w:after="80"/>
              <w:outlineLvl w:val="1"/>
              <w:rPr>
                <w:rFonts w:asciiTheme="majorHAnsi" w:eastAsiaTheme="majorEastAsia" w:hAnsiTheme="majorHAnsi" w:cstheme="majorBidi"/>
                <w:color w:val="0F4761" w:themeColor="accent1" w:themeShade="BF"/>
                <w:sz w:val="32"/>
                <w:szCs w:val="32"/>
              </w:rPr>
            </w:pPr>
            <w:r w:rsidRPr="00E04692">
              <w:rPr>
                <w:rFonts w:asciiTheme="majorHAnsi" w:eastAsiaTheme="majorEastAsia" w:hAnsiTheme="majorHAnsi" w:cstheme="majorBidi"/>
                <w:color w:val="0F4761" w:themeColor="accent1" w:themeShade="BF"/>
                <w:sz w:val="32"/>
                <w:szCs w:val="32"/>
              </w:rPr>
              <w:lastRenderedPageBreak/>
              <w:t>Brenncke, Martin</w:t>
            </w:r>
          </w:p>
        </w:tc>
        <w:tc>
          <w:tcPr>
            <w:tcW w:w="11546" w:type="dxa"/>
          </w:tcPr>
          <w:p w14:paraId="67F02EF7" w14:textId="77777777" w:rsidR="004804C9" w:rsidRPr="00E04692" w:rsidRDefault="004804C9" w:rsidP="004804C9">
            <w:pPr>
              <w:keepNext/>
              <w:keepLines/>
              <w:spacing w:before="160" w:after="80"/>
              <w:outlineLvl w:val="1"/>
              <w:rPr>
                <w:rFonts w:asciiTheme="majorHAnsi" w:eastAsiaTheme="majorEastAsia" w:hAnsiTheme="majorHAnsi" w:cstheme="majorBidi"/>
                <w:b/>
                <w:bCs/>
                <w:color w:val="0F4761" w:themeColor="accent1" w:themeShade="BF"/>
                <w:sz w:val="32"/>
                <w:szCs w:val="32"/>
              </w:rPr>
            </w:pPr>
            <w:r w:rsidRPr="00E04692">
              <w:rPr>
                <w:rFonts w:asciiTheme="majorHAnsi" w:eastAsiaTheme="majorEastAsia" w:hAnsiTheme="majorHAnsi" w:cstheme="majorBidi"/>
                <w:b/>
                <w:bCs/>
                <w:color w:val="0F4761" w:themeColor="accent1" w:themeShade="BF"/>
                <w:sz w:val="32"/>
                <w:szCs w:val="32"/>
              </w:rPr>
              <w:t>Regulating Dark Patterns in the European Union</w:t>
            </w:r>
          </w:p>
          <w:p w14:paraId="0446AE19" w14:textId="77777777" w:rsidR="004804C9" w:rsidRPr="00E04692" w:rsidRDefault="004804C9" w:rsidP="004804C9">
            <w:pPr>
              <w:rPr>
                <w:rFonts w:eastAsiaTheme="minorEastAsia"/>
              </w:rPr>
            </w:pPr>
            <w:r w:rsidRPr="00E04692">
              <w:rPr>
                <w:rFonts w:eastAsiaTheme="minorEastAsia"/>
              </w:rPr>
              <w:t>Dark patterns have become increasingly pervasive in digital environments, encompassing practices like subscription traps, hiding information about fees, pre-selecting options by default, nagging, and drip pricing. Regulators around the world have started to express concerns that such practices are causing substantial consumer detriment. Efforts to effectively regulate dark patterns face the challenge that they often operate in the grey zone between legitimate persuasion techniques and clearly illegitimate methods of influencing consumer behavior such as coercion.</w:t>
            </w:r>
          </w:p>
          <w:p w14:paraId="2691ABEE" w14:textId="77777777" w:rsidR="004804C9" w:rsidRPr="00E04692" w:rsidRDefault="004804C9" w:rsidP="004804C9">
            <w:pPr>
              <w:rPr>
                <w:rFonts w:eastAsiaTheme="minorEastAsia"/>
              </w:rPr>
            </w:pPr>
            <w:r w:rsidRPr="00E04692">
              <w:rPr>
                <w:rFonts w:eastAsiaTheme="minorEastAsia"/>
              </w:rPr>
              <w:t>This paper focuses on the legal response to dark patterns in digital environments in the European Union. It discusses EU laws expressly addressing dark patterns, including the Digital Services Act, the Data Act, the new Consumer Credit Directive and the Consumer Rights Directive. The paper contends that these laws protect biased consumers and adopt autonomy as a normative lens to assess dark patterns. This normative lens is under-researched, and the existing literature has not yet produced a robust autonomy framework for regulating dark patterns.</w:t>
            </w:r>
          </w:p>
          <w:p w14:paraId="3D7DA1CD" w14:textId="77777777" w:rsidR="004804C9" w:rsidRPr="00E04692" w:rsidRDefault="004804C9" w:rsidP="004804C9">
            <w:pPr>
              <w:rPr>
                <w:rFonts w:eastAsiaTheme="minorEastAsia"/>
              </w:rPr>
            </w:pPr>
            <w:r w:rsidRPr="00E04692">
              <w:rPr>
                <w:rFonts w:eastAsiaTheme="minorEastAsia"/>
              </w:rPr>
              <w:t>This paper addresses this gap in research with two principle contributions. First, it works out a specific conception of autonomous decision-making that is rooted in the information paradigm. It is argued that the information paradigm holds the key for protecting consumers from dark patterns and that both the information paradigm and the provisions addressing dark patterns in EU law operate with the same underlying conception of autonomy. Second, the paper offers a novel normative classification for dark patterns in digital environments. It develops a taxonomy encompassing six categories of autonomy violations, specifically tailored for the assessment and regulation of dark patterns that exploit consumer behavioral biases. These categories uncover and make explicit the autonomy violations addressed by existing European Union legislation. They also provide policymakers in the EU and elsewhere with a framework when deliberating the regulation of other instances of dark patterns.</w:t>
            </w:r>
          </w:p>
          <w:p w14:paraId="17B5153C" w14:textId="77777777" w:rsidR="004804C9" w:rsidRPr="00E04692" w:rsidRDefault="004804C9" w:rsidP="004804C9">
            <w:pPr>
              <w:rPr>
                <w:rFonts w:eastAsiaTheme="minorEastAsia"/>
              </w:rPr>
            </w:pPr>
            <w:r w:rsidRPr="00E04692">
              <w:rPr>
                <w:rFonts w:eastAsiaTheme="minorEastAsia"/>
              </w:rPr>
              <w:t>The six categories of autonomy violations are: (i) undermining mandated information, (ii) deception, (iii) inducing contractual agreements without reflection, (iv) negative friction, (v) non-neutral presentation of choice options, and (vi) manipulation. The paper also demonstrates how these categories apply to specific dark pattern practices in digital environments.</w:t>
            </w:r>
          </w:p>
        </w:tc>
      </w:tr>
    </w:tbl>
    <w:p w14:paraId="6B2EBC57" w14:textId="77777777" w:rsidR="00230C65" w:rsidRDefault="00230C65"/>
    <w:sectPr w:rsidR="00230C65" w:rsidSect="00C45912">
      <w:headerReference w:type="default" r:id="rId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5B6F71" w14:textId="77777777" w:rsidR="00E844D0" w:rsidRPr="00E04692" w:rsidRDefault="00E844D0" w:rsidP="00D735DE">
      <w:pPr>
        <w:spacing w:after="0" w:line="240" w:lineRule="auto"/>
      </w:pPr>
      <w:r w:rsidRPr="00E04692">
        <w:separator/>
      </w:r>
    </w:p>
  </w:endnote>
  <w:endnote w:type="continuationSeparator" w:id="0">
    <w:p w14:paraId="4B2AEBED" w14:textId="77777777" w:rsidR="00E844D0" w:rsidRPr="00E04692" w:rsidRDefault="00E844D0" w:rsidP="00D735DE">
      <w:pPr>
        <w:spacing w:after="0" w:line="240" w:lineRule="auto"/>
      </w:pPr>
      <w:r w:rsidRPr="00E0469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4343AA" w14:textId="77777777" w:rsidR="00E844D0" w:rsidRPr="00E04692" w:rsidRDefault="00E844D0" w:rsidP="00D735DE">
      <w:pPr>
        <w:spacing w:after="0" w:line="240" w:lineRule="auto"/>
      </w:pPr>
      <w:r w:rsidRPr="00E04692">
        <w:separator/>
      </w:r>
    </w:p>
  </w:footnote>
  <w:footnote w:type="continuationSeparator" w:id="0">
    <w:p w14:paraId="30BA9A07" w14:textId="77777777" w:rsidR="00E844D0" w:rsidRPr="00E04692" w:rsidRDefault="00E844D0" w:rsidP="00D735DE">
      <w:pPr>
        <w:spacing w:after="0" w:line="240" w:lineRule="auto"/>
      </w:pPr>
      <w:r w:rsidRPr="00E04692">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451C66" w14:textId="6D5C32F6" w:rsidR="00D735DE" w:rsidRPr="00E04692" w:rsidRDefault="00D735DE" w:rsidP="00D735DE">
    <w:pPr>
      <w:pStyle w:val="Header"/>
      <w:jc w:val="center"/>
      <w:rPr>
        <w:rFonts w:asciiTheme="majorHAnsi" w:hAnsiTheme="majorHAnsi"/>
      </w:rPr>
    </w:pPr>
    <w:r w:rsidRPr="00E04692">
      <w:rPr>
        <w:rFonts w:asciiTheme="majorHAnsi" w:hAnsiTheme="majorHAnsi"/>
      </w:rPr>
      <w:t>IACL 2024, supported by Girton College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C74"/>
    <w:rsid w:val="00230C65"/>
    <w:rsid w:val="003A53AF"/>
    <w:rsid w:val="0046060C"/>
    <w:rsid w:val="004804C9"/>
    <w:rsid w:val="00673AA7"/>
    <w:rsid w:val="00801DFD"/>
    <w:rsid w:val="008C581C"/>
    <w:rsid w:val="00A15852"/>
    <w:rsid w:val="00C45912"/>
    <w:rsid w:val="00D735DE"/>
    <w:rsid w:val="00D83B28"/>
    <w:rsid w:val="00E04692"/>
    <w:rsid w:val="00E844D0"/>
    <w:rsid w:val="00FB32AB"/>
    <w:rsid w:val="00FB3C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0D04D"/>
  <w15:chartTrackingRefBased/>
  <w15:docId w15:val="{C247F596-58B9-4F71-8C8C-D48D7373A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3C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3C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3C7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3C7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FB3C7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FB3C7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B3C7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B3C7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B3C7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3C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3C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3C74"/>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3C74"/>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FB3C74"/>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FB3C7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B3C7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B3C7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B3C7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B3C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3C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3C7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3C7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B3C74"/>
    <w:pPr>
      <w:spacing w:before="160"/>
      <w:jc w:val="center"/>
    </w:pPr>
    <w:rPr>
      <w:i/>
      <w:iCs/>
      <w:color w:val="404040" w:themeColor="text1" w:themeTint="BF"/>
    </w:rPr>
  </w:style>
  <w:style w:type="character" w:customStyle="1" w:styleId="QuoteChar">
    <w:name w:val="Quote Char"/>
    <w:basedOn w:val="DefaultParagraphFont"/>
    <w:link w:val="Quote"/>
    <w:uiPriority w:val="29"/>
    <w:rsid w:val="00FB3C74"/>
    <w:rPr>
      <w:i/>
      <w:iCs/>
      <w:color w:val="404040" w:themeColor="text1" w:themeTint="BF"/>
    </w:rPr>
  </w:style>
  <w:style w:type="paragraph" w:styleId="ListParagraph">
    <w:name w:val="List Paragraph"/>
    <w:basedOn w:val="Normal"/>
    <w:uiPriority w:val="34"/>
    <w:qFormat/>
    <w:rsid w:val="00FB3C74"/>
    <w:pPr>
      <w:ind w:left="720"/>
      <w:contextualSpacing/>
    </w:pPr>
  </w:style>
  <w:style w:type="character" w:styleId="IntenseEmphasis">
    <w:name w:val="Intense Emphasis"/>
    <w:basedOn w:val="DefaultParagraphFont"/>
    <w:uiPriority w:val="21"/>
    <w:qFormat/>
    <w:rsid w:val="00FB3C74"/>
    <w:rPr>
      <w:i/>
      <w:iCs/>
      <w:color w:val="0F4761" w:themeColor="accent1" w:themeShade="BF"/>
    </w:rPr>
  </w:style>
  <w:style w:type="paragraph" w:styleId="IntenseQuote">
    <w:name w:val="Intense Quote"/>
    <w:basedOn w:val="Normal"/>
    <w:next w:val="Normal"/>
    <w:link w:val="IntenseQuoteChar"/>
    <w:uiPriority w:val="30"/>
    <w:qFormat/>
    <w:rsid w:val="00FB3C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3C74"/>
    <w:rPr>
      <w:i/>
      <w:iCs/>
      <w:color w:val="0F4761" w:themeColor="accent1" w:themeShade="BF"/>
    </w:rPr>
  </w:style>
  <w:style w:type="character" w:styleId="IntenseReference">
    <w:name w:val="Intense Reference"/>
    <w:basedOn w:val="DefaultParagraphFont"/>
    <w:uiPriority w:val="32"/>
    <w:qFormat/>
    <w:rsid w:val="00FB3C74"/>
    <w:rPr>
      <w:b/>
      <w:bCs/>
      <w:smallCaps/>
      <w:color w:val="0F4761" w:themeColor="accent1" w:themeShade="BF"/>
      <w:spacing w:val="5"/>
    </w:rPr>
  </w:style>
  <w:style w:type="table" w:styleId="TableGrid">
    <w:name w:val="Table Grid"/>
    <w:basedOn w:val="TableNormal"/>
    <w:uiPriority w:val="39"/>
    <w:rsid w:val="004804C9"/>
    <w:pPr>
      <w:spacing w:after="0" w:line="240" w:lineRule="auto"/>
    </w:pPr>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735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35DE"/>
  </w:style>
  <w:style w:type="paragraph" w:styleId="Footer">
    <w:name w:val="footer"/>
    <w:basedOn w:val="Normal"/>
    <w:link w:val="FooterChar"/>
    <w:uiPriority w:val="99"/>
    <w:unhideWhenUsed/>
    <w:rsid w:val="00D735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35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29</Pages>
  <Words>9649</Words>
  <Characters>55005</Characters>
  <Application>Microsoft Office Word</Application>
  <DocSecurity>0</DocSecurity>
  <Lines>458</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Muhammed Lone</dc:creator>
  <cp:keywords/>
  <dc:description/>
  <cp:lastModifiedBy>Muhammed Lone</cp:lastModifiedBy>
  <cp:revision>2</cp:revision>
  <dcterms:created xsi:type="dcterms:W3CDTF">2024-08-18T16:58:00Z</dcterms:created>
  <dcterms:modified xsi:type="dcterms:W3CDTF">2024-08-18T18:14:00Z</dcterms:modified>
</cp:coreProperties>
</file>