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9"/>
        <w:rPr>
          <w:rFonts w:ascii="Times New Roman"/>
          <w:sz w:val="14"/>
        </w:rPr>
      </w:pPr>
    </w:p>
    <w:p>
      <w:pPr>
        <w:spacing w:before="0"/>
        <w:ind w:left="871" w:right="0" w:firstLine="0"/>
        <w:jc w:val="left"/>
        <w:rPr>
          <w:rFonts w:ascii="Times New Roman" w:hAnsi="Times New Roman"/>
          <w:sz w:val="14"/>
        </w:rPr>
      </w:pPr>
      <w:r>
        <w:rPr>
          <w:rFonts w:ascii="Times New Roman" w:hAnsi="Times New Roman"/>
          <w:color w:val="231F20"/>
          <w:sz w:val="14"/>
        </w:rPr>
        <w:t>European</w:t>
      </w:r>
      <w:r>
        <w:rPr>
          <w:rFonts w:ascii="Times New Roman" w:hAnsi="Times New Roman"/>
          <w:color w:val="231F20"/>
          <w:spacing w:val="5"/>
          <w:sz w:val="14"/>
        </w:rPr>
        <w:t> </w:t>
      </w:r>
      <w:r>
        <w:rPr>
          <w:rFonts w:ascii="Times New Roman" w:hAnsi="Times New Roman"/>
          <w:color w:val="231F20"/>
          <w:sz w:val="14"/>
        </w:rPr>
        <w:t>Review</w:t>
      </w:r>
      <w:r>
        <w:rPr>
          <w:rFonts w:ascii="Times New Roman" w:hAnsi="Times New Roman"/>
          <w:color w:val="231F20"/>
          <w:spacing w:val="6"/>
          <w:sz w:val="14"/>
        </w:rPr>
        <w:t> </w:t>
      </w:r>
      <w:r>
        <w:rPr>
          <w:rFonts w:ascii="Times New Roman" w:hAnsi="Times New Roman"/>
          <w:color w:val="231F20"/>
          <w:sz w:val="14"/>
        </w:rPr>
        <w:t>of</w:t>
      </w:r>
      <w:r>
        <w:rPr>
          <w:rFonts w:ascii="Times New Roman" w:hAnsi="Times New Roman"/>
          <w:color w:val="231F20"/>
          <w:spacing w:val="4"/>
          <w:sz w:val="14"/>
        </w:rPr>
        <w:t> </w:t>
      </w:r>
      <w:r>
        <w:rPr>
          <w:rFonts w:ascii="Times New Roman" w:hAnsi="Times New Roman"/>
          <w:color w:val="231F20"/>
          <w:sz w:val="14"/>
        </w:rPr>
        <w:t>Private</w:t>
      </w:r>
      <w:r>
        <w:rPr>
          <w:rFonts w:ascii="Times New Roman" w:hAnsi="Times New Roman"/>
          <w:color w:val="231F20"/>
          <w:spacing w:val="6"/>
          <w:sz w:val="14"/>
        </w:rPr>
        <w:t> </w:t>
      </w:r>
      <w:r>
        <w:rPr>
          <w:rFonts w:ascii="Times New Roman" w:hAnsi="Times New Roman"/>
          <w:color w:val="231F20"/>
          <w:sz w:val="14"/>
        </w:rPr>
        <w:t>Law</w:t>
      </w:r>
      <w:r>
        <w:rPr>
          <w:rFonts w:ascii="Times New Roman" w:hAnsi="Times New Roman"/>
          <w:color w:val="231F20"/>
          <w:spacing w:val="7"/>
          <w:sz w:val="14"/>
        </w:rPr>
        <w:t> </w:t>
      </w:r>
      <w:r>
        <w:rPr>
          <w:rFonts w:ascii="Times New Roman" w:hAnsi="Times New Roman"/>
          <w:color w:val="231F20"/>
          <w:sz w:val="14"/>
        </w:rPr>
        <w:t>3-2024</w:t>
      </w:r>
      <w:r>
        <w:rPr>
          <w:rFonts w:ascii="Times New Roman" w:hAnsi="Times New Roman"/>
          <w:color w:val="231F20"/>
          <w:spacing w:val="4"/>
          <w:sz w:val="14"/>
        </w:rPr>
        <w:t> </w:t>
      </w:r>
      <w:r>
        <w:rPr>
          <w:rFonts w:ascii="Times New Roman" w:hAnsi="Times New Roman"/>
          <w:color w:val="231F20"/>
          <w:sz w:val="14"/>
        </w:rPr>
        <w:t>[461</w:t>
      </w:r>
      <w:r>
        <w:rPr>
          <w:rFonts w:ascii="Arial" w:hAnsi="Arial"/>
          <w:color w:val="231F20"/>
          <w:sz w:val="14"/>
        </w:rPr>
        <w:t>–</w:t>
      </w:r>
      <w:r>
        <w:rPr>
          <w:rFonts w:ascii="Times New Roman" w:hAnsi="Times New Roman"/>
          <w:color w:val="231F20"/>
          <w:sz w:val="14"/>
        </w:rPr>
        <w:t>496]</w:t>
      </w:r>
      <w:r>
        <w:rPr>
          <w:rFonts w:ascii="Times New Roman" w:hAnsi="Times New Roman"/>
          <w:color w:val="231F20"/>
          <w:spacing w:val="5"/>
          <w:sz w:val="14"/>
        </w:rPr>
        <w:t> </w:t>
      </w:r>
      <w:r>
        <w:rPr>
          <w:rFonts w:ascii="Times New Roman" w:hAnsi="Times New Roman"/>
          <w:color w:val="231F20"/>
          <w:sz w:val="14"/>
        </w:rPr>
        <w:t>©</w:t>
      </w:r>
      <w:r>
        <w:rPr>
          <w:rFonts w:ascii="Times New Roman" w:hAnsi="Times New Roman"/>
          <w:color w:val="231F20"/>
          <w:spacing w:val="6"/>
          <w:sz w:val="14"/>
        </w:rPr>
        <w:t> </w:t>
      </w:r>
      <w:r>
        <w:rPr>
          <w:rFonts w:ascii="Times New Roman" w:hAnsi="Times New Roman"/>
          <w:color w:val="231F20"/>
          <w:sz w:val="14"/>
        </w:rPr>
        <w:t>2024</w:t>
      </w:r>
      <w:r>
        <w:rPr>
          <w:rFonts w:ascii="Times New Roman" w:hAnsi="Times New Roman"/>
          <w:color w:val="231F20"/>
          <w:spacing w:val="4"/>
          <w:sz w:val="14"/>
        </w:rPr>
        <w:t> </w:t>
      </w:r>
      <w:r>
        <w:rPr>
          <w:rFonts w:ascii="Times New Roman" w:hAnsi="Times New Roman"/>
          <w:color w:val="231F20"/>
          <w:sz w:val="14"/>
        </w:rPr>
        <w:t>Kluwer</w:t>
      </w:r>
      <w:r>
        <w:rPr>
          <w:rFonts w:ascii="Times New Roman" w:hAnsi="Times New Roman"/>
          <w:color w:val="231F20"/>
          <w:spacing w:val="6"/>
          <w:sz w:val="14"/>
        </w:rPr>
        <w:t> </w:t>
      </w:r>
      <w:r>
        <w:rPr>
          <w:rFonts w:ascii="Times New Roman" w:hAnsi="Times New Roman"/>
          <w:color w:val="231F20"/>
          <w:sz w:val="14"/>
        </w:rPr>
        <w:t>Law</w:t>
      </w:r>
      <w:r>
        <w:rPr>
          <w:rFonts w:ascii="Times New Roman" w:hAnsi="Times New Roman"/>
          <w:color w:val="231F20"/>
          <w:spacing w:val="5"/>
          <w:sz w:val="14"/>
        </w:rPr>
        <w:t> </w:t>
      </w:r>
      <w:r>
        <w:rPr>
          <w:rFonts w:ascii="Times New Roman" w:hAnsi="Times New Roman"/>
          <w:color w:val="231F20"/>
          <w:sz w:val="14"/>
        </w:rPr>
        <w:t>International</w:t>
      </w:r>
      <w:r>
        <w:rPr>
          <w:rFonts w:ascii="Times New Roman" w:hAnsi="Times New Roman"/>
          <w:color w:val="231F20"/>
          <w:spacing w:val="6"/>
          <w:sz w:val="14"/>
        </w:rPr>
        <w:t> </w:t>
      </w:r>
      <w:r>
        <w:rPr>
          <w:rFonts w:ascii="Times New Roman" w:hAnsi="Times New Roman"/>
          <w:color w:val="231F20"/>
          <w:sz w:val="14"/>
        </w:rPr>
        <w:t>BV,</w:t>
      </w:r>
      <w:r>
        <w:rPr>
          <w:rFonts w:ascii="Times New Roman" w:hAnsi="Times New Roman"/>
          <w:color w:val="231F20"/>
          <w:spacing w:val="5"/>
          <w:sz w:val="14"/>
        </w:rPr>
        <w:t> </w:t>
      </w:r>
      <w:r>
        <w:rPr>
          <w:rFonts w:ascii="Times New Roman" w:hAnsi="Times New Roman"/>
          <w:color w:val="231F20"/>
          <w:sz w:val="14"/>
        </w:rPr>
        <w:t>The</w:t>
      </w:r>
      <w:r>
        <w:rPr>
          <w:rFonts w:ascii="Times New Roman" w:hAnsi="Times New Roman"/>
          <w:color w:val="231F20"/>
          <w:spacing w:val="5"/>
          <w:sz w:val="14"/>
        </w:rPr>
        <w:t> </w:t>
      </w:r>
      <w:r>
        <w:rPr>
          <w:rFonts w:ascii="Times New Roman" w:hAnsi="Times New Roman"/>
          <w:color w:val="231F20"/>
          <w:spacing w:val="-2"/>
          <w:sz w:val="14"/>
        </w:rPr>
        <w:t>Netherlands.</w:t>
      </w:r>
    </w:p>
    <w:p>
      <w:pPr>
        <w:pStyle w:val="BodyText"/>
        <w:rPr>
          <w:rFonts w:ascii="Times New Roman"/>
          <w:sz w:val="24"/>
        </w:rPr>
      </w:pPr>
    </w:p>
    <w:p>
      <w:pPr>
        <w:pStyle w:val="BodyText"/>
        <w:spacing w:before="5"/>
        <w:rPr>
          <w:rFonts w:ascii="Times New Roman"/>
          <w:sz w:val="24"/>
        </w:rPr>
      </w:pPr>
    </w:p>
    <w:p>
      <w:pPr>
        <w:pStyle w:val="Title"/>
        <w:spacing w:line="271" w:lineRule="auto"/>
      </w:pPr>
      <w:r>
        <w:rPr/>
        <mc:AlternateContent>
          <mc:Choice Requires="wps">
            <w:drawing>
              <wp:anchor distT="0" distB="0" distL="0" distR="0" allowOverlap="1" layoutInCell="1" locked="0" behindDoc="1" simplePos="0" relativeHeight="487180800">
                <wp:simplePos x="0" y="0"/>
                <wp:positionH relativeFrom="page">
                  <wp:posOffset>2391117</wp:posOffset>
                </wp:positionH>
                <wp:positionV relativeFrom="paragraph">
                  <wp:posOffset>579983</wp:posOffset>
                </wp:positionV>
                <wp:extent cx="356870" cy="1016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56870" cy="101600"/>
                        </a:xfrm>
                        <a:prstGeom prst="rect">
                          <a:avLst/>
                        </a:prstGeom>
                      </wps:spPr>
                      <wps:txbx>
                        <w:txbxContent>
                          <w:p>
                            <w:pPr>
                              <w:spacing w:before="4"/>
                              <w:ind w:left="0" w:right="0" w:firstLine="0"/>
                              <w:jc w:val="left"/>
                              <w:rPr>
                                <w:sz w:val="13"/>
                              </w:rPr>
                            </w:pPr>
                            <w:r>
                              <w:rPr>
                                <w:color w:val="231F20"/>
                                <w:spacing w:val="-2"/>
                                <w:sz w:val="13"/>
                              </w:rPr>
                              <w:t>LIZALDE</w:t>
                            </w:r>
                          </w:p>
                        </w:txbxContent>
                      </wps:txbx>
                      <wps:bodyPr wrap="square" lIns="0" tIns="0" rIns="0" bIns="0" rtlCol="0">
                        <a:noAutofit/>
                      </wps:bodyPr>
                    </wps:wsp>
                  </a:graphicData>
                </a:graphic>
              </wp:anchor>
            </w:drawing>
          </mc:Choice>
          <mc:Fallback>
            <w:pict>
              <v:shape style="position:absolute;margin-left:188.276993pt;margin-top:45.66798pt;width:28.1pt;height:8pt;mso-position-horizontal-relative:page;mso-position-vertical-relative:paragraph;z-index:-16135680" type="#_x0000_t202" id="docshape3" filled="false" stroked="false">
                <v:textbox inset="0,0,0,0">
                  <w:txbxContent>
                    <w:p>
                      <w:pPr>
                        <w:spacing w:before="4"/>
                        <w:ind w:left="0" w:right="0" w:firstLine="0"/>
                        <w:jc w:val="left"/>
                        <w:rPr>
                          <w:sz w:val="13"/>
                        </w:rPr>
                      </w:pPr>
                      <w:r>
                        <w:rPr>
                          <w:color w:val="231F20"/>
                          <w:spacing w:val="-2"/>
                          <w:sz w:val="13"/>
                        </w:rPr>
                        <w:t>LIZALDE</w:t>
                      </w:r>
                    </w:p>
                  </w:txbxContent>
                </v:textbox>
                <w10:wrap type="none"/>
              </v:shape>
            </w:pict>
          </mc:Fallback>
        </mc:AlternateContent>
      </w:r>
      <w:r>
        <w:rPr>
          <w:color w:val="231F20"/>
          <w:w w:val="105"/>
        </w:rPr>
        <w:t>Remedies for Unfair Terms in Light of the </w:t>
      </w:r>
      <w:r>
        <w:rPr>
          <w:color w:val="231F20"/>
          <w:w w:val="105"/>
        </w:rPr>
        <w:t>General Principles of EU Law</w:t>
      </w:r>
    </w:p>
    <w:p>
      <w:pPr>
        <w:pStyle w:val="BodyText"/>
        <w:spacing w:before="7"/>
        <w:rPr>
          <w:sz w:val="12"/>
        </w:rPr>
      </w:pPr>
      <w:r>
        <w:rPr/>
        <mc:AlternateContent>
          <mc:Choice Requires="wps">
            <w:drawing>
              <wp:anchor distT="0" distB="0" distL="0" distR="0" allowOverlap="1" layoutInCell="1" locked="0" behindDoc="1" simplePos="0" relativeHeight="487587840">
                <wp:simplePos x="0" y="0"/>
                <wp:positionH relativeFrom="page">
                  <wp:posOffset>1998002</wp:posOffset>
                </wp:positionH>
                <wp:positionV relativeFrom="paragraph">
                  <wp:posOffset>106411</wp:posOffset>
                </wp:positionV>
                <wp:extent cx="504190" cy="13335"/>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504190" cy="13335"/>
                        </a:xfrm>
                        <a:custGeom>
                          <a:avLst/>
                          <a:gdLst/>
                          <a:ahLst/>
                          <a:cxnLst/>
                          <a:rect l="l" t="t" r="r" b="b"/>
                          <a:pathLst>
                            <a:path w="504190" h="13335">
                              <a:moveTo>
                                <a:pt x="503999" y="0"/>
                              </a:moveTo>
                              <a:lnTo>
                                <a:pt x="0" y="0"/>
                              </a:lnTo>
                              <a:lnTo>
                                <a:pt x="0" y="12960"/>
                              </a:lnTo>
                              <a:lnTo>
                                <a:pt x="503999" y="12960"/>
                              </a:lnTo>
                              <a:lnTo>
                                <a:pt x="50399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7.322998pt;margin-top:8.378879pt;width:39.685pt;height:1.0205pt;mso-position-horizontal-relative:page;mso-position-vertical-relative:paragraph;z-index:-15728640;mso-wrap-distance-left:0;mso-wrap-distance-right:0" id="docshape4" filled="true" fillcolor="#000000" stroked="false">
                <v:fill type="solid"/>
                <w10:wrap type="topAndBottom"/>
              </v:rect>
            </w:pict>
          </mc:Fallback>
        </mc:AlternateContent>
      </w:r>
    </w:p>
    <w:p>
      <w:pPr>
        <w:pStyle w:val="BodyText"/>
        <w:tabs>
          <w:tab w:pos="2646" w:val="left" w:leader="none"/>
        </w:tabs>
        <w:spacing w:before="58"/>
        <w:ind w:left="871"/>
      </w:pPr>
      <w:r>
        <w:rPr>
          <w:color w:val="231F20"/>
        </w:rPr>
        <w:t>Francisco</w:t>
      </w:r>
      <w:r>
        <w:rPr>
          <w:color w:val="231F20"/>
          <w:spacing w:val="3"/>
        </w:rPr>
        <w:t> </w:t>
      </w:r>
      <w:r>
        <w:rPr>
          <w:color w:val="231F20"/>
          <w:sz w:val="13"/>
        </w:rPr>
        <w:t>DE</w:t>
      </w:r>
      <w:r>
        <w:rPr>
          <w:color w:val="231F20"/>
          <w:spacing w:val="16"/>
          <w:sz w:val="13"/>
        </w:rPr>
        <w:t> </w:t>
      </w:r>
      <w:r>
        <w:rPr>
          <w:color w:val="231F20"/>
          <w:spacing w:val="-10"/>
        </w:rPr>
        <w:t>E</w:t>
      </w:r>
      <w:r>
        <w:rPr>
          <w:color w:val="231F20"/>
        </w:rPr>
        <w:tab/>
      </w:r>
      <w:r>
        <w:rPr>
          <w:color w:val="231F20"/>
          <w:spacing w:val="-10"/>
          <w:w w:val="115"/>
          <w:vertAlign w:val="superscript"/>
        </w:rPr>
        <w:t>*</w:t>
      </w:r>
    </w:p>
    <w:p>
      <w:pPr>
        <w:pStyle w:val="BodyText"/>
      </w:pPr>
    </w:p>
    <w:p>
      <w:pPr>
        <w:pStyle w:val="BodyText"/>
        <w:spacing w:before="79"/>
      </w:pPr>
    </w:p>
    <w:p>
      <w:pPr>
        <w:spacing w:line="256" w:lineRule="auto" w:before="0"/>
        <w:ind w:left="871" w:right="867" w:firstLine="0"/>
        <w:jc w:val="both"/>
        <w:rPr>
          <w:sz w:val="18"/>
        </w:rPr>
      </w:pPr>
      <w:r>
        <w:rPr>
          <w:color w:val="231F20"/>
          <w:sz w:val="18"/>
        </w:rPr>
        <w:t>Abstract:</w:t>
      </w:r>
      <w:r>
        <w:rPr>
          <w:color w:val="231F20"/>
          <w:spacing w:val="-7"/>
          <w:sz w:val="18"/>
        </w:rPr>
        <w:t> </w:t>
      </w:r>
      <w:r>
        <w:rPr>
          <w:color w:val="231F20"/>
          <w:sz w:val="18"/>
        </w:rPr>
        <w:t>This</w:t>
      </w:r>
      <w:r>
        <w:rPr>
          <w:color w:val="231F20"/>
          <w:spacing w:val="-6"/>
          <w:sz w:val="18"/>
        </w:rPr>
        <w:t> </w:t>
      </w:r>
      <w:r>
        <w:rPr>
          <w:color w:val="231F20"/>
          <w:sz w:val="18"/>
        </w:rPr>
        <w:t>paper</w:t>
      </w:r>
      <w:r>
        <w:rPr>
          <w:color w:val="231F20"/>
          <w:spacing w:val="-6"/>
          <w:sz w:val="18"/>
        </w:rPr>
        <w:t> </w:t>
      </w:r>
      <w:r>
        <w:rPr>
          <w:color w:val="231F20"/>
          <w:sz w:val="18"/>
        </w:rPr>
        <w:t>presents</w:t>
      </w:r>
      <w:r>
        <w:rPr>
          <w:color w:val="231F20"/>
          <w:spacing w:val="-6"/>
          <w:sz w:val="18"/>
        </w:rPr>
        <w:t> </w:t>
      </w:r>
      <w:r>
        <w:rPr>
          <w:color w:val="231F20"/>
          <w:sz w:val="18"/>
        </w:rPr>
        <w:t>the</w:t>
      </w:r>
      <w:r>
        <w:rPr>
          <w:color w:val="231F20"/>
          <w:spacing w:val="-7"/>
          <w:sz w:val="18"/>
        </w:rPr>
        <w:t> </w:t>
      </w:r>
      <w:r>
        <w:rPr>
          <w:color w:val="231F20"/>
          <w:sz w:val="18"/>
        </w:rPr>
        <w:t>status</w:t>
      </w:r>
      <w:r>
        <w:rPr>
          <w:color w:val="231F20"/>
          <w:spacing w:val="-7"/>
          <w:sz w:val="18"/>
        </w:rPr>
        <w:t> </w:t>
      </w:r>
      <w:r>
        <w:rPr>
          <w:color w:val="231F20"/>
          <w:sz w:val="18"/>
        </w:rPr>
        <w:t>quo</w:t>
      </w:r>
      <w:r>
        <w:rPr>
          <w:color w:val="231F20"/>
          <w:spacing w:val="-6"/>
          <w:sz w:val="18"/>
        </w:rPr>
        <w:t> </w:t>
      </w:r>
      <w:r>
        <w:rPr>
          <w:color w:val="231F20"/>
          <w:sz w:val="18"/>
        </w:rPr>
        <w:t>of</w:t>
      </w:r>
      <w:r>
        <w:rPr>
          <w:color w:val="231F20"/>
          <w:spacing w:val="-3"/>
          <w:sz w:val="18"/>
        </w:rPr>
        <w:t> </w:t>
      </w:r>
      <w:r>
        <w:rPr>
          <w:color w:val="231F20"/>
          <w:sz w:val="18"/>
        </w:rPr>
        <w:t>the</w:t>
      </w:r>
      <w:r>
        <w:rPr>
          <w:color w:val="231F20"/>
          <w:spacing w:val="-7"/>
          <w:sz w:val="18"/>
        </w:rPr>
        <w:t> </w:t>
      </w:r>
      <w:r>
        <w:rPr>
          <w:color w:val="231F20"/>
          <w:sz w:val="18"/>
        </w:rPr>
        <w:t>consequences</w:t>
      </w:r>
      <w:r>
        <w:rPr>
          <w:color w:val="231F20"/>
          <w:spacing w:val="-6"/>
          <w:sz w:val="18"/>
        </w:rPr>
        <w:t> </w:t>
      </w:r>
      <w:r>
        <w:rPr>
          <w:color w:val="231F20"/>
          <w:sz w:val="18"/>
        </w:rPr>
        <w:t>for</w:t>
      </w:r>
      <w:r>
        <w:rPr>
          <w:color w:val="231F20"/>
          <w:spacing w:val="-8"/>
          <w:sz w:val="18"/>
        </w:rPr>
        <w:t> </w:t>
      </w:r>
      <w:r>
        <w:rPr>
          <w:color w:val="231F20"/>
          <w:sz w:val="18"/>
        </w:rPr>
        <w:t>unfair</w:t>
      </w:r>
      <w:r>
        <w:rPr>
          <w:color w:val="231F20"/>
          <w:spacing w:val="-6"/>
          <w:sz w:val="18"/>
        </w:rPr>
        <w:t> </w:t>
      </w:r>
      <w:r>
        <w:rPr>
          <w:color w:val="231F20"/>
          <w:sz w:val="18"/>
        </w:rPr>
        <w:t>terms</w:t>
      </w:r>
      <w:r>
        <w:rPr>
          <w:color w:val="231F20"/>
          <w:spacing w:val="-7"/>
          <w:sz w:val="18"/>
        </w:rPr>
        <w:t> </w:t>
      </w:r>
      <w:r>
        <w:rPr>
          <w:color w:val="231F20"/>
          <w:sz w:val="18"/>
        </w:rPr>
        <w:t>(Art. 6(1) of Directive 93/13, on unfair terms in consumer contracts, UCTD), according </w:t>
      </w:r>
      <w:r>
        <w:rPr>
          <w:color w:val="231F20"/>
          <w:sz w:val="18"/>
        </w:rPr>
        <w:t>to the interpretation of the European Court of Justice (ECJ). In that task, it provides reasons</w:t>
      </w:r>
      <w:r>
        <w:rPr>
          <w:color w:val="231F20"/>
          <w:spacing w:val="-4"/>
          <w:sz w:val="18"/>
        </w:rPr>
        <w:t> </w:t>
      </w:r>
      <w:r>
        <w:rPr>
          <w:color w:val="231F20"/>
          <w:sz w:val="18"/>
        </w:rPr>
        <w:t>for</w:t>
      </w:r>
      <w:r>
        <w:rPr>
          <w:color w:val="231F20"/>
          <w:spacing w:val="-5"/>
          <w:sz w:val="18"/>
        </w:rPr>
        <w:t> </w:t>
      </w:r>
      <w:r>
        <w:rPr>
          <w:color w:val="231F20"/>
          <w:sz w:val="18"/>
        </w:rPr>
        <w:t>seemingly</w:t>
      </w:r>
      <w:r>
        <w:rPr>
          <w:color w:val="231F20"/>
          <w:spacing w:val="-5"/>
          <w:sz w:val="18"/>
        </w:rPr>
        <w:t> </w:t>
      </w:r>
      <w:r>
        <w:rPr>
          <w:color w:val="231F20"/>
          <w:sz w:val="18"/>
        </w:rPr>
        <w:t>contradictory</w:t>
      </w:r>
      <w:r>
        <w:rPr>
          <w:color w:val="231F20"/>
          <w:spacing w:val="-4"/>
          <w:sz w:val="18"/>
        </w:rPr>
        <w:t> </w:t>
      </w:r>
      <w:r>
        <w:rPr>
          <w:color w:val="231F20"/>
          <w:sz w:val="18"/>
        </w:rPr>
        <w:t>judgments</w:t>
      </w:r>
      <w:r>
        <w:rPr>
          <w:color w:val="231F20"/>
          <w:spacing w:val="-4"/>
          <w:sz w:val="18"/>
        </w:rPr>
        <w:t> </w:t>
      </w:r>
      <w:r>
        <w:rPr>
          <w:color w:val="231F20"/>
          <w:sz w:val="18"/>
        </w:rPr>
        <w:t>and</w:t>
      </w:r>
      <w:r>
        <w:rPr>
          <w:color w:val="231F20"/>
          <w:spacing w:val="-4"/>
          <w:sz w:val="18"/>
        </w:rPr>
        <w:t> </w:t>
      </w:r>
      <w:r>
        <w:rPr>
          <w:color w:val="231F20"/>
          <w:sz w:val="18"/>
        </w:rPr>
        <w:t>engages</w:t>
      </w:r>
      <w:r>
        <w:rPr>
          <w:color w:val="231F20"/>
          <w:spacing w:val="-4"/>
          <w:sz w:val="18"/>
        </w:rPr>
        <w:t> </w:t>
      </w:r>
      <w:r>
        <w:rPr>
          <w:color w:val="231F20"/>
          <w:sz w:val="18"/>
        </w:rPr>
        <w:t>with</w:t>
      </w:r>
      <w:r>
        <w:rPr>
          <w:color w:val="231F20"/>
          <w:spacing w:val="-4"/>
          <w:sz w:val="18"/>
        </w:rPr>
        <w:t> </w:t>
      </w:r>
      <w:r>
        <w:rPr>
          <w:color w:val="231F20"/>
          <w:sz w:val="18"/>
        </w:rPr>
        <w:t>inconsistent</w:t>
      </w:r>
      <w:r>
        <w:rPr>
          <w:color w:val="231F20"/>
          <w:spacing w:val="-4"/>
          <w:sz w:val="18"/>
        </w:rPr>
        <w:t> </w:t>
      </w:r>
      <w:r>
        <w:rPr>
          <w:color w:val="231F20"/>
          <w:sz w:val="18"/>
        </w:rPr>
        <w:t>rulings. To</w:t>
      </w:r>
      <w:r>
        <w:rPr>
          <w:color w:val="231F20"/>
          <w:spacing w:val="-6"/>
          <w:sz w:val="18"/>
        </w:rPr>
        <w:t> </w:t>
      </w:r>
      <w:r>
        <w:rPr>
          <w:color w:val="231F20"/>
          <w:sz w:val="18"/>
        </w:rPr>
        <w:t>navigate</w:t>
      </w:r>
      <w:r>
        <w:rPr>
          <w:color w:val="231F20"/>
          <w:spacing w:val="-6"/>
          <w:sz w:val="18"/>
        </w:rPr>
        <w:t> </w:t>
      </w:r>
      <w:r>
        <w:rPr>
          <w:color w:val="231F20"/>
          <w:sz w:val="18"/>
        </w:rPr>
        <w:t>these</w:t>
      </w:r>
      <w:r>
        <w:rPr>
          <w:color w:val="231F20"/>
          <w:spacing w:val="-6"/>
          <w:sz w:val="18"/>
        </w:rPr>
        <w:t> </w:t>
      </w:r>
      <w:r>
        <w:rPr>
          <w:color w:val="231F20"/>
          <w:sz w:val="18"/>
        </w:rPr>
        <w:t>troubled</w:t>
      </w:r>
      <w:r>
        <w:rPr>
          <w:color w:val="231F20"/>
          <w:spacing w:val="-7"/>
          <w:sz w:val="18"/>
        </w:rPr>
        <w:t> </w:t>
      </w:r>
      <w:r>
        <w:rPr>
          <w:color w:val="231F20"/>
          <w:sz w:val="18"/>
        </w:rPr>
        <w:t>waters,</w:t>
      </w:r>
      <w:r>
        <w:rPr>
          <w:color w:val="231F20"/>
          <w:spacing w:val="-5"/>
          <w:sz w:val="18"/>
        </w:rPr>
        <w:t> </w:t>
      </w:r>
      <w:r>
        <w:rPr>
          <w:color w:val="231F20"/>
          <w:sz w:val="18"/>
        </w:rPr>
        <w:t>the</w:t>
      </w:r>
      <w:r>
        <w:rPr>
          <w:color w:val="231F20"/>
          <w:spacing w:val="-6"/>
          <w:sz w:val="18"/>
        </w:rPr>
        <w:t> </w:t>
      </w:r>
      <w:r>
        <w:rPr>
          <w:color w:val="231F20"/>
          <w:sz w:val="18"/>
        </w:rPr>
        <w:t>paper</w:t>
      </w:r>
      <w:r>
        <w:rPr>
          <w:color w:val="231F20"/>
          <w:spacing w:val="-6"/>
          <w:sz w:val="18"/>
        </w:rPr>
        <w:t> </w:t>
      </w:r>
      <w:r>
        <w:rPr>
          <w:color w:val="231F20"/>
          <w:sz w:val="18"/>
        </w:rPr>
        <w:t>refers</w:t>
      </w:r>
      <w:r>
        <w:rPr>
          <w:color w:val="231F20"/>
          <w:spacing w:val="-6"/>
          <w:sz w:val="18"/>
        </w:rPr>
        <w:t> </w:t>
      </w:r>
      <w:r>
        <w:rPr>
          <w:color w:val="231F20"/>
          <w:sz w:val="18"/>
        </w:rPr>
        <w:t>to</w:t>
      </w:r>
      <w:r>
        <w:rPr>
          <w:color w:val="231F20"/>
          <w:spacing w:val="-6"/>
          <w:sz w:val="18"/>
        </w:rPr>
        <w:t> </w:t>
      </w:r>
      <w:r>
        <w:rPr>
          <w:color w:val="231F20"/>
          <w:sz w:val="18"/>
        </w:rPr>
        <w:t>the</w:t>
      </w:r>
      <w:r>
        <w:rPr>
          <w:color w:val="231F20"/>
          <w:spacing w:val="-6"/>
          <w:sz w:val="18"/>
        </w:rPr>
        <w:t> </w:t>
      </w:r>
      <w:r>
        <w:rPr>
          <w:color w:val="231F20"/>
          <w:sz w:val="18"/>
        </w:rPr>
        <w:t>general</w:t>
      </w:r>
      <w:r>
        <w:rPr>
          <w:color w:val="231F20"/>
          <w:spacing w:val="-6"/>
          <w:sz w:val="18"/>
        </w:rPr>
        <w:t> </w:t>
      </w:r>
      <w:r>
        <w:rPr>
          <w:color w:val="231F20"/>
          <w:sz w:val="18"/>
        </w:rPr>
        <w:t>principles</w:t>
      </w:r>
      <w:r>
        <w:rPr>
          <w:color w:val="231F20"/>
          <w:spacing w:val="-7"/>
          <w:sz w:val="18"/>
        </w:rPr>
        <w:t> </w:t>
      </w:r>
      <w:r>
        <w:rPr>
          <w:color w:val="231F20"/>
          <w:sz w:val="18"/>
        </w:rPr>
        <w:t>of</w:t>
      </w:r>
      <w:r>
        <w:rPr>
          <w:color w:val="231F20"/>
          <w:spacing w:val="-6"/>
          <w:sz w:val="18"/>
        </w:rPr>
        <w:t> </w:t>
      </w:r>
      <w:r>
        <w:rPr>
          <w:color w:val="231F20"/>
          <w:sz w:val="18"/>
        </w:rPr>
        <w:t>EU</w:t>
      </w:r>
      <w:r>
        <w:rPr>
          <w:color w:val="231F20"/>
          <w:spacing w:val="-6"/>
          <w:sz w:val="18"/>
        </w:rPr>
        <w:t> </w:t>
      </w:r>
      <w:r>
        <w:rPr>
          <w:color w:val="231F20"/>
          <w:sz w:val="18"/>
        </w:rPr>
        <w:t>law, even</w:t>
      </w:r>
      <w:r>
        <w:rPr>
          <w:color w:val="231F20"/>
          <w:spacing w:val="-4"/>
          <w:sz w:val="18"/>
        </w:rPr>
        <w:t> </w:t>
      </w:r>
      <w:r>
        <w:rPr>
          <w:color w:val="231F20"/>
          <w:sz w:val="18"/>
        </w:rPr>
        <w:t>beyond</w:t>
      </w:r>
      <w:r>
        <w:rPr>
          <w:color w:val="231F20"/>
          <w:spacing w:val="-4"/>
          <w:sz w:val="18"/>
        </w:rPr>
        <w:t> </w:t>
      </w:r>
      <w:r>
        <w:rPr>
          <w:color w:val="231F20"/>
          <w:sz w:val="18"/>
        </w:rPr>
        <w:t>those</w:t>
      </w:r>
      <w:r>
        <w:rPr>
          <w:color w:val="231F20"/>
          <w:spacing w:val="-4"/>
          <w:sz w:val="18"/>
        </w:rPr>
        <w:t> </w:t>
      </w:r>
      <w:r>
        <w:rPr>
          <w:color w:val="231F20"/>
          <w:sz w:val="18"/>
        </w:rPr>
        <w:t>that</w:t>
      </w:r>
      <w:r>
        <w:rPr>
          <w:color w:val="231F20"/>
          <w:spacing w:val="-1"/>
          <w:sz w:val="18"/>
        </w:rPr>
        <w:t> </w:t>
      </w:r>
      <w:r>
        <w:rPr>
          <w:color w:val="231F20"/>
          <w:sz w:val="18"/>
        </w:rPr>
        <w:t>are</w:t>
      </w:r>
      <w:r>
        <w:rPr>
          <w:color w:val="231F20"/>
          <w:spacing w:val="-4"/>
          <w:sz w:val="18"/>
        </w:rPr>
        <w:t> </w:t>
      </w:r>
      <w:r>
        <w:rPr>
          <w:color w:val="231F20"/>
          <w:sz w:val="18"/>
        </w:rPr>
        <w:t>explicit</w:t>
      </w:r>
      <w:r>
        <w:rPr>
          <w:color w:val="231F20"/>
          <w:spacing w:val="-4"/>
          <w:sz w:val="18"/>
        </w:rPr>
        <w:t> </w:t>
      </w:r>
      <w:r>
        <w:rPr>
          <w:color w:val="231F20"/>
          <w:sz w:val="18"/>
        </w:rPr>
        <w:t>in</w:t>
      </w:r>
      <w:r>
        <w:rPr>
          <w:color w:val="231F20"/>
          <w:spacing w:val="-4"/>
          <w:sz w:val="18"/>
        </w:rPr>
        <w:t> </w:t>
      </w:r>
      <w:r>
        <w:rPr>
          <w:color w:val="231F20"/>
          <w:sz w:val="18"/>
        </w:rPr>
        <w:t>the</w:t>
      </w:r>
      <w:r>
        <w:rPr>
          <w:color w:val="231F20"/>
          <w:spacing w:val="-4"/>
          <w:sz w:val="18"/>
        </w:rPr>
        <w:t> </w:t>
      </w:r>
      <w:r>
        <w:rPr>
          <w:color w:val="231F20"/>
          <w:sz w:val="18"/>
        </w:rPr>
        <w:t>ECJ</w:t>
      </w:r>
      <w:r>
        <w:rPr>
          <w:rFonts w:ascii="Arial" w:hAnsi="Arial"/>
          <w:color w:val="231F20"/>
          <w:sz w:val="18"/>
        </w:rPr>
        <w:t>’</w:t>
      </w:r>
      <w:r>
        <w:rPr>
          <w:color w:val="231F20"/>
          <w:sz w:val="18"/>
        </w:rPr>
        <w:t>s</w:t>
      </w:r>
      <w:r>
        <w:rPr>
          <w:color w:val="231F20"/>
          <w:spacing w:val="-3"/>
          <w:sz w:val="18"/>
        </w:rPr>
        <w:t> </w:t>
      </w:r>
      <w:r>
        <w:rPr>
          <w:color w:val="231F20"/>
          <w:sz w:val="18"/>
        </w:rPr>
        <w:t>decisions.</w:t>
      </w:r>
      <w:r>
        <w:rPr>
          <w:color w:val="231F20"/>
          <w:spacing w:val="-4"/>
          <w:sz w:val="18"/>
        </w:rPr>
        <w:t> </w:t>
      </w:r>
      <w:r>
        <w:rPr>
          <w:color w:val="231F20"/>
          <w:sz w:val="18"/>
        </w:rPr>
        <w:t>It</w:t>
      </w:r>
      <w:r>
        <w:rPr>
          <w:color w:val="231F20"/>
          <w:spacing w:val="-4"/>
          <w:sz w:val="18"/>
        </w:rPr>
        <w:t> </w:t>
      </w:r>
      <w:r>
        <w:rPr>
          <w:color w:val="231F20"/>
          <w:sz w:val="18"/>
        </w:rPr>
        <w:t>is</w:t>
      </w:r>
      <w:r>
        <w:rPr>
          <w:color w:val="231F20"/>
          <w:spacing w:val="-3"/>
          <w:sz w:val="18"/>
        </w:rPr>
        <w:t> </w:t>
      </w:r>
      <w:r>
        <w:rPr>
          <w:color w:val="231F20"/>
          <w:sz w:val="18"/>
        </w:rPr>
        <w:t>claimed</w:t>
      </w:r>
      <w:r>
        <w:rPr>
          <w:color w:val="231F20"/>
          <w:spacing w:val="-4"/>
          <w:sz w:val="18"/>
        </w:rPr>
        <w:t> </w:t>
      </w:r>
      <w:r>
        <w:rPr>
          <w:color w:val="231F20"/>
          <w:sz w:val="18"/>
        </w:rPr>
        <w:t>here</w:t>
      </w:r>
      <w:r>
        <w:rPr>
          <w:color w:val="231F20"/>
          <w:spacing w:val="-4"/>
          <w:sz w:val="18"/>
        </w:rPr>
        <w:t> </w:t>
      </w:r>
      <w:r>
        <w:rPr>
          <w:color w:val="231F20"/>
          <w:sz w:val="18"/>
        </w:rPr>
        <w:t>that</w:t>
      </w:r>
      <w:r>
        <w:rPr>
          <w:color w:val="231F20"/>
          <w:spacing w:val="-4"/>
          <w:sz w:val="18"/>
        </w:rPr>
        <w:t> </w:t>
      </w:r>
      <w:r>
        <w:rPr>
          <w:color w:val="231F20"/>
          <w:sz w:val="18"/>
        </w:rPr>
        <w:t>those </w:t>
      </w:r>
      <w:r>
        <w:rPr>
          <w:color w:val="231F20"/>
          <w:spacing w:val="-2"/>
          <w:sz w:val="18"/>
        </w:rPr>
        <w:t>general</w:t>
      </w:r>
      <w:r>
        <w:rPr>
          <w:color w:val="231F20"/>
          <w:spacing w:val="-3"/>
          <w:sz w:val="18"/>
        </w:rPr>
        <w:t> </w:t>
      </w:r>
      <w:r>
        <w:rPr>
          <w:color w:val="231F20"/>
          <w:spacing w:val="-2"/>
          <w:sz w:val="18"/>
        </w:rPr>
        <w:t>principles</w:t>
      </w:r>
      <w:r>
        <w:rPr>
          <w:color w:val="231F20"/>
          <w:spacing w:val="-4"/>
          <w:sz w:val="18"/>
        </w:rPr>
        <w:t> </w:t>
      </w:r>
      <w:r>
        <w:rPr>
          <w:color w:val="231F20"/>
          <w:spacing w:val="-2"/>
          <w:sz w:val="18"/>
        </w:rPr>
        <w:t>explain</w:t>
      </w:r>
      <w:r>
        <w:rPr>
          <w:color w:val="231F20"/>
          <w:spacing w:val="-3"/>
          <w:sz w:val="18"/>
        </w:rPr>
        <w:t> </w:t>
      </w:r>
      <w:r>
        <w:rPr>
          <w:color w:val="231F20"/>
          <w:spacing w:val="-2"/>
          <w:sz w:val="18"/>
        </w:rPr>
        <w:t>the</w:t>
      </w:r>
      <w:r>
        <w:rPr>
          <w:color w:val="231F20"/>
          <w:spacing w:val="-4"/>
          <w:sz w:val="18"/>
        </w:rPr>
        <w:t> </w:t>
      </w:r>
      <w:r>
        <w:rPr>
          <w:color w:val="231F20"/>
          <w:spacing w:val="-2"/>
          <w:sz w:val="18"/>
        </w:rPr>
        <w:t>evolution</w:t>
      </w:r>
      <w:r>
        <w:rPr>
          <w:color w:val="231F20"/>
          <w:spacing w:val="-5"/>
          <w:sz w:val="18"/>
        </w:rPr>
        <w:t> </w:t>
      </w:r>
      <w:r>
        <w:rPr>
          <w:color w:val="231F20"/>
          <w:spacing w:val="-2"/>
          <w:sz w:val="18"/>
        </w:rPr>
        <w:t>of the</w:t>
      </w:r>
      <w:r>
        <w:rPr>
          <w:color w:val="231F20"/>
          <w:spacing w:val="-4"/>
          <w:sz w:val="18"/>
        </w:rPr>
        <w:t> </w:t>
      </w:r>
      <w:r>
        <w:rPr>
          <w:color w:val="231F20"/>
          <w:spacing w:val="-2"/>
          <w:sz w:val="18"/>
        </w:rPr>
        <w:t>remedy</w:t>
      </w:r>
      <w:r>
        <w:rPr>
          <w:color w:val="231F20"/>
          <w:spacing w:val="-3"/>
          <w:sz w:val="18"/>
        </w:rPr>
        <w:t> </w:t>
      </w:r>
      <w:r>
        <w:rPr>
          <w:color w:val="231F20"/>
          <w:spacing w:val="-2"/>
          <w:sz w:val="18"/>
        </w:rPr>
        <w:t>for</w:t>
      </w:r>
      <w:r>
        <w:rPr>
          <w:color w:val="231F20"/>
          <w:spacing w:val="-3"/>
          <w:sz w:val="18"/>
        </w:rPr>
        <w:t> </w:t>
      </w:r>
      <w:r>
        <w:rPr>
          <w:color w:val="231F20"/>
          <w:spacing w:val="-2"/>
          <w:sz w:val="18"/>
        </w:rPr>
        <w:t>unfair</w:t>
      </w:r>
      <w:r>
        <w:rPr>
          <w:color w:val="231F20"/>
          <w:spacing w:val="-4"/>
          <w:sz w:val="18"/>
        </w:rPr>
        <w:t> </w:t>
      </w:r>
      <w:r>
        <w:rPr>
          <w:color w:val="231F20"/>
          <w:spacing w:val="-2"/>
          <w:sz w:val="18"/>
        </w:rPr>
        <w:t>terms</w:t>
      </w:r>
      <w:r>
        <w:rPr>
          <w:color w:val="231F20"/>
          <w:spacing w:val="-4"/>
          <w:sz w:val="18"/>
        </w:rPr>
        <w:t> </w:t>
      </w:r>
      <w:r>
        <w:rPr>
          <w:color w:val="231F20"/>
          <w:spacing w:val="-2"/>
          <w:sz w:val="18"/>
        </w:rPr>
        <w:t>and</w:t>
      </w:r>
      <w:r>
        <w:rPr>
          <w:color w:val="231F20"/>
          <w:spacing w:val="-3"/>
          <w:sz w:val="18"/>
        </w:rPr>
        <w:t> </w:t>
      </w:r>
      <w:r>
        <w:rPr>
          <w:color w:val="231F20"/>
          <w:spacing w:val="-2"/>
          <w:sz w:val="18"/>
        </w:rPr>
        <w:t>its</w:t>
      </w:r>
      <w:r>
        <w:rPr>
          <w:color w:val="231F20"/>
          <w:spacing w:val="-4"/>
          <w:sz w:val="18"/>
        </w:rPr>
        <w:t> </w:t>
      </w:r>
      <w:r>
        <w:rPr>
          <w:color w:val="231F20"/>
          <w:spacing w:val="-2"/>
          <w:sz w:val="18"/>
        </w:rPr>
        <w:t>follow-on </w:t>
      </w:r>
      <w:r>
        <w:rPr>
          <w:color w:val="231F20"/>
          <w:sz w:val="18"/>
        </w:rPr>
        <w:t>consequences.</w:t>
      </w:r>
      <w:r>
        <w:rPr>
          <w:color w:val="231F20"/>
          <w:spacing w:val="-1"/>
          <w:sz w:val="18"/>
        </w:rPr>
        <w:t> </w:t>
      </w:r>
      <w:r>
        <w:rPr>
          <w:color w:val="231F20"/>
          <w:sz w:val="18"/>
        </w:rPr>
        <w:t>They</w:t>
      </w:r>
      <w:r>
        <w:rPr>
          <w:color w:val="231F20"/>
          <w:spacing w:val="-2"/>
          <w:sz w:val="18"/>
        </w:rPr>
        <w:t> </w:t>
      </w:r>
      <w:r>
        <w:rPr>
          <w:color w:val="231F20"/>
          <w:sz w:val="18"/>
        </w:rPr>
        <w:t>could also</w:t>
      </w:r>
      <w:r>
        <w:rPr>
          <w:color w:val="231F20"/>
          <w:spacing w:val="-1"/>
          <w:sz w:val="18"/>
        </w:rPr>
        <w:t> </w:t>
      </w:r>
      <w:r>
        <w:rPr>
          <w:color w:val="231F20"/>
          <w:sz w:val="18"/>
        </w:rPr>
        <w:t>bring light to</w:t>
      </w:r>
      <w:r>
        <w:rPr>
          <w:color w:val="231F20"/>
          <w:spacing w:val="-1"/>
          <w:sz w:val="18"/>
        </w:rPr>
        <w:t> </w:t>
      </w:r>
      <w:r>
        <w:rPr>
          <w:color w:val="231F20"/>
          <w:sz w:val="18"/>
        </w:rPr>
        <w:t>the clashes between EU</w:t>
      </w:r>
      <w:r>
        <w:rPr>
          <w:color w:val="231F20"/>
          <w:spacing w:val="-1"/>
          <w:sz w:val="18"/>
        </w:rPr>
        <w:t> </w:t>
      </w:r>
      <w:r>
        <w:rPr>
          <w:color w:val="231F20"/>
          <w:sz w:val="18"/>
        </w:rPr>
        <w:t>law and</w:t>
      </w:r>
      <w:r>
        <w:rPr>
          <w:color w:val="231F20"/>
          <w:spacing w:val="-1"/>
          <w:sz w:val="18"/>
        </w:rPr>
        <w:t> </w:t>
      </w:r>
      <w:r>
        <w:rPr>
          <w:color w:val="231F20"/>
          <w:sz w:val="18"/>
        </w:rPr>
        <w:t>national private law in the application of the UCTD.</w:t>
      </w:r>
    </w:p>
    <w:p>
      <w:pPr>
        <w:pStyle w:val="BodyText"/>
        <w:spacing w:before="14"/>
        <w:rPr>
          <w:sz w:val="18"/>
        </w:rPr>
      </w:pPr>
    </w:p>
    <w:p>
      <w:pPr>
        <w:spacing w:line="254" w:lineRule="auto" w:before="0"/>
        <w:ind w:left="871" w:right="867" w:firstLine="0"/>
        <w:jc w:val="both"/>
        <w:rPr>
          <w:sz w:val="18"/>
        </w:rPr>
      </w:pPr>
      <w:r>
        <w:rPr>
          <w:color w:val="231F20"/>
          <w:sz w:val="18"/>
        </w:rPr>
        <w:t>Résumé: Cet article présente le statu quo des conséquences des clauses </w:t>
      </w:r>
      <w:r>
        <w:rPr>
          <w:color w:val="231F20"/>
          <w:sz w:val="18"/>
        </w:rPr>
        <w:t>abusives (article 6.1 de la Directive 93/13 concernant les clauses abusives dans les contrats conclus</w:t>
      </w:r>
      <w:r>
        <w:rPr>
          <w:color w:val="231F20"/>
          <w:spacing w:val="-11"/>
          <w:sz w:val="18"/>
        </w:rPr>
        <w:t> </w:t>
      </w:r>
      <w:r>
        <w:rPr>
          <w:color w:val="231F20"/>
          <w:sz w:val="18"/>
        </w:rPr>
        <w:t>avec</w:t>
      </w:r>
      <w:r>
        <w:rPr>
          <w:color w:val="231F20"/>
          <w:spacing w:val="-11"/>
          <w:sz w:val="18"/>
        </w:rPr>
        <w:t> </w:t>
      </w:r>
      <w:r>
        <w:rPr>
          <w:color w:val="231F20"/>
          <w:sz w:val="18"/>
        </w:rPr>
        <w:t>les</w:t>
      </w:r>
      <w:r>
        <w:rPr>
          <w:color w:val="231F20"/>
          <w:spacing w:val="-11"/>
          <w:sz w:val="18"/>
        </w:rPr>
        <w:t> </w:t>
      </w:r>
      <w:r>
        <w:rPr>
          <w:color w:val="231F20"/>
          <w:sz w:val="18"/>
        </w:rPr>
        <w:t>consommateurs),</w:t>
      </w:r>
      <w:r>
        <w:rPr>
          <w:color w:val="231F20"/>
          <w:spacing w:val="-11"/>
          <w:sz w:val="18"/>
        </w:rPr>
        <w:t> </w:t>
      </w:r>
      <w:r>
        <w:rPr>
          <w:color w:val="231F20"/>
          <w:sz w:val="18"/>
        </w:rPr>
        <w:t>selon</w:t>
      </w:r>
      <w:r>
        <w:rPr>
          <w:color w:val="231F20"/>
          <w:spacing w:val="-11"/>
          <w:sz w:val="18"/>
        </w:rPr>
        <w:t> </w:t>
      </w:r>
      <w:r>
        <w:rPr>
          <w:color w:val="231F20"/>
          <w:sz w:val="18"/>
        </w:rPr>
        <w:t>l</w:t>
      </w:r>
      <w:r>
        <w:rPr>
          <w:rFonts w:ascii="Arial" w:hAnsi="Arial"/>
          <w:color w:val="231F20"/>
          <w:sz w:val="18"/>
        </w:rPr>
        <w:t>’</w:t>
      </w:r>
      <w:r>
        <w:rPr>
          <w:color w:val="231F20"/>
          <w:sz w:val="18"/>
        </w:rPr>
        <w:t>interprétation</w:t>
      </w:r>
      <w:r>
        <w:rPr>
          <w:color w:val="231F20"/>
          <w:spacing w:val="-11"/>
          <w:sz w:val="18"/>
        </w:rPr>
        <w:t> </w:t>
      </w:r>
      <w:r>
        <w:rPr>
          <w:color w:val="231F20"/>
          <w:sz w:val="18"/>
        </w:rPr>
        <w:t>de</w:t>
      </w:r>
      <w:r>
        <w:rPr>
          <w:color w:val="231F20"/>
          <w:spacing w:val="-10"/>
          <w:sz w:val="18"/>
        </w:rPr>
        <w:t> </w:t>
      </w:r>
      <w:r>
        <w:rPr>
          <w:color w:val="231F20"/>
          <w:sz w:val="18"/>
        </w:rPr>
        <w:t>la</w:t>
      </w:r>
      <w:r>
        <w:rPr>
          <w:color w:val="231F20"/>
          <w:spacing w:val="-11"/>
          <w:sz w:val="18"/>
        </w:rPr>
        <w:t> </w:t>
      </w:r>
      <w:r>
        <w:rPr>
          <w:color w:val="231F20"/>
          <w:sz w:val="18"/>
        </w:rPr>
        <w:t>Cour</w:t>
      </w:r>
      <w:r>
        <w:rPr>
          <w:color w:val="231F20"/>
          <w:spacing w:val="-11"/>
          <w:sz w:val="18"/>
        </w:rPr>
        <w:t> </w:t>
      </w:r>
      <w:r>
        <w:rPr>
          <w:color w:val="231F20"/>
          <w:sz w:val="18"/>
        </w:rPr>
        <w:t>de</w:t>
      </w:r>
      <w:r>
        <w:rPr>
          <w:color w:val="231F20"/>
          <w:spacing w:val="-11"/>
          <w:sz w:val="18"/>
        </w:rPr>
        <w:t> </w:t>
      </w:r>
      <w:r>
        <w:rPr>
          <w:color w:val="231F20"/>
          <w:sz w:val="18"/>
        </w:rPr>
        <w:t>justice</w:t>
      </w:r>
      <w:r>
        <w:rPr>
          <w:color w:val="231F20"/>
          <w:spacing w:val="-11"/>
          <w:sz w:val="18"/>
        </w:rPr>
        <w:t> </w:t>
      </w:r>
      <w:r>
        <w:rPr>
          <w:color w:val="231F20"/>
          <w:sz w:val="18"/>
        </w:rPr>
        <w:t>de</w:t>
      </w:r>
      <w:r>
        <w:rPr>
          <w:color w:val="231F20"/>
          <w:spacing w:val="-11"/>
          <w:sz w:val="18"/>
        </w:rPr>
        <w:t> </w:t>
      </w:r>
      <w:r>
        <w:rPr>
          <w:color w:val="231F20"/>
          <w:sz w:val="18"/>
        </w:rPr>
        <w:t>l</w:t>
      </w:r>
      <w:r>
        <w:rPr>
          <w:rFonts w:ascii="Arial" w:hAnsi="Arial"/>
          <w:color w:val="231F20"/>
          <w:sz w:val="18"/>
        </w:rPr>
        <w:t>’</w:t>
      </w:r>
      <w:r>
        <w:rPr>
          <w:color w:val="231F20"/>
          <w:sz w:val="18"/>
        </w:rPr>
        <w:t>Union européenne. Dans cette tâche, il fournit des raisons pour des arrêts apparemment contradictoires et s</w:t>
      </w:r>
      <w:r>
        <w:rPr>
          <w:rFonts w:ascii="Arial" w:hAnsi="Arial"/>
          <w:color w:val="231F20"/>
          <w:sz w:val="18"/>
        </w:rPr>
        <w:t>’</w:t>
      </w:r>
      <w:r>
        <w:rPr>
          <w:color w:val="231F20"/>
          <w:sz w:val="18"/>
        </w:rPr>
        <w:t>engage dans des décisions incohérentes. Pour naviguer dans ces eaux</w:t>
      </w:r>
      <w:r>
        <w:rPr>
          <w:color w:val="231F20"/>
          <w:spacing w:val="-9"/>
          <w:sz w:val="18"/>
        </w:rPr>
        <w:t> </w:t>
      </w:r>
      <w:r>
        <w:rPr>
          <w:color w:val="231F20"/>
          <w:sz w:val="18"/>
        </w:rPr>
        <w:t>troubles,</w:t>
      </w:r>
      <w:r>
        <w:rPr>
          <w:color w:val="231F20"/>
          <w:spacing w:val="-9"/>
          <w:sz w:val="18"/>
        </w:rPr>
        <w:t> </w:t>
      </w:r>
      <w:r>
        <w:rPr>
          <w:color w:val="231F20"/>
          <w:sz w:val="18"/>
        </w:rPr>
        <w:t>l</w:t>
      </w:r>
      <w:r>
        <w:rPr>
          <w:rFonts w:ascii="Arial" w:hAnsi="Arial"/>
          <w:color w:val="231F20"/>
          <w:sz w:val="18"/>
        </w:rPr>
        <w:t>’</w:t>
      </w:r>
      <w:r>
        <w:rPr>
          <w:color w:val="231F20"/>
          <w:sz w:val="18"/>
        </w:rPr>
        <w:t>article</w:t>
      </w:r>
      <w:r>
        <w:rPr>
          <w:color w:val="231F20"/>
          <w:spacing w:val="-9"/>
          <w:sz w:val="18"/>
        </w:rPr>
        <w:t> </w:t>
      </w:r>
      <w:r>
        <w:rPr>
          <w:color w:val="231F20"/>
          <w:sz w:val="18"/>
        </w:rPr>
        <w:t>se</w:t>
      </w:r>
      <w:r>
        <w:rPr>
          <w:color w:val="231F20"/>
          <w:spacing w:val="-9"/>
          <w:sz w:val="18"/>
        </w:rPr>
        <w:t> </w:t>
      </w:r>
      <w:r>
        <w:rPr>
          <w:color w:val="231F20"/>
          <w:sz w:val="18"/>
        </w:rPr>
        <w:t>réfère</w:t>
      </w:r>
      <w:r>
        <w:rPr>
          <w:color w:val="231F20"/>
          <w:spacing w:val="-9"/>
          <w:sz w:val="18"/>
        </w:rPr>
        <w:t> </w:t>
      </w:r>
      <w:r>
        <w:rPr>
          <w:color w:val="231F20"/>
          <w:sz w:val="18"/>
        </w:rPr>
        <w:t>aux</w:t>
      </w:r>
      <w:r>
        <w:rPr>
          <w:color w:val="231F20"/>
          <w:spacing w:val="-9"/>
          <w:sz w:val="18"/>
        </w:rPr>
        <w:t> </w:t>
      </w:r>
      <w:r>
        <w:rPr>
          <w:color w:val="231F20"/>
          <w:sz w:val="18"/>
        </w:rPr>
        <w:t>principes</w:t>
      </w:r>
      <w:r>
        <w:rPr>
          <w:color w:val="231F20"/>
          <w:spacing w:val="-9"/>
          <w:sz w:val="18"/>
        </w:rPr>
        <w:t> </w:t>
      </w:r>
      <w:r>
        <w:rPr>
          <w:color w:val="231F20"/>
          <w:sz w:val="18"/>
        </w:rPr>
        <w:t>généraux</w:t>
      </w:r>
      <w:r>
        <w:rPr>
          <w:color w:val="231F20"/>
          <w:spacing w:val="-9"/>
          <w:sz w:val="18"/>
        </w:rPr>
        <w:t> </w:t>
      </w:r>
      <w:r>
        <w:rPr>
          <w:color w:val="231F20"/>
          <w:sz w:val="18"/>
        </w:rPr>
        <w:t>du</w:t>
      </w:r>
      <w:r>
        <w:rPr>
          <w:color w:val="231F20"/>
          <w:spacing w:val="-9"/>
          <w:sz w:val="18"/>
        </w:rPr>
        <w:t> </w:t>
      </w:r>
      <w:r>
        <w:rPr>
          <w:color w:val="231F20"/>
          <w:sz w:val="18"/>
        </w:rPr>
        <w:t>droit</w:t>
      </w:r>
      <w:r>
        <w:rPr>
          <w:color w:val="231F20"/>
          <w:spacing w:val="-9"/>
          <w:sz w:val="18"/>
        </w:rPr>
        <w:t> </w:t>
      </w:r>
      <w:r>
        <w:rPr>
          <w:color w:val="231F20"/>
          <w:sz w:val="18"/>
        </w:rPr>
        <w:t>de</w:t>
      </w:r>
      <w:r>
        <w:rPr>
          <w:color w:val="231F20"/>
          <w:spacing w:val="-9"/>
          <w:sz w:val="18"/>
        </w:rPr>
        <w:t> </w:t>
      </w:r>
      <w:r>
        <w:rPr>
          <w:color w:val="231F20"/>
          <w:sz w:val="18"/>
        </w:rPr>
        <w:t>l</w:t>
      </w:r>
      <w:r>
        <w:rPr>
          <w:rFonts w:ascii="Arial" w:hAnsi="Arial"/>
          <w:color w:val="231F20"/>
          <w:sz w:val="18"/>
        </w:rPr>
        <w:t>’</w:t>
      </w:r>
      <w:r>
        <w:rPr>
          <w:color w:val="231F20"/>
          <w:sz w:val="18"/>
        </w:rPr>
        <w:t>UE,</w:t>
      </w:r>
      <w:r>
        <w:rPr>
          <w:color w:val="231F20"/>
          <w:spacing w:val="-9"/>
          <w:sz w:val="18"/>
        </w:rPr>
        <w:t> </w:t>
      </w:r>
      <w:r>
        <w:rPr>
          <w:color w:val="231F20"/>
          <w:sz w:val="18"/>
        </w:rPr>
        <w:t>même</w:t>
      </w:r>
      <w:r>
        <w:rPr>
          <w:color w:val="231F20"/>
          <w:spacing w:val="-9"/>
          <w:sz w:val="18"/>
        </w:rPr>
        <w:t> </w:t>
      </w:r>
      <w:r>
        <w:rPr>
          <w:color w:val="231F20"/>
          <w:sz w:val="18"/>
        </w:rPr>
        <w:t>au-delà de ceux qui sont explicites dans les décisions de la Cour de justice. Il affirme que ces principes</w:t>
      </w:r>
      <w:r>
        <w:rPr>
          <w:color w:val="231F20"/>
          <w:spacing w:val="-2"/>
          <w:sz w:val="18"/>
        </w:rPr>
        <w:t> </w:t>
      </w:r>
      <w:r>
        <w:rPr>
          <w:color w:val="231F20"/>
          <w:sz w:val="18"/>
        </w:rPr>
        <w:t>généraux</w:t>
      </w:r>
      <w:r>
        <w:rPr>
          <w:color w:val="231F20"/>
          <w:spacing w:val="-5"/>
          <w:sz w:val="18"/>
        </w:rPr>
        <w:t> </w:t>
      </w:r>
      <w:r>
        <w:rPr>
          <w:color w:val="231F20"/>
          <w:sz w:val="18"/>
        </w:rPr>
        <w:t>expliquent</w:t>
      </w:r>
      <w:r>
        <w:rPr>
          <w:color w:val="231F20"/>
          <w:spacing w:val="-2"/>
          <w:sz w:val="18"/>
        </w:rPr>
        <w:t> </w:t>
      </w:r>
      <w:r>
        <w:rPr>
          <w:color w:val="231F20"/>
          <w:sz w:val="18"/>
        </w:rPr>
        <w:t>l</w:t>
      </w:r>
      <w:r>
        <w:rPr>
          <w:rFonts w:ascii="Arial" w:hAnsi="Arial"/>
          <w:color w:val="231F20"/>
          <w:sz w:val="18"/>
        </w:rPr>
        <w:t>’</w:t>
      </w:r>
      <w:r>
        <w:rPr>
          <w:color w:val="231F20"/>
          <w:sz w:val="18"/>
        </w:rPr>
        <w:t>évolution</w:t>
      </w:r>
      <w:r>
        <w:rPr>
          <w:color w:val="231F20"/>
          <w:spacing w:val="-4"/>
          <w:sz w:val="18"/>
        </w:rPr>
        <w:t> </w:t>
      </w:r>
      <w:r>
        <w:rPr>
          <w:color w:val="231F20"/>
          <w:sz w:val="18"/>
        </w:rPr>
        <w:t>du</w:t>
      </w:r>
      <w:r>
        <w:rPr>
          <w:color w:val="231F20"/>
          <w:spacing w:val="-2"/>
          <w:sz w:val="18"/>
        </w:rPr>
        <w:t> </w:t>
      </w:r>
      <w:r>
        <w:rPr>
          <w:color w:val="231F20"/>
          <w:sz w:val="18"/>
        </w:rPr>
        <w:t>recours</w:t>
      </w:r>
      <w:r>
        <w:rPr>
          <w:color w:val="231F20"/>
          <w:spacing w:val="-2"/>
          <w:sz w:val="18"/>
        </w:rPr>
        <w:t> </w:t>
      </w:r>
      <w:r>
        <w:rPr>
          <w:color w:val="231F20"/>
          <w:sz w:val="18"/>
        </w:rPr>
        <w:t>contre</w:t>
      </w:r>
      <w:r>
        <w:rPr>
          <w:color w:val="231F20"/>
          <w:spacing w:val="-3"/>
          <w:sz w:val="18"/>
        </w:rPr>
        <w:t> </w:t>
      </w:r>
      <w:r>
        <w:rPr>
          <w:color w:val="231F20"/>
          <w:sz w:val="18"/>
        </w:rPr>
        <w:t>les</w:t>
      </w:r>
      <w:r>
        <w:rPr>
          <w:color w:val="231F20"/>
          <w:spacing w:val="-2"/>
          <w:sz w:val="18"/>
        </w:rPr>
        <w:t> </w:t>
      </w:r>
      <w:r>
        <w:rPr>
          <w:color w:val="231F20"/>
          <w:sz w:val="18"/>
        </w:rPr>
        <w:t>clauses</w:t>
      </w:r>
      <w:r>
        <w:rPr>
          <w:color w:val="231F20"/>
          <w:spacing w:val="-2"/>
          <w:sz w:val="18"/>
        </w:rPr>
        <w:t> </w:t>
      </w:r>
      <w:r>
        <w:rPr>
          <w:color w:val="231F20"/>
          <w:sz w:val="18"/>
        </w:rPr>
        <w:t>abusives</w:t>
      </w:r>
      <w:r>
        <w:rPr>
          <w:color w:val="231F20"/>
          <w:spacing w:val="-2"/>
          <w:sz w:val="18"/>
        </w:rPr>
        <w:t> </w:t>
      </w:r>
      <w:r>
        <w:rPr>
          <w:color w:val="231F20"/>
          <w:sz w:val="18"/>
        </w:rPr>
        <w:t>et</w:t>
      </w:r>
      <w:r>
        <w:rPr>
          <w:color w:val="231F20"/>
          <w:spacing w:val="-2"/>
          <w:sz w:val="18"/>
        </w:rPr>
        <w:t> </w:t>
      </w:r>
      <w:r>
        <w:rPr>
          <w:color w:val="231F20"/>
          <w:sz w:val="18"/>
        </w:rPr>
        <w:t>ses conséquences</w:t>
      </w:r>
      <w:r>
        <w:rPr>
          <w:color w:val="231F20"/>
          <w:spacing w:val="-10"/>
          <w:sz w:val="18"/>
        </w:rPr>
        <w:t> </w:t>
      </w:r>
      <w:r>
        <w:rPr>
          <w:color w:val="231F20"/>
          <w:sz w:val="18"/>
        </w:rPr>
        <w:t>ultérieures.</w:t>
      </w:r>
      <w:r>
        <w:rPr>
          <w:color w:val="231F20"/>
          <w:spacing w:val="-10"/>
          <w:sz w:val="18"/>
        </w:rPr>
        <w:t> </w:t>
      </w:r>
      <w:r>
        <w:rPr>
          <w:color w:val="231F20"/>
          <w:sz w:val="18"/>
        </w:rPr>
        <w:t>Ils</w:t>
      </w:r>
      <w:r>
        <w:rPr>
          <w:color w:val="231F20"/>
          <w:spacing w:val="-10"/>
          <w:sz w:val="18"/>
        </w:rPr>
        <w:t> </w:t>
      </w:r>
      <w:r>
        <w:rPr>
          <w:color w:val="231F20"/>
          <w:sz w:val="18"/>
        </w:rPr>
        <w:t>pourraient</w:t>
      </w:r>
      <w:r>
        <w:rPr>
          <w:color w:val="231F20"/>
          <w:spacing w:val="-10"/>
          <w:sz w:val="18"/>
        </w:rPr>
        <w:t> </w:t>
      </w:r>
      <w:r>
        <w:rPr>
          <w:color w:val="231F20"/>
          <w:sz w:val="18"/>
        </w:rPr>
        <w:t>également</w:t>
      </w:r>
      <w:r>
        <w:rPr>
          <w:color w:val="231F20"/>
          <w:spacing w:val="-10"/>
          <w:sz w:val="18"/>
        </w:rPr>
        <w:t> </w:t>
      </w:r>
      <w:r>
        <w:rPr>
          <w:color w:val="231F20"/>
          <w:sz w:val="18"/>
        </w:rPr>
        <w:t>mettre</w:t>
      </w:r>
      <w:r>
        <w:rPr>
          <w:color w:val="231F20"/>
          <w:spacing w:val="-10"/>
          <w:sz w:val="18"/>
        </w:rPr>
        <w:t> </w:t>
      </w:r>
      <w:r>
        <w:rPr>
          <w:color w:val="231F20"/>
          <w:sz w:val="18"/>
        </w:rPr>
        <w:t>en</w:t>
      </w:r>
      <w:r>
        <w:rPr>
          <w:color w:val="231F20"/>
          <w:spacing w:val="-10"/>
          <w:sz w:val="18"/>
        </w:rPr>
        <w:t> </w:t>
      </w:r>
      <w:r>
        <w:rPr>
          <w:color w:val="231F20"/>
          <w:sz w:val="18"/>
        </w:rPr>
        <w:t>lumière</w:t>
      </w:r>
      <w:r>
        <w:rPr>
          <w:color w:val="231F20"/>
          <w:spacing w:val="-10"/>
          <w:sz w:val="18"/>
        </w:rPr>
        <w:t> </w:t>
      </w:r>
      <w:r>
        <w:rPr>
          <w:color w:val="231F20"/>
          <w:sz w:val="18"/>
        </w:rPr>
        <w:t>les</w:t>
      </w:r>
      <w:r>
        <w:rPr>
          <w:color w:val="231F20"/>
          <w:spacing w:val="-10"/>
          <w:sz w:val="18"/>
        </w:rPr>
        <w:t> </w:t>
      </w:r>
      <w:r>
        <w:rPr>
          <w:color w:val="231F20"/>
          <w:sz w:val="18"/>
        </w:rPr>
        <w:t>conflits</w:t>
      </w:r>
      <w:r>
        <w:rPr>
          <w:color w:val="231F20"/>
          <w:spacing w:val="-10"/>
          <w:sz w:val="18"/>
        </w:rPr>
        <w:t> </w:t>
      </w:r>
      <w:r>
        <w:rPr>
          <w:color w:val="231F20"/>
          <w:sz w:val="18"/>
        </w:rPr>
        <w:t>entre le droit de l</w:t>
      </w:r>
      <w:r>
        <w:rPr>
          <w:rFonts w:ascii="Arial" w:hAnsi="Arial"/>
          <w:color w:val="231F20"/>
          <w:sz w:val="18"/>
        </w:rPr>
        <w:t>’</w:t>
      </w:r>
      <w:r>
        <w:rPr>
          <w:color w:val="231F20"/>
          <w:sz w:val="18"/>
        </w:rPr>
        <w:t>UE et le droit privé national dans l</w:t>
      </w:r>
      <w:r>
        <w:rPr>
          <w:rFonts w:ascii="Arial" w:hAnsi="Arial"/>
          <w:color w:val="231F20"/>
          <w:sz w:val="18"/>
        </w:rPr>
        <w:t>’</w:t>
      </w:r>
      <w:r>
        <w:rPr>
          <w:color w:val="231F20"/>
          <w:sz w:val="18"/>
        </w:rPr>
        <w:t>application de la Directive 93/13.</w:t>
      </w:r>
    </w:p>
    <w:p>
      <w:pPr>
        <w:pStyle w:val="BodyText"/>
        <w:spacing w:before="18"/>
        <w:rPr>
          <w:sz w:val="18"/>
        </w:rPr>
      </w:pPr>
    </w:p>
    <w:p>
      <w:pPr>
        <w:spacing w:line="256" w:lineRule="auto" w:before="0"/>
        <w:ind w:left="871" w:right="868" w:firstLine="0"/>
        <w:jc w:val="both"/>
        <w:rPr>
          <w:sz w:val="18"/>
        </w:rPr>
      </w:pPr>
      <w:r>
        <w:rPr>
          <w:color w:val="231F20"/>
          <w:sz w:val="18"/>
        </w:rPr>
        <w:t>Zusammenfassung: Dieser Artikel stellt den Status quo der Konsequenzen für missbräuchliche Klauseln (Art. 6 Abs. 1 der Richtlinie 93/13 über </w:t>
      </w:r>
      <w:r>
        <w:rPr>
          <w:color w:val="231F20"/>
          <w:sz w:val="18"/>
        </w:rPr>
        <w:t>missbräuchliche Klauseln in Verbraucherverträgen) in der Auslegung des Europäischen Gerichtshofs (EuGH) dar. Dabei rechtfertigt sie scheinbar widersprüchliche Urteile und geht auf </w:t>
      </w:r>
      <w:r>
        <w:rPr>
          <w:color w:val="231F20"/>
          <w:spacing w:val="-2"/>
          <w:sz w:val="18"/>
        </w:rPr>
        <w:t>widersprüchliche</w:t>
      </w:r>
      <w:r>
        <w:rPr>
          <w:color w:val="231F20"/>
          <w:spacing w:val="-8"/>
          <w:sz w:val="18"/>
        </w:rPr>
        <w:t> </w:t>
      </w:r>
      <w:r>
        <w:rPr>
          <w:color w:val="231F20"/>
          <w:spacing w:val="-2"/>
          <w:sz w:val="18"/>
        </w:rPr>
        <w:t>Entscheidungen</w:t>
      </w:r>
      <w:r>
        <w:rPr>
          <w:color w:val="231F20"/>
          <w:spacing w:val="-7"/>
          <w:sz w:val="18"/>
        </w:rPr>
        <w:t> </w:t>
      </w:r>
      <w:r>
        <w:rPr>
          <w:color w:val="231F20"/>
          <w:spacing w:val="-2"/>
          <w:sz w:val="18"/>
        </w:rPr>
        <w:t>ein.</w:t>
      </w:r>
      <w:r>
        <w:rPr>
          <w:color w:val="231F20"/>
          <w:spacing w:val="-8"/>
          <w:sz w:val="18"/>
        </w:rPr>
        <w:t> </w:t>
      </w:r>
      <w:r>
        <w:rPr>
          <w:color w:val="231F20"/>
          <w:spacing w:val="-2"/>
          <w:sz w:val="18"/>
        </w:rPr>
        <w:t>Um</w:t>
      </w:r>
      <w:r>
        <w:rPr>
          <w:color w:val="231F20"/>
          <w:spacing w:val="-9"/>
          <w:sz w:val="18"/>
        </w:rPr>
        <w:t> </w:t>
      </w:r>
      <w:r>
        <w:rPr>
          <w:color w:val="231F20"/>
          <w:spacing w:val="-2"/>
          <w:sz w:val="18"/>
        </w:rPr>
        <w:t>sich</w:t>
      </w:r>
      <w:r>
        <w:rPr>
          <w:color w:val="231F20"/>
          <w:spacing w:val="-7"/>
          <w:sz w:val="18"/>
        </w:rPr>
        <w:t> </w:t>
      </w:r>
      <w:r>
        <w:rPr>
          <w:color w:val="231F20"/>
          <w:spacing w:val="-2"/>
          <w:sz w:val="18"/>
        </w:rPr>
        <w:t>in</w:t>
      </w:r>
      <w:r>
        <w:rPr>
          <w:color w:val="231F20"/>
          <w:spacing w:val="-8"/>
          <w:sz w:val="18"/>
        </w:rPr>
        <w:t> </w:t>
      </w:r>
      <w:r>
        <w:rPr>
          <w:color w:val="231F20"/>
          <w:spacing w:val="-2"/>
          <w:sz w:val="18"/>
        </w:rPr>
        <w:t>diesen</w:t>
      </w:r>
      <w:r>
        <w:rPr>
          <w:color w:val="231F20"/>
          <w:spacing w:val="-8"/>
          <w:sz w:val="18"/>
        </w:rPr>
        <w:t> </w:t>
      </w:r>
      <w:r>
        <w:rPr>
          <w:color w:val="231F20"/>
          <w:spacing w:val="-2"/>
          <w:sz w:val="18"/>
        </w:rPr>
        <w:t>unruhigen</w:t>
      </w:r>
      <w:r>
        <w:rPr>
          <w:color w:val="231F20"/>
          <w:spacing w:val="-7"/>
          <w:sz w:val="18"/>
        </w:rPr>
        <w:t> </w:t>
      </w:r>
      <w:r>
        <w:rPr>
          <w:color w:val="231F20"/>
          <w:spacing w:val="-2"/>
          <w:sz w:val="18"/>
        </w:rPr>
        <w:t>Gewässern</w:t>
      </w:r>
      <w:r>
        <w:rPr>
          <w:color w:val="231F20"/>
          <w:spacing w:val="-8"/>
          <w:sz w:val="18"/>
        </w:rPr>
        <w:t> </w:t>
      </w:r>
      <w:r>
        <w:rPr>
          <w:color w:val="231F20"/>
          <w:spacing w:val="-2"/>
          <w:sz w:val="18"/>
        </w:rPr>
        <w:t>zurecht- zufinden,</w:t>
      </w:r>
      <w:r>
        <w:rPr>
          <w:color w:val="231F20"/>
          <w:spacing w:val="-7"/>
          <w:sz w:val="18"/>
        </w:rPr>
        <w:t> </w:t>
      </w:r>
      <w:r>
        <w:rPr>
          <w:color w:val="231F20"/>
          <w:spacing w:val="-2"/>
          <w:sz w:val="18"/>
        </w:rPr>
        <w:t>verweist</w:t>
      </w:r>
      <w:r>
        <w:rPr>
          <w:color w:val="231F20"/>
          <w:spacing w:val="-9"/>
          <w:sz w:val="18"/>
        </w:rPr>
        <w:t> </w:t>
      </w:r>
      <w:r>
        <w:rPr>
          <w:color w:val="231F20"/>
          <w:spacing w:val="-2"/>
          <w:sz w:val="18"/>
        </w:rPr>
        <w:t>der</w:t>
      </w:r>
      <w:r>
        <w:rPr>
          <w:color w:val="231F20"/>
          <w:spacing w:val="-7"/>
          <w:sz w:val="18"/>
        </w:rPr>
        <w:t> </w:t>
      </w:r>
      <w:r>
        <w:rPr>
          <w:color w:val="231F20"/>
          <w:spacing w:val="-2"/>
          <w:sz w:val="18"/>
        </w:rPr>
        <w:t>Artikel</w:t>
      </w:r>
      <w:r>
        <w:rPr>
          <w:color w:val="231F20"/>
          <w:spacing w:val="-8"/>
          <w:sz w:val="18"/>
        </w:rPr>
        <w:t> </w:t>
      </w:r>
      <w:r>
        <w:rPr>
          <w:color w:val="231F20"/>
          <w:spacing w:val="-2"/>
          <w:sz w:val="18"/>
        </w:rPr>
        <w:t>auf</w:t>
      </w:r>
      <w:r>
        <w:rPr>
          <w:color w:val="231F20"/>
          <w:spacing w:val="-7"/>
          <w:sz w:val="18"/>
        </w:rPr>
        <w:t> </w:t>
      </w:r>
      <w:r>
        <w:rPr>
          <w:color w:val="231F20"/>
          <w:spacing w:val="-2"/>
          <w:sz w:val="18"/>
        </w:rPr>
        <w:t>die</w:t>
      </w:r>
      <w:r>
        <w:rPr>
          <w:color w:val="231F20"/>
          <w:spacing w:val="-7"/>
          <w:sz w:val="18"/>
        </w:rPr>
        <w:t> </w:t>
      </w:r>
      <w:r>
        <w:rPr>
          <w:color w:val="231F20"/>
          <w:spacing w:val="-2"/>
          <w:sz w:val="18"/>
        </w:rPr>
        <w:t>allgemeinen</w:t>
      </w:r>
      <w:r>
        <w:rPr>
          <w:color w:val="231F20"/>
          <w:spacing w:val="-7"/>
          <w:sz w:val="18"/>
        </w:rPr>
        <w:t> </w:t>
      </w:r>
      <w:r>
        <w:rPr>
          <w:color w:val="231F20"/>
          <w:spacing w:val="-2"/>
          <w:sz w:val="18"/>
        </w:rPr>
        <w:t>Grundsätze</w:t>
      </w:r>
      <w:r>
        <w:rPr>
          <w:color w:val="231F20"/>
          <w:spacing w:val="-7"/>
          <w:sz w:val="18"/>
        </w:rPr>
        <w:t> </w:t>
      </w:r>
      <w:r>
        <w:rPr>
          <w:color w:val="231F20"/>
          <w:spacing w:val="-2"/>
          <w:sz w:val="18"/>
        </w:rPr>
        <w:t>des</w:t>
      </w:r>
      <w:r>
        <w:rPr>
          <w:color w:val="231F20"/>
          <w:spacing w:val="-7"/>
          <w:sz w:val="18"/>
        </w:rPr>
        <w:t> </w:t>
      </w:r>
      <w:r>
        <w:rPr>
          <w:color w:val="231F20"/>
          <w:spacing w:val="-2"/>
          <w:sz w:val="18"/>
        </w:rPr>
        <w:t>EU-Rechts,</w:t>
      </w:r>
      <w:r>
        <w:rPr>
          <w:color w:val="231F20"/>
          <w:spacing w:val="-7"/>
          <w:sz w:val="18"/>
        </w:rPr>
        <w:t> </w:t>
      </w:r>
      <w:r>
        <w:rPr>
          <w:color w:val="231F20"/>
          <w:spacing w:val="-2"/>
          <w:sz w:val="18"/>
        </w:rPr>
        <w:t>auch</w:t>
      </w:r>
      <w:r>
        <w:rPr>
          <w:color w:val="231F20"/>
          <w:spacing w:val="-7"/>
          <w:sz w:val="18"/>
        </w:rPr>
        <w:t> </w:t>
      </w:r>
      <w:r>
        <w:rPr>
          <w:color w:val="231F20"/>
          <w:spacing w:val="-2"/>
          <w:sz w:val="18"/>
        </w:rPr>
        <w:t>über </w:t>
      </w:r>
      <w:r>
        <w:rPr>
          <w:color w:val="231F20"/>
          <w:sz w:val="18"/>
        </w:rPr>
        <w:t>die in den Urteilen des EuGH ausdrücklich genannten hinaus. Es wird argumentiert, dass diese allgemeinen Grundsätze die Entwicklung des Rechtsbehelfs gegen missbräuchliche</w:t>
      </w:r>
      <w:r>
        <w:rPr>
          <w:color w:val="231F20"/>
          <w:spacing w:val="-9"/>
          <w:sz w:val="18"/>
        </w:rPr>
        <w:t> </w:t>
      </w:r>
      <w:r>
        <w:rPr>
          <w:color w:val="231F20"/>
          <w:sz w:val="18"/>
        </w:rPr>
        <w:t>Klauseln</w:t>
      </w:r>
      <w:r>
        <w:rPr>
          <w:color w:val="231F20"/>
          <w:spacing w:val="-8"/>
          <w:sz w:val="18"/>
        </w:rPr>
        <w:t> </w:t>
      </w:r>
      <w:r>
        <w:rPr>
          <w:color w:val="231F20"/>
          <w:sz w:val="18"/>
        </w:rPr>
        <w:t>und</w:t>
      </w:r>
      <w:r>
        <w:rPr>
          <w:color w:val="231F20"/>
          <w:spacing w:val="-10"/>
          <w:sz w:val="18"/>
        </w:rPr>
        <w:t> </w:t>
      </w:r>
      <w:r>
        <w:rPr>
          <w:color w:val="231F20"/>
          <w:sz w:val="18"/>
        </w:rPr>
        <w:t>die</w:t>
      </w:r>
      <w:r>
        <w:rPr>
          <w:color w:val="231F20"/>
          <w:spacing w:val="-9"/>
          <w:sz w:val="18"/>
        </w:rPr>
        <w:t> </w:t>
      </w:r>
      <w:r>
        <w:rPr>
          <w:color w:val="231F20"/>
          <w:sz w:val="18"/>
        </w:rPr>
        <w:t>sich</w:t>
      </w:r>
      <w:r>
        <w:rPr>
          <w:color w:val="231F20"/>
          <w:spacing w:val="-9"/>
          <w:sz w:val="18"/>
        </w:rPr>
        <w:t> </w:t>
      </w:r>
      <w:r>
        <w:rPr>
          <w:color w:val="231F20"/>
          <w:sz w:val="18"/>
        </w:rPr>
        <w:t>daraus</w:t>
      </w:r>
      <w:r>
        <w:rPr>
          <w:color w:val="231F20"/>
          <w:spacing w:val="-9"/>
          <w:sz w:val="18"/>
        </w:rPr>
        <w:t> </w:t>
      </w:r>
      <w:r>
        <w:rPr>
          <w:color w:val="231F20"/>
          <w:sz w:val="18"/>
        </w:rPr>
        <w:t>ergebenden</w:t>
      </w:r>
      <w:r>
        <w:rPr>
          <w:color w:val="231F20"/>
          <w:spacing w:val="-8"/>
          <w:sz w:val="18"/>
        </w:rPr>
        <w:t> </w:t>
      </w:r>
      <w:r>
        <w:rPr>
          <w:color w:val="231F20"/>
          <w:sz w:val="18"/>
        </w:rPr>
        <w:t>Konsequenzen</w:t>
      </w:r>
      <w:r>
        <w:rPr>
          <w:color w:val="231F20"/>
          <w:spacing w:val="-9"/>
          <w:sz w:val="18"/>
        </w:rPr>
        <w:t> </w:t>
      </w:r>
      <w:r>
        <w:rPr>
          <w:color w:val="231F20"/>
          <w:sz w:val="18"/>
        </w:rPr>
        <w:t>erklären.</w:t>
      </w:r>
      <w:r>
        <w:rPr>
          <w:color w:val="231F20"/>
          <w:spacing w:val="-10"/>
          <w:sz w:val="18"/>
        </w:rPr>
        <w:t> </w:t>
      </w:r>
      <w:r>
        <w:rPr>
          <w:color w:val="231F20"/>
          <w:sz w:val="18"/>
        </w:rPr>
        <w:t>Sie könnten auch Aufschluss über die Konflikte zwischen EU-Recht und nationalem Privatrecht bei der Anwendung der Richtlinie über missbräuchliche Klauseln geben.</w:t>
      </w:r>
    </w:p>
    <w:p>
      <w:pPr>
        <w:pStyle w:val="BodyText"/>
        <w:spacing w:before="19"/>
        <w:rPr>
          <w:sz w:val="18"/>
        </w:rPr>
      </w:pPr>
    </w:p>
    <w:p>
      <w:pPr>
        <w:spacing w:line="256" w:lineRule="auto" w:before="0"/>
        <w:ind w:left="871" w:right="868" w:firstLine="0"/>
        <w:jc w:val="both"/>
        <w:rPr>
          <w:sz w:val="18"/>
        </w:rPr>
      </w:pPr>
      <w:r>
        <w:rPr>
          <w:color w:val="231F20"/>
          <w:sz w:val="18"/>
        </w:rPr>
        <w:t>Resumen:</w:t>
      </w:r>
      <w:r>
        <w:rPr>
          <w:color w:val="231F20"/>
          <w:spacing w:val="-9"/>
          <w:sz w:val="18"/>
        </w:rPr>
        <w:t> </w:t>
      </w:r>
      <w:r>
        <w:rPr>
          <w:color w:val="231F20"/>
          <w:sz w:val="18"/>
        </w:rPr>
        <w:t>Este</w:t>
      </w:r>
      <w:r>
        <w:rPr>
          <w:color w:val="231F20"/>
          <w:spacing w:val="-7"/>
          <w:sz w:val="18"/>
        </w:rPr>
        <w:t> </w:t>
      </w:r>
      <w:r>
        <w:rPr>
          <w:color w:val="231F20"/>
          <w:sz w:val="18"/>
        </w:rPr>
        <w:t>artículo</w:t>
      </w:r>
      <w:r>
        <w:rPr>
          <w:color w:val="231F20"/>
          <w:spacing w:val="-8"/>
          <w:sz w:val="18"/>
        </w:rPr>
        <w:t> </w:t>
      </w:r>
      <w:r>
        <w:rPr>
          <w:color w:val="231F20"/>
          <w:sz w:val="18"/>
        </w:rPr>
        <w:t>presenta</w:t>
      </w:r>
      <w:r>
        <w:rPr>
          <w:color w:val="231F20"/>
          <w:spacing w:val="-9"/>
          <w:sz w:val="18"/>
        </w:rPr>
        <w:t> </w:t>
      </w:r>
      <w:r>
        <w:rPr>
          <w:color w:val="231F20"/>
          <w:sz w:val="18"/>
        </w:rPr>
        <w:t>el</w:t>
      </w:r>
      <w:r>
        <w:rPr>
          <w:color w:val="231F20"/>
          <w:spacing w:val="-9"/>
          <w:sz w:val="18"/>
        </w:rPr>
        <w:t> </w:t>
      </w:r>
      <w:r>
        <w:rPr>
          <w:color w:val="231F20"/>
          <w:sz w:val="18"/>
        </w:rPr>
        <w:t>statu</w:t>
      </w:r>
      <w:r>
        <w:rPr>
          <w:color w:val="231F20"/>
          <w:spacing w:val="-8"/>
          <w:sz w:val="18"/>
        </w:rPr>
        <w:t> </w:t>
      </w:r>
      <w:r>
        <w:rPr>
          <w:color w:val="231F20"/>
          <w:sz w:val="18"/>
        </w:rPr>
        <w:t>quo</w:t>
      </w:r>
      <w:r>
        <w:rPr>
          <w:color w:val="231F20"/>
          <w:spacing w:val="-8"/>
          <w:sz w:val="18"/>
        </w:rPr>
        <w:t> </w:t>
      </w:r>
      <w:r>
        <w:rPr>
          <w:color w:val="231F20"/>
          <w:sz w:val="18"/>
        </w:rPr>
        <w:t>de</w:t>
      </w:r>
      <w:r>
        <w:rPr>
          <w:color w:val="231F20"/>
          <w:spacing w:val="-8"/>
          <w:sz w:val="18"/>
        </w:rPr>
        <w:t> </w:t>
      </w:r>
      <w:r>
        <w:rPr>
          <w:color w:val="231F20"/>
          <w:sz w:val="18"/>
        </w:rPr>
        <w:t>las</w:t>
      </w:r>
      <w:r>
        <w:rPr>
          <w:color w:val="231F20"/>
          <w:spacing w:val="-8"/>
          <w:sz w:val="18"/>
        </w:rPr>
        <w:t> </w:t>
      </w:r>
      <w:r>
        <w:rPr>
          <w:color w:val="231F20"/>
          <w:sz w:val="18"/>
        </w:rPr>
        <w:t>consecuencias</w:t>
      </w:r>
      <w:r>
        <w:rPr>
          <w:color w:val="231F20"/>
          <w:spacing w:val="-8"/>
          <w:sz w:val="18"/>
        </w:rPr>
        <w:t> </w:t>
      </w:r>
      <w:r>
        <w:rPr>
          <w:color w:val="231F20"/>
          <w:sz w:val="18"/>
        </w:rPr>
        <w:t>derivadas</w:t>
      </w:r>
      <w:r>
        <w:rPr>
          <w:color w:val="231F20"/>
          <w:spacing w:val="-8"/>
          <w:sz w:val="18"/>
        </w:rPr>
        <w:t> </w:t>
      </w:r>
      <w:r>
        <w:rPr>
          <w:color w:val="231F20"/>
          <w:sz w:val="18"/>
        </w:rPr>
        <w:t>del</w:t>
      </w:r>
      <w:r>
        <w:rPr>
          <w:color w:val="231F20"/>
          <w:spacing w:val="-9"/>
          <w:sz w:val="18"/>
        </w:rPr>
        <w:t> </w:t>
      </w:r>
      <w:r>
        <w:rPr>
          <w:color w:val="231F20"/>
          <w:sz w:val="18"/>
        </w:rPr>
        <w:t>uso</w:t>
      </w:r>
      <w:r>
        <w:rPr>
          <w:color w:val="231F20"/>
          <w:spacing w:val="-8"/>
          <w:sz w:val="18"/>
        </w:rPr>
        <w:t> </w:t>
      </w:r>
      <w:r>
        <w:rPr>
          <w:color w:val="231F20"/>
          <w:sz w:val="18"/>
        </w:rPr>
        <w:t>de cláusulas abusivas (artículo 6, apartado 1, de la Directiva 93/13, sobre las cláusulas abusivas</w:t>
      </w:r>
      <w:r>
        <w:rPr>
          <w:color w:val="231F20"/>
          <w:spacing w:val="13"/>
          <w:sz w:val="18"/>
        </w:rPr>
        <w:t> </w:t>
      </w:r>
      <w:r>
        <w:rPr>
          <w:color w:val="231F20"/>
          <w:sz w:val="18"/>
        </w:rPr>
        <w:t>en</w:t>
      </w:r>
      <w:r>
        <w:rPr>
          <w:color w:val="231F20"/>
          <w:spacing w:val="14"/>
          <w:sz w:val="18"/>
        </w:rPr>
        <w:t> </w:t>
      </w:r>
      <w:r>
        <w:rPr>
          <w:color w:val="231F20"/>
          <w:sz w:val="18"/>
        </w:rPr>
        <w:t>los</w:t>
      </w:r>
      <w:r>
        <w:rPr>
          <w:color w:val="231F20"/>
          <w:spacing w:val="14"/>
          <w:sz w:val="18"/>
        </w:rPr>
        <w:t> </w:t>
      </w:r>
      <w:r>
        <w:rPr>
          <w:color w:val="231F20"/>
          <w:sz w:val="18"/>
        </w:rPr>
        <w:t>contratos</w:t>
      </w:r>
      <w:r>
        <w:rPr>
          <w:color w:val="231F20"/>
          <w:spacing w:val="13"/>
          <w:sz w:val="18"/>
        </w:rPr>
        <w:t> </w:t>
      </w:r>
      <w:r>
        <w:rPr>
          <w:color w:val="231F20"/>
          <w:sz w:val="18"/>
        </w:rPr>
        <w:t>celebrados</w:t>
      </w:r>
      <w:r>
        <w:rPr>
          <w:color w:val="231F20"/>
          <w:spacing w:val="13"/>
          <w:sz w:val="18"/>
        </w:rPr>
        <w:t> </w:t>
      </w:r>
      <w:r>
        <w:rPr>
          <w:color w:val="231F20"/>
          <w:sz w:val="18"/>
        </w:rPr>
        <w:t>con</w:t>
      </w:r>
      <w:r>
        <w:rPr>
          <w:color w:val="231F20"/>
          <w:spacing w:val="14"/>
          <w:sz w:val="18"/>
        </w:rPr>
        <w:t> </w:t>
      </w:r>
      <w:r>
        <w:rPr>
          <w:color w:val="231F20"/>
          <w:sz w:val="18"/>
        </w:rPr>
        <w:t>consumidores),</w:t>
      </w:r>
      <w:r>
        <w:rPr>
          <w:color w:val="231F20"/>
          <w:spacing w:val="13"/>
          <w:sz w:val="18"/>
        </w:rPr>
        <w:t> </w:t>
      </w:r>
      <w:r>
        <w:rPr>
          <w:color w:val="231F20"/>
          <w:sz w:val="18"/>
        </w:rPr>
        <w:t>según</w:t>
      </w:r>
      <w:r>
        <w:rPr>
          <w:color w:val="231F20"/>
          <w:spacing w:val="13"/>
          <w:sz w:val="18"/>
        </w:rPr>
        <w:t> </w:t>
      </w:r>
      <w:r>
        <w:rPr>
          <w:color w:val="231F20"/>
          <w:sz w:val="18"/>
        </w:rPr>
        <w:t>la</w:t>
      </w:r>
      <w:r>
        <w:rPr>
          <w:color w:val="231F20"/>
          <w:spacing w:val="13"/>
          <w:sz w:val="18"/>
        </w:rPr>
        <w:t> </w:t>
      </w:r>
      <w:r>
        <w:rPr>
          <w:color w:val="231F20"/>
          <w:sz w:val="18"/>
        </w:rPr>
        <w:t>interpretación</w:t>
      </w:r>
      <w:r>
        <w:rPr>
          <w:color w:val="231F20"/>
          <w:spacing w:val="14"/>
          <w:sz w:val="18"/>
        </w:rPr>
        <w:t> </w:t>
      </w:r>
      <w:r>
        <w:rPr>
          <w:color w:val="231F20"/>
          <w:spacing w:val="-5"/>
          <w:sz w:val="18"/>
        </w:rPr>
        <w:t>del</w:t>
      </w:r>
    </w:p>
    <w:p>
      <w:pPr>
        <w:pStyle w:val="BodyText"/>
        <w:rPr>
          <w:sz w:val="20"/>
        </w:rPr>
      </w:pPr>
    </w:p>
    <w:p>
      <w:pPr>
        <w:pStyle w:val="BodyText"/>
        <w:spacing w:before="17"/>
        <w:rPr>
          <w:sz w:val="20"/>
        </w:rPr>
      </w:pPr>
      <w:r>
        <w:rPr/>
        <mc:AlternateContent>
          <mc:Choice Requires="wps">
            <w:drawing>
              <wp:anchor distT="0" distB="0" distL="0" distR="0" allowOverlap="1" layoutInCell="1" locked="0" behindDoc="1" simplePos="0" relativeHeight="487588352">
                <wp:simplePos x="0" y="0"/>
                <wp:positionH relativeFrom="page">
                  <wp:posOffset>1979993</wp:posOffset>
                </wp:positionH>
                <wp:positionV relativeFrom="paragraph">
                  <wp:posOffset>170349</wp:posOffset>
                </wp:positionV>
                <wp:extent cx="1656080" cy="4445"/>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3.413355pt;width:130.394pt;height:.34016pt;mso-position-horizontal-relative:page;mso-position-vertical-relative:paragraph;z-index:-15728128;mso-wrap-distance-left:0;mso-wrap-distance-right:0" id="docshape5" filled="true" fillcolor="#000000" stroked="false">
                <v:fill type="solid"/>
                <w10:wrap type="topAndBottom"/>
              </v:rect>
            </w:pict>
          </mc:Fallback>
        </mc:AlternateContent>
      </w:r>
    </w:p>
    <w:p>
      <w:pPr>
        <w:pStyle w:val="BodyText"/>
        <w:spacing w:before="76"/>
        <w:rPr>
          <w:sz w:val="16"/>
        </w:rPr>
      </w:pPr>
    </w:p>
    <w:p>
      <w:pPr>
        <w:spacing w:line="288" w:lineRule="auto" w:before="0"/>
        <w:ind w:left="866" w:right="868" w:hanging="354"/>
        <w:jc w:val="both"/>
        <w:rPr>
          <w:sz w:val="16"/>
        </w:rPr>
      </w:pPr>
      <w:r>
        <w:rPr>
          <w:color w:val="231F20"/>
          <w:sz w:val="16"/>
        </w:rPr>
        <w:t>*</w:t>
      </w:r>
      <w:r>
        <w:rPr>
          <w:color w:val="231F20"/>
          <w:spacing w:val="80"/>
          <w:w w:val="150"/>
          <w:sz w:val="16"/>
        </w:rPr>
        <w:t> </w:t>
      </w:r>
      <w:r>
        <w:rPr>
          <w:color w:val="231F20"/>
          <w:sz w:val="16"/>
        </w:rPr>
        <w:t>Associate</w:t>
      </w:r>
      <w:r>
        <w:rPr>
          <w:color w:val="231F20"/>
          <w:spacing w:val="-4"/>
          <w:sz w:val="16"/>
        </w:rPr>
        <w:t> </w:t>
      </w:r>
      <w:r>
        <w:rPr>
          <w:color w:val="231F20"/>
          <w:sz w:val="16"/>
        </w:rPr>
        <w:t>Professor</w:t>
      </w:r>
      <w:r>
        <w:rPr>
          <w:color w:val="231F20"/>
          <w:spacing w:val="-3"/>
          <w:sz w:val="16"/>
        </w:rPr>
        <w:t> </w:t>
      </w:r>
      <w:r>
        <w:rPr>
          <w:color w:val="231F20"/>
          <w:sz w:val="16"/>
        </w:rPr>
        <w:t>of</w:t>
      </w:r>
      <w:r>
        <w:rPr>
          <w:color w:val="231F20"/>
          <w:spacing w:val="-4"/>
          <w:sz w:val="16"/>
        </w:rPr>
        <w:t> </w:t>
      </w:r>
      <w:r>
        <w:rPr>
          <w:color w:val="231F20"/>
          <w:sz w:val="16"/>
        </w:rPr>
        <w:t>Law</w:t>
      </w:r>
      <w:r>
        <w:rPr>
          <w:color w:val="231F20"/>
          <w:spacing w:val="-4"/>
          <w:sz w:val="16"/>
        </w:rPr>
        <w:t> </w:t>
      </w:r>
      <w:r>
        <w:rPr>
          <w:color w:val="231F20"/>
          <w:sz w:val="16"/>
        </w:rPr>
        <w:t>at</w:t>
      </w:r>
      <w:r>
        <w:rPr>
          <w:color w:val="231F20"/>
          <w:spacing w:val="-4"/>
          <w:sz w:val="16"/>
        </w:rPr>
        <w:t> </w:t>
      </w:r>
      <w:r>
        <w:rPr>
          <w:color w:val="231F20"/>
          <w:sz w:val="16"/>
        </w:rPr>
        <w:t>IE</w:t>
      </w:r>
      <w:r>
        <w:rPr>
          <w:color w:val="231F20"/>
          <w:spacing w:val="-4"/>
          <w:sz w:val="16"/>
        </w:rPr>
        <w:t> </w:t>
      </w:r>
      <w:r>
        <w:rPr>
          <w:color w:val="231F20"/>
          <w:sz w:val="16"/>
        </w:rPr>
        <w:t>University,</w:t>
      </w:r>
      <w:r>
        <w:rPr>
          <w:color w:val="231F20"/>
          <w:spacing w:val="-4"/>
          <w:sz w:val="16"/>
        </w:rPr>
        <w:t> </w:t>
      </w:r>
      <w:r>
        <w:rPr>
          <w:color w:val="231F20"/>
          <w:sz w:val="16"/>
        </w:rPr>
        <w:t>IE</w:t>
      </w:r>
      <w:r>
        <w:rPr>
          <w:color w:val="231F20"/>
          <w:spacing w:val="-4"/>
          <w:sz w:val="16"/>
        </w:rPr>
        <w:t> </w:t>
      </w:r>
      <w:r>
        <w:rPr>
          <w:color w:val="231F20"/>
          <w:sz w:val="16"/>
        </w:rPr>
        <w:t>Law</w:t>
      </w:r>
      <w:r>
        <w:rPr>
          <w:color w:val="231F20"/>
          <w:spacing w:val="-4"/>
          <w:sz w:val="16"/>
        </w:rPr>
        <w:t> </w:t>
      </w:r>
      <w:r>
        <w:rPr>
          <w:color w:val="231F20"/>
          <w:sz w:val="16"/>
        </w:rPr>
        <w:t>School.</w:t>
      </w:r>
      <w:r>
        <w:rPr>
          <w:color w:val="231F20"/>
          <w:spacing w:val="-4"/>
          <w:sz w:val="16"/>
        </w:rPr>
        <w:t> </w:t>
      </w:r>
      <w:r>
        <w:rPr>
          <w:color w:val="231F20"/>
          <w:sz w:val="16"/>
        </w:rPr>
        <w:t>Director</w:t>
      </w:r>
      <w:r>
        <w:rPr>
          <w:color w:val="231F20"/>
          <w:spacing w:val="-3"/>
          <w:sz w:val="16"/>
        </w:rPr>
        <w:t> </w:t>
      </w:r>
      <w:r>
        <w:rPr>
          <w:color w:val="231F20"/>
          <w:sz w:val="16"/>
        </w:rPr>
        <w:t>of</w:t>
      </w:r>
      <w:r>
        <w:rPr>
          <w:color w:val="231F20"/>
          <w:spacing w:val="-1"/>
          <w:sz w:val="16"/>
        </w:rPr>
        <w:t> </w:t>
      </w:r>
      <w:r>
        <w:rPr>
          <w:color w:val="231F20"/>
          <w:sz w:val="16"/>
        </w:rPr>
        <w:t>the</w:t>
      </w:r>
      <w:r>
        <w:rPr>
          <w:color w:val="231F20"/>
          <w:spacing w:val="-2"/>
          <w:sz w:val="16"/>
        </w:rPr>
        <w:t> </w:t>
      </w:r>
      <w:r>
        <w:rPr>
          <w:color w:val="231F20"/>
          <w:sz w:val="16"/>
        </w:rPr>
        <w:t>Jean</w:t>
      </w:r>
      <w:r>
        <w:rPr>
          <w:color w:val="231F20"/>
          <w:spacing w:val="-5"/>
          <w:sz w:val="16"/>
        </w:rPr>
        <w:t> </w:t>
      </w:r>
      <w:r>
        <w:rPr>
          <w:color w:val="231F20"/>
          <w:sz w:val="16"/>
        </w:rPr>
        <w:t>Monnet</w:t>
      </w:r>
      <w:r>
        <w:rPr>
          <w:color w:val="231F20"/>
          <w:spacing w:val="-3"/>
          <w:sz w:val="16"/>
        </w:rPr>
        <w:t> </w:t>
      </w:r>
      <w:r>
        <w:rPr>
          <w:color w:val="231F20"/>
          <w:sz w:val="16"/>
        </w:rPr>
        <w:t>Centre</w:t>
      </w:r>
      <w:r>
        <w:rPr>
          <w:color w:val="231F20"/>
          <w:spacing w:val="-3"/>
          <w:sz w:val="16"/>
        </w:rPr>
        <w:t> </w:t>
      </w:r>
      <w:r>
        <w:rPr>
          <w:color w:val="231F20"/>
          <w:sz w:val="16"/>
        </w:rPr>
        <w:t>of</w:t>
      </w:r>
      <w:r>
        <w:rPr>
          <w:color w:val="231F20"/>
          <w:spacing w:val="40"/>
          <w:sz w:val="16"/>
        </w:rPr>
        <w:t> </w:t>
      </w:r>
      <w:r>
        <w:rPr>
          <w:color w:val="231F20"/>
          <w:sz w:val="16"/>
        </w:rPr>
        <w:t>Excellence</w:t>
      </w:r>
      <w:r>
        <w:rPr>
          <w:color w:val="231F20"/>
          <w:spacing w:val="-10"/>
          <w:sz w:val="16"/>
        </w:rPr>
        <w:t> </w:t>
      </w:r>
      <w:r>
        <w:rPr>
          <w:color w:val="231F20"/>
          <w:sz w:val="16"/>
        </w:rPr>
        <w:t>for</w:t>
      </w:r>
      <w:r>
        <w:rPr>
          <w:color w:val="231F20"/>
          <w:spacing w:val="-10"/>
          <w:sz w:val="16"/>
        </w:rPr>
        <w:t> </w:t>
      </w:r>
      <w:r>
        <w:rPr>
          <w:color w:val="231F20"/>
          <w:sz w:val="16"/>
        </w:rPr>
        <w:t>Law</w:t>
      </w:r>
      <w:r>
        <w:rPr>
          <w:color w:val="231F20"/>
          <w:spacing w:val="-9"/>
          <w:sz w:val="16"/>
        </w:rPr>
        <w:t> </w:t>
      </w:r>
      <w:r>
        <w:rPr>
          <w:color w:val="231F20"/>
          <w:sz w:val="16"/>
        </w:rPr>
        <w:t>and</w:t>
      </w:r>
      <w:r>
        <w:rPr>
          <w:color w:val="231F20"/>
          <w:spacing w:val="-10"/>
          <w:sz w:val="16"/>
        </w:rPr>
        <w:t> </w:t>
      </w:r>
      <w:r>
        <w:rPr>
          <w:color w:val="231F20"/>
          <w:sz w:val="16"/>
        </w:rPr>
        <w:t>Automation.</w:t>
      </w:r>
      <w:r>
        <w:rPr>
          <w:color w:val="231F20"/>
          <w:spacing w:val="-10"/>
          <w:sz w:val="16"/>
        </w:rPr>
        <w:t> </w:t>
      </w:r>
      <w:r>
        <w:rPr>
          <w:color w:val="231F20"/>
          <w:sz w:val="16"/>
        </w:rPr>
        <w:t>The</w:t>
      </w:r>
      <w:r>
        <w:rPr>
          <w:color w:val="231F20"/>
          <w:spacing w:val="-9"/>
          <w:sz w:val="16"/>
        </w:rPr>
        <w:t> </w:t>
      </w:r>
      <w:r>
        <w:rPr>
          <w:color w:val="231F20"/>
          <w:sz w:val="16"/>
        </w:rPr>
        <w:t>final</w:t>
      </w:r>
      <w:r>
        <w:rPr>
          <w:color w:val="231F20"/>
          <w:spacing w:val="-10"/>
          <w:sz w:val="16"/>
        </w:rPr>
        <w:t> </w:t>
      </w:r>
      <w:r>
        <w:rPr>
          <w:color w:val="231F20"/>
          <w:sz w:val="16"/>
        </w:rPr>
        <w:t>version</w:t>
      </w:r>
      <w:r>
        <w:rPr>
          <w:color w:val="231F20"/>
          <w:spacing w:val="-10"/>
          <w:sz w:val="16"/>
        </w:rPr>
        <w:t> </w:t>
      </w:r>
      <w:r>
        <w:rPr>
          <w:color w:val="231F20"/>
          <w:sz w:val="16"/>
        </w:rPr>
        <w:t>of</w:t>
      </w:r>
      <w:r>
        <w:rPr>
          <w:color w:val="231F20"/>
          <w:spacing w:val="-9"/>
          <w:sz w:val="16"/>
        </w:rPr>
        <w:t> </w:t>
      </w:r>
      <w:r>
        <w:rPr>
          <w:color w:val="231F20"/>
          <w:sz w:val="16"/>
        </w:rPr>
        <w:t>this</w:t>
      </w:r>
      <w:r>
        <w:rPr>
          <w:color w:val="231F20"/>
          <w:spacing w:val="-10"/>
          <w:sz w:val="16"/>
        </w:rPr>
        <w:t> </w:t>
      </w:r>
      <w:r>
        <w:rPr>
          <w:color w:val="231F20"/>
          <w:sz w:val="16"/>
        </w:rPr>
        <w:t>article</w:t>
      </w:r>
      <w:r>
        <w:rPr>
          <w:color w:val="231F20"/>
          <w:spacing w:val="-10"/>
          <w:sz w:val="16"/>
        </w:rPr>
        <w:t> </w:t>
      </w:r>
      <w:r>
        <w:rPr>
          <w:color w:val="231F20"/>
          <w:sz w:val="16"/>
        </w:rPr>
        <w:t>was</w:t>
      </w:r>
      <w:r>
        <w:rPr>
          <w:color w:val="231F20"/>
          <w:spacing w:val="-9"/>
          <w:sz w:val="16"/>
        </w:rPr>
        <w:t> </w:t>
      </w:r>
      <w:r>
        <w:rPr>
          <w:color w:val="231F20"/>
          <w:sz w:val="16"/>
        </w:rPr>
        <w:t>submitted</w:t>
      </w:r>
      <w:r>
        <w:rPr>
          <w:color w:val="231F20"/>
          <w:spacing w:val="-10"/>
          <w:sz w:val="16"/>
        </w:rPr>
        <w:t> </w:t>
      </w:r>
      <w:r>
        <w:rPr>
          <w:color w:val="231F20"/>
          <w:sz w:val="16"/>
        </w:rPr>
        <w:t>on</w:t>
      </w:r>
      <w:r>
        <w:rPr>
          <w:color w:val="231F20"/>
          <w:spacing w:val="-10"/>
          <w:sz w:val="16"/>
        </w:rPr>
        <w:t> </w:t>
      </w:r>
      <w:r>
        <w:rPr>
          <w:color w:val="231F20"/>
          <w:sz w:val="16"/>
        </w:rPr>
        <w:t>3</w:t>
      </w:r>
      <w:r>
        <w:rPr>
          <w:color w:val="231F20"/>
          <w:spacing w:val="-9"/>
          <w:sz w:val="16"/>
        </w:rPr>
        <w:t> </w:t>
      </w:r>
      <w:r>
        <w:rPr>
          <w:color w:val="231F20"/>
          <w:sz w:val="16"/>
        </w:rPr>
        <w:t>Jun.</w:t>
      </w:r>
      <w:r>
        <w:rPr>
          <w:color w:val="231F20"/>
          <w:spacing w:val="-10"/>
          <w:sz w:val="16"/>
        </w:rPr>
        <w:t> </w:t>
      </w:r>
      <w:r>
        <w:rPr>
          <w:color w:val="231F20"/>
          <w:sz w:val="16"/>
        </w:rPr>
        <w:t>2024.</w:t>
      </w:r>
      <w:r>
        <w:rPr>
          <w:color w:val="231F20"/>
          <w:spacing w:val="40"/>
          <w:sz w:val="16"/>
        </w:rPr>
        <w:t> </w:t>
      </w:r>
      <w:r>
        <w:rPr>
          <w:color w:val="231F20"/>
          <w:sz w:val="16"/>
        </w:rPr>
        <w:t>Email: </w:t>
      </w:r>
      <w:hyperlink r:id="rId7">
        <w:r>
          <w:rPr>
            <w:color w:val="231F20"/>
            <w:sz w:val="16"/>
          </w:rPr>
          <w:t>francisco.deelizalde@ie.edu.</w:t>
        </w:r>
      </w:hyperlink>
    </w:p>
    <w:p>
      <w:pPr>
        <w:spacing w:after="0" w:line="288" w:lineRule="auto"/>
        <w:jc w:val="both"/>
        <w:rPr>
          <w:sz w:val="16"/>
        </w:rPr>
        <w:sectPr>
          <w:footerReference w:type="default" r:id="rId5"/>
          <w:footerReference w:type="even" r:id="rId6"/>
          <w:type w:val="continuous"/>
          <w:pgSz w:w="11910" w:h="16840"/>
          <w:pgMar w:header="0" w:footer="2585" w:top="1920" w:bottom="2780" w:left="1680" w:right="1680"/>
          <w:pgNumType w:start="461"/>
        </w:sectPr>
      </w:pPr>
    </w:p>
    <w:p>
      <w:pPr>
        <w:pStyle w:val="BodyText"/>
        <w:rPr>
          <w:sz w:val="18"/>
        </w:rPr>
      </w:pPr>
    </w:p>
    <w:p>
      <w:pPr>
        <w:pStyle w:val="BodyText"/>
        <w:spacing w:before="191"/>
        <w:rPr>
          <w:sz w:val="18"/>
        </w:rPr>
      </w:pPr>
    </w:p>
    <w:p>
      <w:pPr>
        <w:spacing w:line="256" w:lineRule="auto" w:before="0"/>
        <w:ind w:left="871" w:right="868" w:firstLine="0"/>
        <w:jc w:val="both"/>
        <w:rPr>
          <w:sz w:val="18"/>
        </w:rPr>
      </w:pPr>
      <w:r>
        <w:rPr>
          <w:color w:val="231F20"/>
          <w:sz w:val="18"/>
        </w:rPr>
        <w:t>Tribunal</w:t>
      </w:r>
      <w:r>
        <w:rPr>
          <w:color w:val="231F20"/>
          <w:spacing w:val="-7"/>
          <w:sz w:val="18"/>
        </w:rPr>
        <w:t> </w:t>
      </w:r>
      <w:r>
        <w:rPr>
          <w:color w:val="231F20"/>
          <w:sz w:val="18"/>
        </w:rPr>
        <w:t>de</w:t>
      </w:r>
      <w:r>
        <w:rPr>
          <w:color w:val="231F20"/>
          <w:spacing w:val="-8"/>
          <w:sz w:val="18"/>
        </w:rPr>
        <w:t> </w:t>
      </w:r>
      <w:r>
        <w:rPr>
          <w:color w:val="231F20"/>
          <w:sz w:val="18"/>
        </w:rPr>
        <w:t>Justicia</w:t>
      </w:r>
      <w:r>
        <w:rPr>
          <w:color w:val="231F20"/>
          <w:spacing w:val="-7"/>
          <w:sz w:val="18"/>
        </w:rPr>
        <w:t> </w:t>
      </w:r>
      <w:r>
        <w:rPr>
          <w:color w:val="231F20"/>
          <w:sz w:val="18"/>
        </w:rPr>
        <w:t>de</w:t>
      </w:r>
      <w:r>
        <w:rPr>
          <w:color w:val="231F20"/>
          <w:spacing w:val="-8"/>
          <w:sz w:val="18"/>
        </w:rPr>
        <w:t> </w:t>
      </w:r>
      <w:r>
        <w:rPr>
          <w:color w:val="231F20"/>
          <w:sz w:val="18"/>
        </w:rPr>
        <w:t>la</w:t>
      </w:r>
      <w:r>
        <w:rPr>
          <w:color w:val="231F20"/>
          <w:spacing w:val="-7"/>
          <w:sz w:val="18"/>
        </w:rPr>
        <w:t> </w:t>
      </w:r>
      <w:r>
        <w:rPr>
          <w:color w:val="231F20"/>
          <w:sz w:val="18"/>
        </w:rPr>
        <w:t>Unión</w:t>
      </w:r>
      <w:r>
        <w:rPr>
          <w:color w:val="231F20"/>
          <w:spacing w:val="-9"/>
          <w:sz w:val="18"/>
        </w:rPr>
        <w:t> </w:t>
      </w:r>
      <w:r>
        <w:rPr>
          <w:color w:val="231F20"/>
          <w:sz w:val="18"/>
        </w:rPr>
        <w:t>Europea.</w:t>
      </w:r>
      <w:r>
        <w:rPr>
          <w:color w:val="231F20"/>
          <w:spacing w:val="-7"/>
          <w:sz w:val="18"/>
        </w:rPr>
        <w:t> </w:t>
      </w:r>
      <w:r>
        <w:rPr>
          <w:color w:val="231F20"/>
          <w:sz w:val="18"/>
        </w:rPr>
        <w:t>En</w:t>
      </w:r>
      <w:r>
        <w:rPr>
          <w:color w:val="231F20"/>
          <w:spacing w:val="-7"/>
          <w:sz w:val="18"/>
        </w:rPr>
        <w:t> </w:t>
      </w:r>
      <w:r>
        <w:rPr>
          <w:color w:val="231F20"/>
          <w:sz w:val="18"/>
        </w:rPr>
        <w:t>esa</w:t>
      </w:r>
      <w:r>
        <w:rPr>
          <w:color w:val="231F20"/>
          <w:spacing w:val="-7"/>
          <w:sz w:val="18"/>
        </w:rPr>
        <w:t> </w:t>
      </w:r>
      <w:r>
        <w:rPr>
          <w:color w:val="231F20"/>
          <w:sz w:val="18"/>
        </w:rPr>
        <w:t>tarea,</w:t>
      </w:r>
      <w:r>
        <w:rPr>
          <w:color w:val="231F20"/>
          <w:spacing w:val="-7"/>
          <w:sz w:val="18"/>
        </w:rPr>
        <w:t> </w:t>
      </w:r>
      <w:r>
        <w:rPr>
          <w:color w:val="231F20"/>
          <w:sz w:val="18"/>
        </w:rPr>
        <w:t>aporta</w:t>
      </w:r>
      <w:r>
        <w:rPr>
          <w:color w:val="231F20"/>
          <w:spacing w:val="-8"/>
          <w:sz w:val="18"/>
        </w:rPr>
        <w:t> </w:t>
      </w:r>
      <w:r>
        <w:rPr>
          <w:color w:val="231F20"/>
          <w:sz w:val="18"/>
        </w:rPr>
        <w:t>razones</w:t>
      </w:r>
      <w:r>
        <w:rPr>
          <w:color w:val="231F20"/>
          <w:spacing w:val="-7"/>
          <w:sz w:val="18"/>
        </w:rPr>
        <w:t> </w:t>
      </w:r>
      <w:r>
        <w:rPr>
          <w:color w:val="231F20"/>
          <w:sz w:val="18"/>
        </w:rPr>
        <w:t>para</w:t>
      </w:r>
      <w:r>
        <w:rPr>
          <w:color w:val="231F20"/>
          <w:spacing w:val="-7"/>
          <w:sz w:val="18"/>
        </w:rPr>
        <w:t> </w:t>
      </w:r>
      <w:r>
        <w:rPr>
          <w:color w:val="231F20"/>
          <w:sz w:val="18"/>
        </w:rPr>
        <w:t>sentencias </w:t>
      </w:r>
      <w:r>
        <w:rPr>
          <w:color w:val="231F20"/>
          <w:spacing w:val="-2"/>
          <w:sz w:val="18"/>
        </w:rPr>
        <w:t>aparentemente</w:t>
      </w:r>
      <w:r>
        <w:rPr>
          <w:color w:val="231F20"/>
          <w:spacing w:val="-9"/>
          <w:sz w:val="18"/>
        </w:rPr>
        <w:t> </w:t>
      </w:r>
      <w:r>
        <w:rPr>
          <w:color w:val="231F20"/>
          <w:spacing w:val="-2"/>
          <w:sz w:val="18"/>
        </w:rPr>
        <w:t>contradictorias</w:t>
      </w:r>
      <w:r>
        <w:rPr>
          <w:color w:val="231F20"/>
          <w:spacing w:val="-8"/>
          <w:sz w:val="18"/>
        </w:rPr>
        <w:t> </w:t>
      </w:r>
      <w:r>
        <w:rPr>
          <w:color w:val="231F20"/>
          <w:spacing w:val="-2"/>
          <w:sz w:val="18"/>
        </w:rPr>
        <w:t>y</w:t>
      </w:r>
      <w:r>
        <w:rPr>
          <w:color w:val="231F20"/>
          <w:spacing w:val="-9"/>
          <w:sz w:val="18"/>
        </w:rPr>
        <w:t> </w:t>
      </w:r>
      <w:r>
        <w:rPr>
          <w:color w:val="231F20"/>
          <w:spacing w:val="-2"/>
          <w:sz w:val="18"/>
        </w:rPr>
        <w:t>aborda</w:t>
      </w:r>
      <w:r>
        <w:rPr>
          <w:color w:val="231F20"/>
          <w:spacing w:val="-9"/>
          <w:sz w:val="18"/>
        </w:rPr>
        <w:t> </w:t>
      </w:r>
      <w:r>
        <w:rPr>
          <w:color w:val="231F20"/>
          <w:spacing w:val="-2"/>
          <w:sz w:val="18"/>
        </w:rPr>
        <w:t>decisiones</w:t>
      </w:r>
      <w:r>
        <w:rPr>
          <w:color w:val="231F20"/>
          <w:spacing w:val="-8"/>
          <w:sz w:val="18"/>
        </w:rPr>
        <w:t> </w:t>
      </w:r>
      <w:r>
        <w:rPr>
          <w:color w:val="231F20"/>
          <w:spacing w:val="-2"/>
          <w:sz w:val="18"/>
        </w:rPr>
        <w:t>incoherentes.</w:t>
      </w:r>
      <w:r>
        <w:rPr>
          <w:color w:val="231F20"/>
          <w:spacing w:val="-9"/>
          <w:sz w:val="18"/>
        </w:rPr>
        <w:t> </w:t>
      </w:r>
      <w:r>
        <w:rPr>
          <w:color w:val="231F20"/>
          <w:spacing w:val="-2"/>
          <w:sz w:val="18"/>
        </w:rPr>
        <w:t>Para</w:t>
      </w:r>
      <w:r>
        <w:rPr>
          <w:color w:val="231F20"/>
          <w:spacing w:val="-9"/>
          <w:sz w:val="18"/>
        </w:rPr>
        <w:t> </w:t>
      </w:r>
      <w:r>
        <w:rPr>
          <w:color w:val="231F20"/>
          <w:spacing w:val="-2"/>
          <w:sz w:val="18"/>
        </w:rPr>
        <w:t>navegar</w:t>
      </w:r>
      <w:r>
        <w:rPr>
          <w:color w:val="231F20"/>
          <w:spacing w:val="-7"/>
          <w:sz w:val="18"/>
        </w:rPr>
        <w:t> </w:t>
      </w:r>
      <w:r>
        <w:rPr>
          <w:color w:val="231F20"/>
          <w:spacing w:val="-2"/>
          <w:sz w:val="18"/>
        </w:rPr>
        <w:t>por</w:t>
      </w:r>
      <w:r>
        <w:rPr>
          <w:color w:val="231F20"/>
          <w:spacing w:val="-9"/>
          <w:sz w:val="18"/>
        </w:rPr>
        <w:t> </w:t>
      </w:r>
      <w:r>
        <w:rPr>
          <w:color w:val="231F20"/>
          <w:spacing w:val="-2"/>
          <w:sz w:val="18"/>
        </w:rPr>
        <w:t>estas </w:t>
      </w:r>
      <w:r>
        <w:rPr>
          <w:color w:val="231F20"/>
          <w:sz w:val="18"/>
        </w:rPr>
        <w:t>aguas</w:t>
      </w:r>
      <w:r>
        <w:rPr>
          <w:color w:val="231F20"/>
          <w:spacing w:val="-9"/>
          <w:sz w:val="18"/>
        </w:rPr>
        <w:t> </w:t>
      </w:r>
      <w:r>
        <w:rPr>
          <w:color w:val="231F20"/>
          <w:sz w:val="18"/>
        </w:rPr>
        <w:t>turbulentas,</w:t>
      </w:r>
      <w:r>
        <w:rPr>
          <w:color w:val="231F20"/>
          <w:spacing w:val="-8"/>
          <w:sz w:val="18"/>
        </w:rPr>
        <w:t> </w:t>
      </w:r>
      <w:r>
        <w:rPr>
          <w:color w:val="231F20"/>
          <w:sz w:val="18"/>
        </w:rPr>
        <w:t>el</w:t>
      </w:r>
      <w:r>
        <w:rPr>
          <w:color w:val="231F20"/>
          <w:spacing w:val="-9"/>
          <w:sz w:val="18"/>
        </w:rPr>
        <w:t> </w:t>
      </w:r>
      <w:r>
        <w:rPr>
          <w:color w:val="231F20"/>
          <w:sz w:val="18"/>
        </w:rPr>
        <w:t>artículo</w:t>
      </w:r>
      <w:r>
        <w:rPr>
          <w:color w:val="231F20"/>
          <w:spacing w:val="-8"/>
          <w:sz w:val="18"/>
        </w:rPr>
        <w:t> </w:t>
      </w:r>
      <w:r>
        <w:rPr>
          <w:color w:val="231F20"/>
          <w:sz w:val="18"/>
        </w:rPr>
        <w:t>se</w:t>
      </w:r>
      <w:r>
        <w:rPr>
          <w:color w:val="231F20"/>
          <w:spacing w:val="-8"/>
          <w:sz w:val="18"/>
        </w:rPr>
        <w:t> </w:t>
      </w:r>
      <w:r>
        <w:rPr>
          <w:color w:val="231F20"/>
          <w:sz w:val="18"/>
        </w:rPr>
        <w:t>remite</w:t>
      </w:r>
      <w:r>
        <w:rPr>
          <w:color w:val="231F20"/>
          <w:spacing w:val="-9"/>
          <w:sz w:val="18"/>
        </w:rPr>
        <w:t> </w:t>
      </w:r>
      <w:r>
        <w:rPr>
          <w:color w:val="231F20"/>
          <w:sz w:val="18"/>
        </w:rPr>
        <w:t>a</w:t>
      </w:r>
      <w:r>
        <w:rPr>
          <w:color w:val="231F20"/>
          <w:spacing w:val="-8"/>
          <w:sz w:val="18"/>
        </w:rPr>
        <w:t> </w:t>
      </w:r>
      <w:r>
        <w:rPr>
          <w:color w:val="231F20"/>
          <w:sz w:val="18"/>
        </w:rPr>
        <w:t>los</w:t>
      </w:r>
      <w:r>
        <w:rPr>
          <w:color w:val="231F20"/>
          <w:spacing w:val="-9"/>
          <w:sz w:val="18"/>
        </w:rPr>
        <w:t> </w:t>
      </w:r>
      <w:r>
        <w:rPr>
          <w:color w:val="231F20"/>
          <w:sz w:val="18"/>
        </w:rPr>
        <w:t>principios</w:t>
      </w:r>
      <w:r>
        <w:rPr>
          <w:color w:val="231F20"/>
          <w:spacing w:val="-8"/>
          <w:sz w:val="18"/>
        </w:rPr>
        <w:t> </w:t>
      </w:r>
      <w:r>
        <w:rPr>
          <w:color w:val="231F20"/>
          <w:sz w:val="18"/>
        </w:rPr>
        <w:t>generales</w:t>
      </w:r>
      <w:r>
        <w:rPr>
          <w:color w:val="231F20"/>
          <w:spacing w:val="-9"/>
          <w:sz w:val="18"/>
        </w:rPr>
        <w:t> </w:t>
      </w:r>
      <w:r>
        <w:rPr>
          <w:color w:val="231F20"/>
          <w:sz w:val="18"/>
        </w:rPr>
        <w:t>del</w:t>
      </w:r>
      <w:r>
        <w:rPr>
          <w:color w:val="231F20"/>
          <w:spacing w:val="-8"/>
          <w:sz w:val="18"/>
        </w:rPr>
        <w:t> </w:t>
      </w:r>
      <w:r>
        <w:rPr>
          <w:color w:val="231F20"/>
          <w:sz w:val="18"/>
        </w:rPr>
        <w:t>Derecho</w:t>
      </w:r>
      <w:r>
        <w:rPr>
          <w:color w:val="231F20"/>
          <w:spacing w:val="-8"/>
          <w:sz w:val="18"/>
        </w:rPr>
        <w:t> </w:t>
      </w:r>
      <w:r>
        <w:rPr>
          <w:color w:val="231F20"/>
          <w:sz w:val="18"/>
        </w:rPr>
        <w:t>de</w:t>
      </w:r>
      <w:r>
        <w:rPr>
          <w:color w:val="231F20"/>
          <w:spacing w:val="-8"/>
          <w:sz w:val="18"/>
        </w:rPr>
        <w:t> </w:t>
      </w:r>
      <w:r>
        <w:rPr>
          <w:color w:val="231F20"/>
          <w:sz w:val="18"/>
        </w:rPr>
        <w:t>la</w:t>
      </w:r>
      <w:r>
        <w:rPr>
          <w:color w:val="231F20"/>
          <w:spacing w:val="-9"/>
          <w:sz w:val="18"/>
        </w:rPr>
        <w:t> </w:t>
      </w:r>
      <w:r>
        <w:rPr>
          <w:color w:val="231F20"/>
          <w:sz w:val="18"/>
        </w:rPr>
        <w:t>UE, incluso más allá de los que se explicitan en las decisiones del Tribunal de Justicia. Se afirma</w:t>
      </w:r>
      <w:r>
        <w:rPr>
          <w:color w:val="231F20"/>
          <w:spacing w:val="-1"/>
          <w:sz w:val="18"/>
        </w:rPr>
        <w:t> </w:t>
      </w:r>
      <w:r>
        <w:rPr>
          <w:color w:val="231F20"/>
          <w:sz w:val="18"/>
        </w:rPr>
        <w:t>aquí</w:t>
      </w:r>
      <w:r>
        <w:rPr>
          <w:color w:val="231F20"/>
          <w:spacing w:val="-2"/>
          <w:sz w:val="18"/>
        </w:rPr>
        <w:t> </w:t>
      </w:r>
      <w:r>
        <w:rPr>
          <w:color w:val="231F20"/>
          <w:sz w:val="18"/>
        </w:rPr>
        <w:t>que</w:t>
      </w:r>
      <w:r>
        <w:rPr>
          <w:color w:val="231F20"/>
          <w:spacing w:val="-1"/>
          <w:sz w:val="18"/>
        </w:rPr>
        <w:t> </w:t>
      </w:r>
      <w:r>
        <w:rPr>
          <w:color w:val="231F20"/>
          <w:sz w:val="18"/>
        </w:rPr>
        <w:t>esos</w:t>
      </w:r>
      <w:r>
        <w:rPr>
          <w:color w:val="231F20"/>
          <w:spacing w:val="-1"/>
          <w:sz w:val="18"/>
        </w:rPr>
        <w:t> </w:t>
      </w:r>
      <w:r>
        <w:rPr>
          <w:color w:val="231F20"/>
          <w:sz w:val="18"/>
        </w:rPr>
        <w:t>principios</w:t>
      </w:r>
      <w:r>
        <w:rPr>
          <w:color w:val="231F20"/>
          <w:spacing w:val="-2"/>
          <w:sz w:val="18"/>
        </w:rPr>
        <w:t> </w:t>
      </w:r>
      <w:r>
        <w:rPr>
          <w:color w:val="231F20"/>
          <w:sz w:val="18"/>
        </w:rPr>
        <w:t>generales</w:t>
      </w:r>
      <w:r>
        <w:rPr>
          <w:color w:val="231F20"/>
          <w:spacing w:val="-1"/>
          <w:sz w:val="18"/>
        </w:rPr>
        <w:t> </w:t>
      </w:r>
      <w:r>
        <w:rPr>
          <w:color w:val="231F20"/>
          <w:sz w:val="18"/>
        </w:rPr>
        <w:t>explican</w:t>
      </w:r>
      <w:r>
        <w:rPr>
          <w:color w:val="231F20"/>
          <w:spacing w:val="-1"/>
          <w:sz w:val="18"/>
        </w:rPr>
        <w:t> </w:t>
      </w:r>
      <w:r>
        <w:rPr>
          <w:color w:val="231F20"/>
          <w:sz w:val="18"/>
        </w:rPr>
        <w:t>la</w:t>
      </w:r>
      <w:r>
        <w:rPr>
          <w:color w:val="231F20"/>
          <w:spacing w:val="-2"/>
          <w:sz w:val="18"/>
        </w:rPr>
        <w:t> </w:t>
      </w:r>
      <w:r>
        <w:rPr>
          <w:color w:val="231F20"/>
          <w:sz w:val="18"/>
        </w:rPr>
        <w:t>evolución</w:t>
      </w:r>
      <w:r>
        <w:rPr>
          <w:color w:val="231F20"/>
          <w:spacing w:val="-1"/>
          <w:sz w:val="18"/>
        </w:rPr>
        <w:t> </w:t>
      </w:r>
      <w:r>
        <w:rPr>
          <w:color w:val="231F20"/>
          <w:sz w:val="18"/>
        </w:rPr>
        <w:t>del</w:t>
      </w:r>
      <w:r>
        <w:rPr>
          <w:color w:val="231F20"/>
          <w:spacing w:val="-1"/>
          <w:sz w:val="18"/>
        </w:rPr>
        <w:t> </w:t>
      </w:r>
      <w:r>
        <w:rPr>
          <w:color w:val="231F20"/>
          <w:sz w:val="18"/>
        </w:rPr>
        <w:t>remedio</w:t>
      </w:r>
      <w:r>
        <w:rPr>
          <w:color w:val="231F20"/>
          <w:spacing w:val="-1"/>
          <w:sz w:val="18"/>
        </w:rPr>
        <w:t> </w:t>
      </w:r>
      <w:r>
        <w:rPr>
          <w:color w:val="231F20"/>
          <w:sz w:val="18"/>
        </w:rPr>
        <w:t>contra</w:t>
      </w:r>
      <w:r>
        <w:rPr>
          <w:color w:val="231F20"/>
          <w:spacing w:val="-1"/>
          <w:sz w:val="18"/>
        </w:rPr>
        <w:t> </w:t>
      </w:r>
      <w:r>
        <w:rPr>
          <w:color w:val="231F20"/>
          <w:sz w:val="18"/>
        </w:rPr>
        <w:t>las </w:t>
      </w:r>
      <w:r>
        <w:rPr>
          <w:color w:val="231F20"/>
          <w:spacing w:val="-2"/>
          <w:sz w:val="18"/>
        </w:rPr>
        <w:t>cláusulas</w:t>
      </w:r>
      <w:r>
        <w:rPr>
          <w:color w:val="231F20"/>
          <w:spacing w:val="-4"/>
          <w:sz w:val="18"/>
        </w:rPr>
        <w:t> </w:t>
      </w:r>
      <w:r>
        <w:rPr>
          <w:color w:val="231F20"/>
          <w:spacing w:val="-2"/>
          <w:sz w:val="18"/>
        </w:rPr>
        <w:t>abusivas</w:t>
      </w:r>
      <w:r>
        <w:rPr>
          <w:color w:val="231F20"/>
          <w:spacing w:val="-5"/>
          <w:sz w:val="18"/>
        </w:rPr>
        <w:t> </w:t>
      </w:r>
      <w:r>
        <w:rPr>
          <w:color w:val="231F20"/>
          <w:spacing w:val="-2"/>
          <w:sz w:val="18"/>
        </w:rPr>
        <w:t>y</w:t>
      </w:r>
      <w:r>
        <w:rPr>
          <w:color w:val="231F20"/>
          <w:spacing w:val="-3"/>
          <w:sz w:val="18"/>
        </w:rPr>
        <w:t> </w:t>
      </w:r>
      <w:r>
        <w:rPr>
          <w:color w:val="231F20"/>
          <w:spacing w:val="-2"/>
          <w:sz w:val="18"/>
        </w:rPr>
        <w:t>sus</w:t>
      </w:r>
      <w:r>
        <w:rPr>
          <w:color w:val="231F20"/>
          <w:spacing w:val="-5"/>
          <w:sz w:val="18"/>
        </w:rPr>
        <w:t> </w:t>
      </w:r>
      <w:r>
        <w:rPr>
          <w:color w:val="231F20"/>
          <w:spacing w:val="-2"/>
          <w:sz w:val="18"/>
        </w:rPr>
        <w:t>consecuencias</w:t>
      </w:r>
      <w:r>
        <w:rPr>
          <w:color w:val="231F20"/>
          <w:spacing w:val="-3"/>
          <w:sz w:val="18"/>
        </w:rPr>
        <w:t> </w:t>
      </w:r>
      <w:r>
        <w:rPr>
          <w:color w:val="231F20"/>
          <w:spacing w:val="-2"/>
          <w:sz w:val="18"/>
        </w:rPr>
        <w:t>ulteriores.</w:t>
      </w:r>
      <w:r>
        <w:rPr>
          <w:color w:val="231F20"/>
          <w:spacing w:val="-5"/>
          <w:sz w:val="18"/>
        </w:rPr>
        <w:t> </w:t>
      </w:r>
      <w:r>
        <w:rPr>
          <w:color w:val="231F20"/>
          <w:spacing w:val="-2"/>
          <w:sz w:val="18"/>
        </w:rPr>
        <w:t>También</w:t>
      </w:r>
      <w:r>
        <w:rPr>
          <w:color w:val="231F20"/>
          <w:spacing w:val="-5"/>
          <w:sz w:val="18"/>
        </w:rPr>
        <w:t> </w:t>
      </w:r>
      <w:r>
        <w:rPr>
          <w:color w:val="231F20"/>
          <w:spacing w:val="-2"/>
          <w:sz w:val="18"/>
        </w:rPr>
        <w:t>podrían</w:t>
      </w:r>
      <w:r>
        <w:rPr>
          <w:color w:val="231F20"/>
          <w:spacing w:val="-5"/>
          <w:sz w:val="18"/>
        </w:rPr>
        <w:t> </w:t>
      </w:r>
      <w:r>
        <w:rPr>
          <w:color w:val="231F20"/>
          <w:spacing w:val="-2"/>
          <w:sz w:val="18"/>
        </w:rPr>
        <w:t>arrojar</w:t>
      </w:r>
      <w:r>
        <w:rPr>
          <w:color w:val="231F20"/>
          <w:spacing w:val="-3"/>
          <w:sz w:val="18"/>
        </w:rPr>
        <w:t> </w:t>
      </w:r>
      <w:r>
        <w:rPr>
          <w:color w:val="231F20"/>
          <w:spacing w:val="-2"/>
          <w:sz w:val="18"/>
        </w:rPr>
        <w:t>luz</w:t>
      </w:r>
      <w:r>
        <w:rPr>
          <w:color w:val="231F20"/>
          <w:spacing w:val="-4"/>
          <w:sz w:val="18"/>
        </w:rPr>
        <w:t> </w:t>
      </w:r>
      <w:r>
        <w:rPr>
          <w:color w:val="231F20"/>
          <w:spacing w:val="-2"/>
          <w:sz w:val="18"/>
        </w:rPr>
        <w:t>sobre</w:t>
      </w:r>
      <w:r>
        <w:rPr>
          <w:color w:val="231F20"/>
          <w:spacing w:val="-5"/>
          <w:sz w:val="18"/>
        </w:rPr>
        <w:t> </w:t>
      </w:r>
      <w:r>
        <w:rPr>
          <w:color w:val="231F20"/>
          <w:spacing w:val="-2"/>
          <w:sz w:val="18"/>
        </w:rPr>
        <w:t>los </w:t>
      </w:r>
      <w:r>
        <w:rPr>
          <w:color w:val="231F20"/>
          <w:sz w:val="18"/>
        </w:rPr>
        <w:t>conflictos</w:t>
      </w:r>
      <w:r>
        <w:rPr>
          <w:color w:val="231F20"/>
          <w:spacing w:val="-11"/>
          <w:sz w:val="18"/>
        </w:rPr>
        <w:t> </w:t>
      </w:r>
      <w:r>
        <w:rPr>
          <w:color w:val="231F20"/>
          <w:sz w:val="18"/>
        </w:rPr>
        <w:t>entre</w:t>
      </w:r>
      <w:r>
        <w:rPr>
          <w:color w:val="231F20"/>
          <w:spacing w:val="-9"/>
          <w:sz w:val="18"/>
        </w:rPr>
        <w:t> </w:t>
      </w:r>
      <w:r>
        <w:rPr>
          <w:color w:val="231F20"/>
          <w:sz w:val="18"/>
        </w:rPr>
        <w:t>el</w:t>
      </w:r>
      <w:r>
        <w:rPr>
          <w:color w:val="231F20"/>
          <w:spacing w:val="-11"/>
          <w:sz w:val="18"/>
        </w:rPr>
        <w:t> </w:t>
      </w:r>
      <w:r>
        <w:rPr>
          <w:color w:val="231F20"/>
          <w:sz w:val="18"/>
        </w:rPr>
        <w:t>Derecho</w:t>
      </w:r>
      <w:r>
        <w:rPr>
          <w:color w:val="231F20"/>
          <w:spacing w:val="-10"/>
          <w:sz w:val="18"/>
        </w:rPr>
        <w:t> </w:t>
      </w:r>
      <w:r>
        <w:rPr>
          <w:color w:val="231F20"/>
          <w:sz w:val="18"/>
        </w:rPr>
        <w:t>de</w:t>
      </w:r>
      <w:r>
        <w:rPr>
          <w:color w:val="231F20"/>
          <w:spacing w:val="-11"/>
          <w:sz w:val="18"/>
        </w:rPr>
        <w:t> </w:t>
      </w:r>
      <w:r>
        <w:rPr>
          <w:color w:val="231F20"/>
          <w:sz w:val="18"/>
        </w:rPr>
        <w:t>la</w:t>
      </w:r>
      <w:r>
        <w:rPr>
          <w:color w:val="231F20"/>
          <w:spacing w:val="-9"/>
          <w:sz w:val="18"/>
        </w:rPr>
        <w:t> </w:t>
      </w:r>
      <w:r>
        <w:rPr>
          <w:color w:val="231F20"/>
          <w:sz w:val="18"/>
        </w:rPr>
        <w:t>UE</w:t>
      </w:r>
      <w:r>
        <w:rPr>
          <w:color w:val="231F20"/>
          <w:spacing w:val="-11"/>
          <w:sz w:val="18"/>
        </w:rPr>
        <w:t> </w:t>
      </w:r>
      <w:r>
        <w:rPr>
          <w:color w:val="231F20"/>
          <w:sz w:val="18"/>
        </w:rPr>
        <w:t>y</w:t>
      </w:r>
      <w:r>
        <w:rPr>
          <w:color w:val="231F20"/>
          <w:spacing w:val="-11"/>
          <w:sz w:val="18"/>
        </w:rPr>
        <w:t> </w:t>
      </w:r>
      <w:r>
        <w:rPr>
          <w:color w:val="231F20"/>
          <w:sz w:val="18"/>
        </w:rPr>
        <w:t>el</w:t>
      </w:r>
      <w:r>
        <w:rPr>
          <w:color w:val="231F20"/>
          <w:spacing w:val="-10"/>
          <w:sz w:val="18"/>
        </w:rPr>
        <w:t> </w:t>
      </w:r>
      <w:r>
        <w:rPr>
          <w:color w:val="231F20"/>
          <w:sz w:val="18"/>
        </w:rPr>
        <w:t>Derecho</w:t>
      </w:r>
      <w:r>
        <w:rPr>
          <w:color w:val="231F20"/>
          <w:spacing w:val="-11"/>
          <w:sz w:val="18"/>
        </w:rPr>
        <w:t> </w:t>
      </w:r>
      <w:r>
        <w:rPr>
          <w:color w:val="231F20"/>
          <w:sz w:val="18"/>
        </w:rPr>
        <w:t>privado</w:t>
      </w:r>
      <w:r>
        <w:rPr>
          <w:color w:val="231F20"/>
          <w:spacing w:val="-10"/>
          <w:sz w:val="18"/>
        </w:rPr>
        <w:t> </w:t>
      </w:r>
      <w:r>
        <w:rPr>
          <w:color w:val="231F20"/>
          <w:sz w:val="18"/>
        </w:rPr>
        <w:t>nacional</w:t>
      </w:r>
      <w:r>
        <w:rPr>
          <w:color w:val="231F20"/>
          <w:spacing w:val="-11"/>
          <w:sz w:val="18"/>
        </w:rPr>
        <w:t> </w:t>
      </w:r>
      <w:r>
        <w:rPr>
          <w:color w:val="231F20"/>
          <w:sz w:val="18"/>
        </w:rPr>
        <w:t>en</w:t>
      </w:r>
      <w:r>
        <w:rPr>
          <w:color w:val="231F20"/>
          <w:spacing w:val="-10"/>
          <w:sz w:val="18"/>
        </w:rPr>
        <w:t> </w:t>
      </w:r>
      <w:r>
        <w:rPr>
          <w:color w:val="231F20"/>
          <w:sz w:val="18"/>
        </w:rPr>
        <w:t>la</w:t>
      </w:r>
      <w:r>
        <w:rPr>
          <w:color w:val="231F20"/>
          <w:spacing w:val="-10"/>
          <w:sz w:val="18"/>
        </w:rPr>
        <w:t> </w:t>
      </w:r>
      <w:r>
        <w:rPr>
          <w:color w:val="231F20"/>
          <w:sz w:val="18"/>
        </w:rPr>
        <w:t>aplicación</w:t>
      </w:r>
      <w:r>
        <w:rPr>
          <w:color w:val="231F20"/>
          <w:spacing w:val="-11"/>
          <w:sz w:val="18"/>
        </w:rPr>
        <w:t> </w:t>
      </w:r>
      <w:r>
        <w:rPr>
          <w:color w:val="231F20"/>
          <w:sz w:val="18"/>
        </w:rPr>
        <w:t>de</w:t>
      </w:r>
      <w:r>
        <w:rPr>
          <w:color w:val="231F20"/>
          <w:spacing w:val="-10"/>
          <w:sz w:val="18"/>
        </w:rPr>
        <w:t> </w:t>
      </w:r>
      <w:r>
        <w:rPr>
          <w:color w:val="231F20"/>
          <w:sz w:val="18"/>
        </w:rPr>
        <w:t>la Directiva 93/13.</w:t>
      </w:r>
    </w:p>
    <w:p>
      <w:pPr>
        <w:pStyle w:val="BodyText"/>
        <w:rPr>
          <w:sz w:val="18"/>
        </w:rPr>
      </w:pPr>
    </w:p>
    <w:p>
      <w:pPr>
        <w:pStyle w:val="BodyText"/>
        <w:spacing w:before="115"/>
        <w:rPr>
          <w:sz w:val="18"/>
        </w:rPr>
      </w:pPr>
    </w:p>
    <w:p>
      <w:pPr>
        <w:pStyle w:val="Heading1"/>
        <w:numPr>
          <w:ilvl w:val="0"/>
          <w:numId w:val="1"/>
        </w:numPr>
        <w:tabs>
          <w:tab w:pos="864" w:val="left" w:leader="none"/>
        </w:tabs>
        <w:spacing w:line="240" w:lineRule="auto" w:before="0" w:after="0"/>
        <w:ind w:left="864" w:right="0" w:hanging="352"/>
        <w:jc w:val="left"/>
      </w:pPr>
      <w:r>
        <w:rPr>
          <w:color w:val="231F20"/>
          <w:spacing w:val="-2"/>
          <w:w w:val="110"/>
        </w:rPr>
        <w:t>Introduction</w:t>
      </w:r>
    </w:p>
    <w:p>
      <w:pPr>
        <w:pStyle w:val="ListParagraph"/>
        <w:numPr>
          <w:ilvl w:val="0"/>
          <w:numId w:val="2"/>
        </w:numPr>
        <w:tabs>
          <w:tab w:pos="1218" w:val="left" w:leader="none"/>
        </w:tabs>
        <w:spacing w:line="285" w:lineRule="auto" w:before="166" w:after="0"/>
        <w:ind w:left="871" w:right="868" w:firstLine="0"/>
        <w:jc w:val="both"/>
        <w:rPr>
          <w:sz w:val="19"/>
        </w:rPr>
      </w:pPr>
      <w:r>
        <w:rPr>
          <w:color w:val="231F20"/>
          <w:sz w:val="19"/>
        </w:rPr>
        <w:t>Article 6(1) of the Unfair Contract Terms Directive (UCTD)</w:t>
      </w:r>
      <w:r>
        <w:rPr>
          <w:color w:val="231F20"/>
          <w:sz w:val="19"/>
          <w:vertAlign w:val="superscript"/>
        </w:rPr>
        <w:t>1</w:t>
      </w:r>
      <w:r>
        <w:rPr>
          <w:color w:val="231F20"/>
          <w:sz w:val="19"/>
          <w:vertAlign w:val="baseline"/>
        </w:rPr>
        <w:t> sets out </w:t>
      </w:r>
      <w:r>
        <w:rPr>
          <w:color w:val="231F20"/>
          <w:sz w:val="19"/>
          <w:vertAlign w:val="baseline"/>
        </w:rPr>
        <w:t>the consequences for unfair terms, which will </w:t>
      </w:r>
      <w:r>
        <w:rPr>
          <w:rFonts w:ascii="Arial" w:hAnsi="Arial"/>
          <w:color w:val="231F20"/>
          <w:sz w:val="19"/>
          <w:vertAlign w:val="baseline"/>
        </w:rPr>
        <w:t>‘</w:t>
      </w:r>
      <w:r>
        <w:rPr>
          <w:color w:val="231F20"/>
          <w:sz w:val="19"/>
          <w:vertAlign w:val="baseline"/>
        </w:rPr>
        <w:t>not be binding on the consumer</w:t>
      </w:r>
      <w:r>
        <w:rPr>
          <w:rFonts w:ascii="Arial" w:hAnsi="Arial"/>
          <w:color w:val="231F20"/>
          <w:sz w:val="19"/>
          <w:vertAlign w:val="baseline"/>
        </w:rPr>
        <w:t>’</w:t>
      </w:r>
      <w:r>
        <w:rPr>
          <w:color w:val="231F20"/>
          <w:sz w:val="19"/>
          <w:vertAlign w:val="baseline"/>
        </w:rPr>
        <w:t>, </w:t>
      </w:r>
      <w:r>
        <w:rPr>
          <w:rFonts w:ascii="Arial" w:hAnsi="Arial"/>
          <w:color w:val="231F20"/>
          <w:sz w:val="19"/>
          <w:vertAlign w:val="baseline"/>
        </w:rPr>
        <w:t>‘</w:t>
      </w:r>
      <w:r>
        <w:rPr>
          <w:color w:val="231F20"/>
          <w:sz w:val="19"/>
          <w:vertAlign w:val="baseline"/>
        </w:rPr>
        <w:t>as provided for under their national law</w:t>
      </w:r>
      <w:r>
        <w:rPr>
          <w:rFonts w:ascii="Arial" w:hAnsi="Arial"/>
          <w:color w:val="231F20"/>
          <w:sz w:val="19"/>
          <w:vertAlign w:val="baseline"/>
        </w:rPr>
        <w:t>’ </w:t>
      </w:r>
      <w:r>
        <w:rPr>
          <w:color w:val="231F20"/>
          <w:sz w:val="19"/>
          <w:vertAlign w:val="baseline"/>
        </w:rPr>
        <w:t>if the contract can continue in existence without the tainted terms.</w:t>
      </w:r>
    </w:p>
    <w:p>
      <w:pPr>
        <w:pStyle w:val="ListParagraph"/>
        <w:numPr>
          <w:ilvl w:val="0"/>
          <w:numId w:val="2"/>
        </w:numPr>
        <w:tabs>
          <w:tab w:pos="1218" w:val="left" w:leader="none"/>
        </w:tabs>
        <w:spacing w:line="285" w:lineRule="auto" w:before="119" w:after="0"/>
        <w:ind w:left="871" w:right="868" w:firstLine="0"/>
        <w:jc w:val="both"/>
        <w:rPr>
          <w:sz w:val="19"/>
        </w:rPr>
      </w:pPr>
      <w:r>
        <w:rPr>
          <w:color w:val="231F20"/>
          <w:sz w:val="19"/>
        </w:rPr>
        <w:t>The UCTD opted for a neutral remedy (non-binding) that is alien to the traditions</w:t>
      </w:r>
      <w:r>
        <w:rPr>
          <w:color w:val="231F20"/>
          <w:spacing w:val="-2"/>
          <w:sz w:val="19"/>
        </w:rPr>
        <w:t> </w:t>
      </w:r>
      <w:r>
        <w:rPr>
          <w:color w:val="231F20"/>
          <w:sz w:val="19"/>
        </w:rPr>
        <w:t>of the</w:t>
      </w:r>
      <w:r>
        <w:rPr>
          <w:color w:val="231F20"/>
          <w:spacing w:val="-1"/>
          <w:sz w:val="19"/>
        </w:rPr>
        <w:t> </w:t>
      </w:r>
      <w:r>
        <w:rPr>
          <w:color w:val="231F20"/>
          <w:sz w:val="19"/>
        </w:rPr>
        <w:t>Member</w:t>
      </w:r>
      <w:r>
        <w:rPr>
          <w:color w:val="231F20"/>
          <w:spacing w:val="-2"/>
          <w:sz w:val="19"/>
        </w:rPr>
        <w:t> </w:t>
      </w:r>
      <w:r>
        <w:rPr>
          <w:color w:val="231F20"/>
          <w:sz w:val="19"/>
        </w:rPr>
        <w:t>States.</w:t>
      </w:r>
      <w:r>
        <w:rPr>
          <w:color w:val="231F20"/>
          <w:spacing w:val="-2"/>
          <w:sz w:val="19"/>
        </w:rPr>
        <w:t> </w:t>
      </w:r>
      <w:r>
        <w:rPr>
          <w:color w:val="231F20"/>
          <w:sz w:val="19"/>
        </w:rPr>
        <w:t>It</w:t>
      </w:r>
      <w:r>
        <w:rPr>
          <w:color w:val="231F20"/>
          <w:spacing w:val="-2"/>
          <w:sz w:val="19"/>
        </w:rPr>
        <w:t> </w:t>
      </w:r>
      <w:r>
        <w:rPr>
          <w:color w:val="231F20"/>
          <w:sz w:val="19"/>
        </w:rPr>
        <w:t>resulted</w:t>
      </w:r>
      <w:r>
        <w:rPr>
          <w:color w:val="231F20"/>
          <w:spacing w:val="-2"/>
          <w:sz w:val="19"/>
        </w:rPr>
        <w:t> </w:t>
      </w:r>
      <w:r>
        <w:rPr>
          <w:color w:val="231F20"/>
          <w:sz w:val="19"/>
        </w:rPr>
        <w:t>from</w:t>
      </w:r>
      <w:r>
        <w:rPr>
          <w:color w:val="231F20"/>
          <w:spacing w:val="-2"/>
          <w:sz w:val="19"/>
        </w:rPr>
        <w:t> </w:t>
      </w:r>
      <w:r>
        <w:rPr>
          <w:color w:val="231F20"/>
          <w:sz w:val="19"/>
        </w:rPr>
        <w:t>an</w:t>
      </w:r>
      <w:r>
        <w:rPr>
          <w:color w:val="231F20"/>
          <w:spacing w:val="-1"/>
          <w:sz w:val="19"/>
        </w:rPr>
        <w:t> </w:t>
      </w:r>
      <w:r>
        <w:rPr>
          <w:color w:val="231F20"/>
          <w:sz w:val="19"/>
        </w:rPr>
        <w:t>amendment</w:t>
      </w:r>
      <w:r>
        <w:rPr>
          <w:color w:val="231F20"/>
          <w:spacing w:val="-2"/>
          <w:sz w:val="19"/>
        </w:rPr>
        <w:t> </w:t>
      </w:r>
      <w:r>
        <w:rPr>
          <w:color w:val="231F20"/>
          <w:sz w:val="19"/>
        </w:rPr>
        <w:t>of the</w:t>
      </w:r>
      <w:r>
        <w:rPr>
          <w:color w:val="231F20"/>
          <w:spacing w:val="-1"/>
          <w:sz w:val="19"/>
        </w:rPr>
        <w:t> </w:t>
      </w:r>
      <w:r>
        <w:rPr>
          <w:color w:val="231F20"/>
          <w:sz w:val="19"/>
        </w:rPr>
        <w:t>European Parliament to earlier drafts, following concerns about the national, follow-on implications of alternative options, such as the term being void.</w:t>
      </w:r>
      <w:r>
        <w:rPr>
          <w:color w:val="231F20"/>
          <w:sz w:val="19"/>
          <w:vertAlign w:val="superscript"/>
        </w:rPr>
        <w:t>2</w:t>
      </w:r>
      <w:r>
        <w:rPr>
          <w:color w:val="231F20"/>
          <w:sz w:val="19"/>
          <w:vertAlign w:val="baseline"/>
        </w:rPr>
        <w:t> The final </w:t>
      </w:r>
      <w:r>
        <w:rPr>
          <w:color w:val="231F20"/>
          <w:sz w:val="19"/>
          <w:vertAlign w:val="baseline"/>
        </w:rPr>
        <w:t>text, therefore,</w:t>
      </w:r>
      <w:r>
        <w:rPr>
          <w:color w:val="231F20"/>
          <w:spacing w:val="-6"/>
          <w:sz w:val="19"/>
          <w:vertAlign w:val="baseline"/>
        </w:rPr>
        <w:t> </w:t>
      </w:r>
      <w:r>
        <w:rPr>
          <w:color w:val="231F20"/>
          <w:sz w:val="19"/>
          <w:vertAlign w:val="baseline"/>
        </w:rPr>
        <w:t>came</w:t>
      </w:r>
      <w:r>
        <w:rPr>
          <w:color w:val="231F20"/>
          <w:spacing w:val="-6"/>
          <w:sz w:val="19"/>
          <w:vertAlign w:val="baseline"/>
        </w:rPr>
        <w:t> </w:t>
      </w:r>
      <w:r>
        <w:rPr>
          <w:color w:val="231F20"/>
          <w:sz w:val="19"/>
          <w:vertAlign w:val="baseline"/>
        </w:rPr>
        <w:t>out</w:t>
      </w:r>
      <w:r>
        <w:rPr>
          <w:color w:val="231F20"/>
          <w:spacing w:val="-6"/>
          <w:sz w:val="19"/>
          <w:vertAlign w:val="baseline"/>
        </w:rPr>
        <w:t> </w:t>
      </w:r>
      <w:r>
        <w:rPr>
          <w:color w:val="231F20"/>
          <w:sz w:val="19"/>
          <w:vertAlign w:val="baseline"/>
        </w:rPr>
        <w:t>of</w:t>
      </w:r>
      <w:r>
        <w:rPr>
          <w:color w:val="231F20"/>
          <w:spacing w:val="-6"/>
          <w:sz w:val="19"/>
          <w:vertAlign w:val="baseline"/>
        </w:rPr>
        <w:t> </w:t>
      </w:r>
      <w:r>
        <w:rPr>
          <w:color w:val="231F20"/>
          <w:sz w:val="19"/>
          <w:vertAlign w:val="baseline"/>
        </w:rPr>
        <w:t>respect</w:t>
      </w:r>
      <w:r>
        <w:rPr>
          <w:color w:val="231F20"/>
          <w:spacing w:val="-6"/>
          <w:sz w:val="19"/>
          <w:vertAlign w:val="baseline"/>
        </w:rPr>
        <w:t> </w:t>
      </w:r>
      <w:r>
        <w:rPr>
          <w:color w:val="231F20"/>
          <w:sz w:val="19"/>
          <w:vertAlign w:val="baseline"/>
        </w:rPr>
        <w:t>for</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procedural</w:t>
      </w:r>
      <w:r>
        <w:rPr>
          <w:color w:val="231F20"/>
          <w:spacing w:val="-6"/>
          <w:sz w:val="19"/>
          <w:vertAlign w:val="baseline"/>
        </w:rPr>
        <w:t> </w:t>
      </w:r>
      <w:r>
        <w:rPr>
          <w:color w:val="231F20"/>
          <w:sz w:val="19"/>
          <w:vertAlign w:val="baseline"/>
        </w:rPr>
        <w:t>autonomy</w:t>
      </w:r>
      <w:r>
        <w:rPr>
          <w:color w:val="231F20"/>
          <w:spacing w:val="-8"/>
          <w:sz w:val="19"/>
          <w:vertAlign w:val="baseline"/>
        </w:rPr>
        <w:t> </w:t>
      </w:r>
      <w:r>
        <w:rPr>
          <w:color w:val="231F20"/>
          <w:sz w:val="19"/>
          <w:vertAlign w:val="baseline"/>
        </w:rPr>
        <w:t>of</w:t>
      </w:r>
      <w:r>
        <w:rPr>
          <w:color w:val="231F20"/>
          <w:spacing w:val="-2"/>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Member</w:t>
      </w:r>
      <w:r>
        <w:rPr>
          <w:color w:val="231F20"/>
          <w:spacing w:val="-6"/>
          <w:sz w:val="19"/>
          <w:vertAlign w:val="baseline"/>
        </w:rPr>
        <w:t> </w:t>
      </w:r>
      <w:r>
        <w:rPr>
          <w:color w:val="231F20"/>
          <w:sz w:val="19"/>
          <w:vertAlign w:val="baseline"/>
        </w:rPr>
        <w:t>States. Accordingly, in the Explanatory Memorandum to the final proposal, the Commission stated that </w:t>
      </w:r>
      <w:r>
        <w:rPr>
          <w:rFonts w:ascii="Arial" w:hAnsi="Arial"/>
          <w:color w:val="231F20"/>
          <w:sz w:val="19"/>
          <w:vertAlign w:val="baseline"/>
        </w:rPr>
        <w:t>‘</w:t>
      </w:r>
      <w:r>
        <w:rPr>
          <w:color w:val="231F20"/>
          <w:sz w:val="19"/>
          <w:vertAlign w:val="baseline"/>
        </w:rPr>
        <w:t>[t]he precise legal classification (relative or absolute nullity, non-existence, </w:t>
      </w:r>
      <w:r>
        <w:rPr>
          <w:rFonts w:ascii="Arial" w:hAnsi="Arial"/>
          <w:color w:val="231F20"/>
          <w:sz w:val="19"/>
          <w:vertAlign w:val="baseline"/>
        </w:rPr>
        <w:t>“</w:t>
      </w:r>
      <w:r>
        <w:rPr>
          <w:color w:val="231F20"/>
          <w:sz w:val="19"/>
          <w:vertAlign w:val="baseline"/>
        </w:rPr>
        <w:t>voidance</w:t>
      </w:r>
      <w:r>
        <w:rPr>
          <w:rFonts w:ascii="Arial" w:hAnsi="Arial"/>
          <w:color w:val="231F20"/>
          <w:sz w:val="19"/>
          <w:vertAlign w:val="baseline"/>
        </w:rPr>
        <w:t>”</w:t>
      </w:r>
      <w:r>
        <w:rPr>
          <w:color w:val="231F20"/>
          <w:sz w:val="19"/>
          <w:vertAlign w:val="baseline"/>
        </w:rPr>
        <w:t>, etc.) should be left to the legal system in each Member State</w:t>
      </w:r>
      <w:r>
        <w:rPr>
          <w:rFonts w:ascii="Arial" w:hAnsi="Arial"/>
          <w:color w:val="231F20"/>
          <w:sz w:val="19"/>
          <w:vertAlign w:val="baseline"/>
        </w:rPr>
        <w:t>’</w:t>
      </w:r>
      <w:r>
        <w:rPr>
          <w:color w:val="231F20"/>
          <w:sz w:val="19"/>
          <w:vertAlign w:val="baseline"/>
        </w:rPr>
        <w:t>.</w:t>
      </w:r>
      <w:r>
        <w:rPr>
          <w:color w:val="231F20"/>
          <w:sz w:val="19"/>
          <w:vertAlign w:val="superscript"/>
        </w:rPr>
        <w:t>3</w:t>
      </w:r>
    </w:p>
    <w:p>
      <w:pPr>
        <w:pStyle w:val="ListParagraph"/>
        <w:numPr>
          <w:ilvl w:val="0"/>
          <w:numId w:val="2"/>
        </w:numPr>
        <w:tabs>
          <w:tab w:pos="1218" w:val="left" w:leader="none"/>
        </w:tabs>
        <w:spacing w:line="288" w:lineRule="auto" w:before="125" w:after="0"/>
        <w:ind w:left="871" w:right="868" w:firstLine="0"/>
        <w:jc w:val="both"/>
        <w:rPr>
          <w:sz w:val="19"/>
        </w:rPr>
      </w:pPr>
      <w:r>
        <w:rPr>
          <w:color w:val="231F20"/>
          <w:sz w:val="19"/>
        </w:rPr>
        <w:t>Article 6(1) UCTD referred to procedural autonomy when it established that </w:t>
      </w:r>
      <w:r>
        <w:rPr>
          <w:color w:val="231F20"/>
          <w:spacing w:val="-2"/>
          <w:sz w:val="19"/>
        </w:rPr>
        <w:t>the</w:t>
      </w:r>
      <w:r>
        <w:rPr>
          <w:color w:val="231F20"/>
          <w:spacing w:val="-9"/>
          <w:sz w:val="19"/>
        </w:rPr>
        <w:t> </w:t>
      </w:r>
      <w:r>
        <w:rPr>
          <w:color w:val="231F20"/>
          <w:spacing w:val="-2"/>
          <w:sz w:val="19"/>
        </w:rPr>
        <w:t>remedy</w:t>
      </w:r>
      <w:r>
        <w:rPr>
          <w:color w:val="231F20"/>
          <w:spacing w:val="-8"/>
          <w:sz w:val="19"/>
        </w:rPr>
        <w:t> </w:t>
      </w:r>
      <w:r>
        <w:rPr>
          <w:color w:val="231F20"/>
          <w:spacing w:val="-2"/>
          <w:sz w:val="19"/>
        </w:rPr>
        <w:t>for</w:t>
      </w:r>
      <w:r>
        <w:rPr>
          <w:color w:val="231F20"/>
          <w:spacing w:val="-10"/>
          <w:sz w:val="19"/>
        </w:rPr>
        <w:t> </w:t>
      </w:r>
      <w:r>
        <w:rPr>
          <w:color w:val="231F20"/>
          <w:spacing w:val="-2"/>
          <w:sz w:val="19"/>
        </w:rPr>
        <w:t>an</w:t>
      </w:r>
      <w:r>
        <w:rPr>
          <w:color w:val="231F20"/>
          <w:spacing w:val="-8"/>
          <w:sz w:val="19"/>
        </w:rPr>
        <w:t> </w:t>
      </w:r>
      <w:r>
        <w:rPr>
          <w:color w:val="231F20"/>
          <w:spacing w:val="-2"/>
          <w:sz w:val="19"/>
        </w:rPr>
        <w:t>unfair</w:t>
      </w:r>
      <w:r>
        <w:rPr>
          <w:color w:val="231F20"/>
          <w:spacing w:val="-8"/>
          <w:sz w:val="19"/>
        </w:rPr>
        <w:t> </w:t>
      </w:r>
      <w:r>
        <w:rPr>
          <w:color w:val="231F20"/>
          <w:spacing w:val="-2"/>
          <w:sz w:val="19"/>
        </w:rPr>
        <w:t>term</w:t>
      </w:r>
      <w:r>
        <w:rPr>
          <w:color w:val="231F20"/>
          <w:spacing w:val="-8"/>
          <w:sz w:val="19"/>
        </w:rPr>
        <w:t> </w:t>
      </w:r>
      <w:r>
        <w:rPr>
          <w:color w:val="231F20"/>
          <w:spacing w:val="-2"/>
          <w:sz w:val="19"/>
        </w:rPr>
        <w:t>should</w:t>
      </w:r>
      <w:r>
        <w:rPr>
          <w:color w:val="231F20"/>
          <w:spacing w:val="-8"/>
          <w:sz w:val="19"/>
        </w:rPr>
        <w:t> </w:t>
      </w:r>
      <w:r>
        <w:rPr>
          <w:color w:val="231F20"/>
          <w:spacing w:val="-2"/>
          <w:sz w:val="19"/>
        </w:rPr>
        <w:t>be</w:t>
      </w:r>
      <w:r>
        <w:rPr>
          <w:color w:val="231F20"/>
          <w:spacing w:val="-8"/>
          <w:sz w:val="19"/>
        </w:rPr>
        <w:t> </w:t>
      </w:r>
      <w:r>
        <w:rPr>
          <w:color w:val="231F20"/>
          <w:spacing w:val="-2"/>
          <w:sz w:val="19"/>
        </w:rPr>
        <w:t>provided</w:t>
      </w:r>
      <w:r>
        <w:rPr>
          <w:color w:val="231F20"/>
          <w:spacing w:val="-8"/>
          <w:sz w:val="19"/>
        </w:rPr>
        <w:t> </w:t>
      </w:r>
      <w:r>
        <w:rPr>
          <w:color w:val="231F20"/>
          <w:spacing w:val="-2"/>
          <w:sz w:val="19"/>
        </w:rPr>
        <w:t>for</w:t>
      </w:r>
      <w:r>
        <w:rPr>
          <w:color w:val="231F20"/>
          <w:spacing w:val="-10"/>
          <w:sz w:val="19"/>
        </w:rPr>
        <w:t> </w:t>
      </w:r>
      <w:r>
        <w:rPr>
          <w:color w:val="231F20"/>
          <w:spacing w:val="-2"/>
          <w:sz w:val="19"/>
        </w:rPr>
        <w:t>by</w:t>
      </w:r>
      <w:r>
        <w:rPr>
          <w:color w:val="231F20"/>
          <w:spacing w:val="-8"/>
          <w:sz w:val="19"/>
        </w:rPr>
        <w:t> </w:t>
      </w:r>
      <w:r>
        <w:rPr>
          <w:color w:val="231F20"/>
          <w:spacing w:val="-2"/>
          <w:sz w:val="19"/>
        </w:rPr>
        <w:t>the</w:t>
      </w:r>
      <w:r>
        <w:rPr>
          <w:color w:val="231F20"/>
          <w:spacing w:val="-8"/>
          <w:sz w:val="19"/>
        </w:rPr>
        <w:t> </w:t>
      </w:r>
      <w:r>
        <w:rPr>
          <w:color w:val="231F20"/>
          <w:spacing w:val="-2"/>
          <w:sz w:val="19"/>
        </w:rPr>
        <w:t>national</w:t>
      </w:r>
      <w:r>
        <w:rPr>
          <w:color w:val="231F20"/>
          <w:spacing w:val="-8"/>
          <w:sz w:val="19"/>
        </w:rPr>
        <w:t> </w:t>
      </w:r>
      <w:r>
        <w:rPr>
          <w:color w:val="231F20"/>
          <w:spacing w:val="-2"/>
          <w:sz w:val="19"/>
        </w:rPr>
        <w:t>legislator,</w:t>
      </w:r>
      <w:r>
        <w:rPr>
          <w:color w:val="231F20"/>
          <w:spacing w:val="-9"/>
          <w:sz w:val="19"/>
        </w:rPr>
        <w:t> </w:t>
      </w:r>
      <w:r>
        <w:rPr>
          <w:color w:val="231F20"/>
          <w:spacing w:val="-2"/>
          <w:sz w:val="19"/>
        </w:rPr>
        <w:t>with </w:t>
      </w:r>
      <w:r>
        <w:rPr>
          <w:color w:val="231F20"/>
          <w:sz w:val="19"/>
        </w:rPr>
        <w:t>the limitation that the unfair term should not bind the consumer. Following this, </w:t>
      </w:r>
      <w:r>
        <w:rPr>
          <w:color w:val="231F20"/>
          <w:spacing w:val="-2"/>
          <w:sz w:val="19"/>
        </w:rPr>
        <w:t>Member States</w:t>
      </w:r>
      <w:r>
        <w:rPr>
          <w:color w:val="231F20"/>
          <w:spacing w:val="-4"/>
          <w:sz w:val="19"/>
        </w:rPr>
        <w:t> </w:t>
      </w:r>
      <w:r>
        <w:rPr>
          <w:color w:val="231F20"/>
          <w:spacing w:val="-2"/>
          <w:sz w:val="19"/>
        </w:rPr>
        <w:t>embedded the remedy</w:t>
      </w:r>
      <w:r>
        <w:rPr>
          <w:color w:val="231F20"/>
          <w:spacing w:val="-3"/>
          <w:sz w:val="19"/>
        </w:rPr>
        <w:t> </w:t>
      </w:r>
      <w:r>
        <w:rPr>
          <w:color w:val="231F20"/>
          <w:spacing w:val="-2"/>
          <w:sz w:val="19"/>
        </w:rPr>
        <w:t>in national</w:t>
      </w:r>
      <w:r>
        <w:rPr>
          <w:color w:val="231F20"/>
          <w:spacing w:val="-3"/>
          <w:sz w:val="19"/>
        </w:rPr>
        <w:t> </w:t>
      </w:r>
      <w:r>
        <w:rPr>
          <w:color w:val="231F20"/>
          <w:spacing w:val="-2"/>
          <w:sz w:val="19"/>
        </w:rPr>
        <w:t>sanctions, including the </w:t>
      </w:r>
      <w:r>
        <w:rPr>
          <w:color w:val="231F20"/>
          <w:spacing w:val="-2"/>
          <w:sz w:val="19"/>
        </w:rPr>
        <w:t>absolute </w:t>
      </w:r>
      <w:r>
        <w:rPr>
          <w:color w:val="231F20"/>
          <w:sz w:val="19"/>
        </w:rPr>
        <w:t>and relative invalidity, treating the term as non-written, or even creating a new remedy of </w:t>
      </w:r>
      <w:r>
        <w:rPr>
          <w:rFonts w:ascii="Arial" w:hAnsi="Arial"/>
          <w:color w:val="231F20"/>
          <w:sz w:val="19"/>
        </w:rPr>
        <w:t>‘</w:t>
      </w:r>
      <w:r>
        <w:rPr>
          <w:color w:val="231F20"/>
          <w:sz w:val="19"/>
        </w:rPr>
        <w:t>protective nullity</w:t>
      </w:r>
      <w:r>
        <w:rPr>
          <w:rFonts w:ascii="Arial" w:hAnsi="Arial"/>
          <w:color w:val="231F20"/>
          <w:sz w:val="19"/>
        </w:rPr>
        <w:t>’</w:t>
      </w:r>
      <w:r>
        <w:rPr>
          <w:color w:val="231F20"/>
          <w:sz w:val="19"/>
        </w:rPr>
        <w:t>.</w:t>
      </w:r>
      <w:r>
        <w:rPr>
          <w:color w:val="231F20"/>
          <w:sz w:val="19"/>
          <w:vertAlign w:val="superscript"/>
        </w:rPr>
        <w:t>4</w:t>
      </w:r>
      <w:r>
        <w:rPr>
          <w:color w:val="231F20"/>
          <w:sz w:val="19"/>
          <w:vertAlign w:val="baseline"/>
        </w:rPr>
        <w:t> After the first five years of</w:t>
      </w:r>
      <w:r>
        <w:rPr>
          <w:color w:val="231F20"/>
          <w:spacing w:val="12"/>
          <w:sz w:val="19"/>
          <w:vertAlign w:val="baseline"/>
        </w:rPr>
        <w:t> </w:t>
      </w:r>
      <w:r>
        <w:rPr>
          <w:color w:val="231F20"/>
          <w:sz w:val="19"/>
          <w:vertAlign w:val="baseline"/>
        </w:rPr>
        <w:t>the implementation of</w:t>
      </w:r>
    </w:p>
    <w:p>
      <w:pPr>
        <w:pStyle w:val="BodyText"/>
        <w:spacing w:before="183"/>
        <w:rPr>
          <w:sz w:val="20"/>
        </w:rPr>
      </w:pPr>
      <w:r>
        <w:rPr/>
        <mc:AlternateContent>
          <mc:Choice Requires="wps">
            <w:drawing>
              <wp:anchor distT="0" distB="0" distL="0" distR="0" allowOverlap="1" layoutInCell="1" locked="0" behindDoc="1" simplePos="0" relativeHeight="487589376">
                <wp:simplePos x="0" y="0"/>
                <wp:positionH relativeFrom="page">
                  <wp:posOffset>1979993</wp:posOffset>
                </wp:positionH>
                <wp:positionV relativeFrom="paragraph">
                  <wp:posOffset>276090</wp:posOffset>
                </wp:positionV>
                <wp:extent cx="1656080" cy="4445"/>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1.739376pt;width:130.394pt;height:.34018pt;mso-position-horizontal-relative:page;mso-position-vertical-relative:paragraph;z-index:-15727104;mso-wrap-distance-left:0;mso-wrap-distance-right:0" id="docshape6"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88" w:lineRule="auto" w:before="0" w:after="0"/>
        <w:ind w:left="866" w:right="869" w:hanging="354"/>
        <w:jc w:val="both"/>
        <w:rPr>
          <w:sz w:val="16"/>
        </w:rPr>
      </w:pPr>
      <w:r>
        <w:rPr>
          <w:color w:val="231F20"/>
          <w:sz w:val="16"/>
        </w:rPr>
        <w:t>Directive 93/13/EEC of 5 Apr. 1993 on unfair terms in consumer contracts, data.europa.eu/eli/</w:t>
      </w:r>
      <w:r>
        <w:rPr>
          <w:color w:val="231F20"/>
          <w:spacing w:val="40"/>
          <w:sz w:val="16"/>
        </w:rPr>
        <w:t> </w:t>
      </w:r>
      <w:r>
        <w:rPr>
          <w:color w:val="231F20"/>
          <w:spacing w:val="-2"/>
          <w:sz w:val="16"/>
        </w:rPr>
        <w:t>dir/1993/13/2022-05-28.</w:t>
      </w:r>
    </w:p>
    <w:p>
      <w:pPr>
        <w:pStyle w:val="ListParagraph"/>
        <w:numPr>
          <w:ilvl w:val="0"/>
          <w:numId w:val="3"/>
        </w:numPr>
        <w:tabs>
          <w:tab w:pos="866" w:val="left" w:leader="none"/>
        </w:tabs>
        <w:spacing w:line="285" w:lineRule="auto" w:before="0" w:after="0"/>
        <w:ind w:left="866" w:right="868" w:hanging="354"/>
        <w:jc w:val="both"/>
        <w:rPr>
          <w:sz w:val="16"/>
        </w:rPr>
      </w:pPr>
      <w:r>
        <w:rPr>
          <w:color w:val="231F20"/>
          <w:sz w:val="16"/>
        </w:rPr>
        <w:t>M. T</w:t>
      </w:r>
      <w:r>
        <w:rPr>
          <w:color w:val="231F20"/>
          <w:sz w:val="11"/>
        </w:rPr>
        <w:t>ENREIRO</w:t>
      </w:r>
      <w:r>
        <w:rPr>
          <w:color w:val="231F20"/>
          <w:sz w:val="16"/>
        </w:rPr>
        <w:t>, </w:t>
      </w:r>
      <w:r>
        <w:rPr>
          <w:rFonts w:ascii="Arial" w:hAnsi="Arial"/>
          <w:color w:val="231F20"/>
          <w:sz w:val="16"/>
        </w:rPr>
        <w:t>‘</w:t>
      </w:r>
      <w:r>
        <w:rPr>
          <w:color w:val="231F20"/>
          <w:sz w:val="16"/>
        </w:rPr>
        <w:t>The Community Directive on Unfair Contract Terms and National Legal Systems</w:t>
      </w:r>
      <w:r>
        <w:rPr>
          <w:rFonts w:ascii="Arial" w:hAnsi="Arial"/>
          <w:color w:val="231F20"/>
          <w:sz w:val="16"/>
        </w:rPr>
        <w:t>’</w:t>
      </w:r>
      <w:r>
        <w:rPr>
          <w:color w:val="231F20"/>
          <w:sz w:val="16"/>
        </w:rPr>
        <w:t>,</w:t>
      </w:r>
      <w:r>
        <w:rPr>
          <w:color w:val="231F20"/>
          <w:spacing w:val="40"/>
          <w:sz w:val="16"/>
        </w:rPr>
        <w:t> </w:t>
      </w:r>
      <w:r>
        <w:rPr>
          <w:color w:val="231F20"/>
          <w:sz w:val="16"/>
        </w:rPr>
        <w:t>Vol. 3. </w:t>
      </w:r>
      <w:r>
        <w:rPr>
          <w:i/>
          <w:color w:val="231F20"/>
          <w:sz w:val="16"/>
        </w:rPr>
        <w:t>ERPL (European Review of Private Law) </w:t>
      </w:r>
      <w:r>
        <w:rPr>
          <w:color w:val="231F20"/>
          <w:sz w:val="16"/>
        </w:rPr>
        <w:t>1995, p (273) at 280</w:t>
      </w:r>
      <w:r>
        <w:rPr>
          <w:rFonts w:ascii="Arial" w:hAnsi="Arial"/>
          <w:color w:val="231F20"/>
          <w:sz w:val="16"/>
        </w:rPr>
        <w:t>–</w:t>
      </w:r>
      <w:r>
        <w:rPr>
          <w:color w:val="231F20"/>
          <w:sz w:val="16"/>
        </w:rPr>
        <w:t>82, doi: 10.54648/</w:t>
      </w:r>
      <w:r>
        <w:rPr>
          <w:color w:val="231F20"/>
          <w:spacing w:val="40"/>
          <w:sz w:val="16"/>
        </w:rPr>
        <w:t> </w:t>
      </w:r>
      <w:r>
        <w:rPr>
          <w:color w:val="231F20"/>
          <w:sz w:val="16"/>
        </w:rPr>
        <w:t>ERPL1995022. H.-W. M</w:t>
      </w:r>
      <w:r>
        <w:rPr>
          <w:color w:val="231F20"/>
          <w:sz w:val="11"/>
        </w:rPr>
        <w:t>ICKLITZ</w:t>
      </w:r>
      <w:r>
        <w:rPr>
          <w:color w:val="231F20"/>
          <w:spacing w:val="24"/>
          <w:sz w:val="11"/>
        </w:rPr>
        <w:t> </w:t>
      </w:r>
      <w:r>
        <w:rPr>
          <w:color w:val="231F20"/>
          <w:sz w:val="16"/>
        </w:rPr>
        <w:t>&amp; N. R</w:t>
      </w:r>
      <w:r>
        <w:rPr>
          <w:color w:val="231F20"/>
          <w:sz w:val="11"/>
        </w:rPr>
        <w:t>EICH</w:t>
      </w:r>
      <w:r>
        <w:rPr>
          <w:color w:val="231F20"/>
          <w:sz w:val="16"/>
        </w:rPr>
        <w:t>, </w:t>
      </w:r>
      <w:r>
        <w:rPr>
          <w:rFonts w:ascii="Arial" w:hAnsi="Arial"/>
          <w:color w:val="231F20"/>
          <w:sz w:val="16"/>
        </w:rPr>
        <w:t>‘</w:t>
      </w:r>
      <w:r>
        <w:rPr>
          <w:color w:val="231F20"/>
          <w:sz w:val="16"/>
        </w:rPr>
        <w:t>The Court and Sleeping Beauty: The Revival of the</w:t>
      </w:r>
      <w:r>
        <w:rPr>
          <w:color w:val="231F20"/>
          <w:spacing w:val="40"/>
          <w:sz w:val="16"/>
        </w:rPr>
        <w:t> </w:t>
      </w:r>
      <w:r>
        <w:rPr>
          <w:color w:val="231F20"/>
          <w:sz w:val="16"/>
        </w:rPr>
        <w:t>Unfair Contract Terms Directive (UCTD)</w:t>
      </w:r>
      <w:r>
        <w:rPr>
          <w:rFonts w:ascii="Arial" w:hAnsi="Arial"/>
          <w:color w:val="231F20"/>
          <w:sz w:val="16"/>
        </w:rPr>
        <w:t>’</w:t>
      </w:r>
      <w:r>
        <w:rPr>
          <w:color w:val="231F20"/>
          <w:sz w:val="16"/>
        </w:rPr>
        <w:t>, 51. </w:t>
      </w:r>
      <w:r>
        <w:rPr>
          <w:i/>
          <w:color w:val="231F20"/>
          <w:sz w:val="16"/>
        </w:rPr>
        <w:t>CMLR (Common Market Law Review) </w:t>
      </w:r>
      <w:r>
        <w:rPr>
          <w:color w:val="231F20"/>
          <w:sz w:val="16"/>
        </w:rPr>
        <w:t>2014, p</w:t>
      </w:r>
      <w:r>
        <w:rPr>
          <w:color w:val="231F20"/>
          <w:spacing w:val="40"/>
          <w:sz w:val="16"/>
        </w:rPr>
        <w:t> </w:t>
      </w:r>
      <w:r>
        <w:rPr>
          <w:color w:val="231F20"/>
          <w:sz w:val="16"/>
        </w:rPr>
        <w:t>(771) at 774,</w:t>
      </w:r>
    </w:p>
    <w:p>
      <w:pPr>
        <w:spacing w:before="1"/>
        <w:ind w:left="866" w:right="0" w:firstLine="0"/>
        <w:jc w:val="both"/>
        <w:rPr>
          <w:sz w:val="16"/>
        </w:rPr>
      </w:pPr>
      <w:r>
        <w:rPr>
          <w:color w:val="231F20"/>
          <w:sz w:val="16"/>
        </w:rPr>
        <w:t>doi: </w:t>
      </w:r>
      <w:r>
        <w:rPr>
          <w:color w:val="231F20"/>
          <w:spacing w:val="-2"/>
          <w:sz w:val="16"/>
        </w:rPr>
        <w:t>10.54648/COLA2014061.</w:t>
      </w:r>
    </w:p>
    <w:p>
      <w:pPr>
        <w:pStyle w:val="ListParagraph"/>
        <w:numPr>
          <w:ilvl w:val="0"/>
          <w:numId w:val="3"/>
        </w:numPr>
        <w:tabs>
          <w:tab w:pos="866" w:val="left" w:leader="none"/>
        </w:tabs>
        <w:spacing w:line="283" w:lineRule="auto" w:before="34" w:after="0"/>
        <w:ind w:left="866" w:right="868" w:hanging="354"/>
        <w:jc w:val="both"/>
        <w:rPr>
          <w:sz w:val="16"/>
        </w:rPr>
      </w:pPr>
      <w:r>
        <w:rPr>
          <w:color w:val="231F20"/>
          <w:sz w:val="16"/>
        </w:rPr>
        <w:t>Commission of the European Communities, </w:t>
      </w:r>
      <w:r>
        <w:rPr>
          <w:rFonts w:ascii="Arial" w:hAnsi="Arial"/>
          <w:color w:val="231F20"/>
          <w:sz w:val="16"/>
        </w:rPr>
        <w:t>‘</w:t>
      </w:r>
      <w:r>
        <w:rPr>
          <w:color w:val="231F20"/>
          <w:sz w:val="16"/>
        </w:rPr>
        <w:t>Re-examined proposal for a Council Directive on</w:t>
      </w:r>
      <w:r>
        <w:rPr>
          <w:color w:val="231F20"/>
          <w:spacing w:val="40"/>
          <w:sz w:val="16"/>
        </w:rPr>
        <w:t> </w:t>
      </w:r>
      <w:r>
        <w:rPr>
          <w:color w:val="231F20"/>
          <w:sz w:val="16"/>
        </w:rPr>
        <w:t>unfair terms in consumer contracts</w:t>
      </w:r>
      <w:r>
        <w:rPr>
          <w:rFonts w:ascii="Arial" w:hAnsi="Arial"/>
          <w:color w:val="231F20"/>
          <w:sz w:val="16"/>
        </w:rPr>
        <w:t>’</w:t>
      </w:r>
      <w:r>
        <w:rPr>
          <w:color w:val="231F20"/>
          <w:sz w:val="16"/>
        </w:rPr>
        <w:t>, COM(93) 11 final, p 2. M. T</w:t>
      </w:r>
      <w:r>
        <w:rPr>
          <w:color w:val="231F20"/>
          <w:sz w:val="11"/>
        </w:rPr>
        <w:t>ENREIRO</w:t>
      </w:r>
      <w:r>
        <w:rPr>
          <w:color w:val="231F20"/>
          <w:sz w:val="16"/>
        </w:rPr>
        <w:t>, </w:t>
      </w:r>
      <w:r>
        <w:rPr>
          <w:i/>
          <w:color w:val="231F20"/>
          <w:sz w:val="16"/>
        </w:rPr>
        <w:t>ERPL </w:t>
      </w:r>
      <w:r>
        <w:rPr>
          <w:color w:val="231F20"/>
          <w:sz w:val="16"/>
        </w:rPr>
        <w:t>1995, p 282.</w:t>
      </w:r>
    </w:p>
    <w:p>
      <w:pPr>
        <w:pStyle w:val="ListParagraph"/>
        <w:numPr>
          <w:ilvl w:val="0"/>
          <w:numId w:val="3"/>
        </w:numPr>
        <w:tabs>
          <w:tab w:pos="866" w:val="left" w:leader="none"/>
        </w:tabs>
        <w:spacing w:line="283" w:lineRule="auto" w:before="1" w:after="0"/>
        <w:ind w:left="866" w:right="868" w:hanging="354"/>
        <w:jc w:val="both"/>
        <w:rPr>
          <w:i/>
          <w:sz w:val="16"/>
        </w:rPr>
      </w:pPr>
      <w:r>
        <w:rPr>
          <w:color w:val="231F20"/>
          <w:sz w:val="16"/>
        </w:rPr>
        <w:t>For</w:t>
      </w:r>
      <w:r>
        <w:rPr>
          <w:color w:val="231F20"/>
          <w:spacing w:val="-10"/>
          <w:sz w:val="16"/>
        </w:rPr>
        <w:t> </w:t>
      </w:r>
      <w:r>
        <w:rPr>
          <w:color w:val="231F20"/>
          <w:sz w:val="16"/>
        </w:rPr>
        <w:t>a</w:t>
      </w:r>
      <w:r>
        <w:rPr>
          <w:color w:val="231F20"/>
          <w:spacing w:val="-10"/>
          <w:sz w:val="16"/>
        </w:rPr>
        <w:t> </w:t>
      </w:r>
      <w:r>
        <w:rPr>
          <w:color w:val="231F20"/>
          <w:sz w:val="16"/>
        </w:rPr>
        <w:t>detailed</w:t>
      </w:r>
      <w:r>
        <w:rPr>
          <w:color w:val="231F20"/>
          <w:spacing w:val="-9"/>
          <w:sz w:val="16"/>
        </w:rPr>
        <w:t> </w:t>
      </w:r>
      <w:r>
        <w:rPr>
          <w:color w:val="231F20"/>
          <w:sz w:val="16"/>
        </w:rPr>
        <w:t>explanation</w:t>
      </w:r>
      <w:r>
        <w:rPr>
          <w:color w:val="231F20"/>
          <w:spacing w:val="-10"/>
          <w:sz w:val="16"/>
        </w:rPr>
        <w:t> </w:t>
      </w:r>
      <w:r>
        <w:rPr>
          <w:color w:val="231F20"/>
          <w:sz w:val="16"/>
        </w:rPr>
        <w:t>of</w:t>
      </w:r>
      <w:r>
        <w:rPr>
          <w:color w:val="231F20"/>
          <w:spacing w:val="-10"/>
          <w:sz w:val="16"/>
        </w:rPr>
        <w:t> </w:t>
      </w:r>
      <w:r>
        <w:rPr>
          <w:color w:val="231F20"/>
          <w:sz w:val="16"/>
        </w:rPr>
        <w:t>the</w:t>
      </w:r>
      <w:r>
        <w:rPr>
          <w:color w:val="231F20"/>
          <w:spacing w:val="-9"/>
          <w:sz w:val="16"/>
        </w:rPr>
        <w:t> </w:t>
      </w:r>
      <w:r>
        <w:rPr>
          <w:color w:val="231F20"/>
          <w:sz w:val="16"/>
        </w:rPr>
        <w:t>variety</w:t>
      </w:r>
      <w:r>
        <w:rPr>
          <w:color w:val="231F20"/>
          <w:spacing w:val="-10"/>
          <w:sz w:val="16"/>
        </w:rPr>
        <w:t> </w:t>
      </w:r>
      <w:r>
        <w:rPr>
          <w:color w:val="231F20"/>
          <w:sz w:val="16"/>
        </w:rPr>
        <w:t>of</w:t>
      </w:r>
      <w:r>
        <w:rPr>
          <w:color w:val="231F20"/>
          <w:spacing w:val="-10"/>
          <w:sz w:val="16"/>
        </w:rPr>
        <w:t> </w:t>
      </w:r>
      <w:r>
        <w:rPr>
          <w:color w:val="231F20"/>
          <w:sz w:val="16"/>
        </w:rPr>
        <w:t>solutions</w:t>
      </w:r>
      <w:r>
        <w:rPr>
          <w:color w:val="231F20"/>
          <w:spacing w:val="-9"/>
          <w:sz w:val="16"/>
        </w:rPr>
        <w:t> </w:t>
      </w:r>
      <w:r>
        <w:rPr>
          <w:color w:val="231F20"/>
          <w:sz w:val="16"/>
        </w:rPr>
        <w:t>in</w:t>
      </w:r>
      <w:r>
        <w:rPr>
          <w:color w:val="231F20"/>
          <w:spacing w:val="-10"/>
          <w:sz w:val="16"/>
        </w:rPr>
        <w:t> </w:t>
      </w:r>
      <w:r>
        <w:rPr>
          <w:color w:val="231F20"/>
          <w:sz w:val="16"/>
        </w:rPr>
        <w:t>national</w:t>
      </w:r>
      <w:r>
        <w:rPr>
          <w:color w:val="231F20"/>
          <w:spacing w:val="-10"/>
          <w:sz w:val="16"/>
        </w:rPr>
        <w:t> </w:t>
      </w:r>
      <w:r>
        <w:rPr>
          <w:color w:val="231F20"/>
          <w:sz w:val="16"/>
        </w:rPr>
        <w:t>law,</w:t>
      </w:r>
      <w:r>
        <w:rPr>
          <w:color w:val="231F20"/>
          <w:spacing w:val="-9"/>
          <w:sz w:val="16"/>
        </w:rPr>
        <w:t> </w:t>
      </w:r>
      <w:r>
        <w:rPr>
          <w:color w:val="231F20"/>
          <w:sz w:val="16"/>
        </w:rPr>
        <w:t>see</w:t>
      </w:r>
      <w:r>
        <w:rPr>
          <w:color w:val="231F20"/>
          <w:spacing w:val="-10"/>
          <w:sz w:val="16"/>
        </w:rPr>
        <w:t> </w:t>
      </w:r>
      <w:r>
        <w:rPr>
          <w:color w:val="231F20"/>
          <w:sz w:val="16"/>
        </w:rPr>
        <w:t>M.</w:t>
      </w:r>
      <w:r>
        <w:rPr>
          <w:color w:val="231F20"/>
          <w:spacing w:val="-10"/>
          <w:sz w:val="16"/>
        </w:rPr>
        <w:t> </w:t>
      </w:r>
      <w:r>
        <w:rPr>
          <w:color w:val="231F20"/>
          <w:sz w:val="16"/>
        </w:rPr>
        <w:t>E</w:t>
      </w:r>
      <w:r>
        <w:rPr>
          <w:color w:val="231F20"/>
          <w:sz w:val="11"/>
        </w:rPr>
        <w:t>BERS</w:t>
      </w:r>
      <w:r>
        <w:rPr>
          <w:color w:val="231F20"/>
          <w:sz w:val="16"/>
        </w:rPr>
        <w:t>,</w:t>
      </w:r>
      <w:r>
        <w:rPr>
          <w:color w:val="231F20"/>
          <w:spacing w:val="-9"/>
          <w:sz w:val="16"/>
        </w:rPr>
        <w:t> </w:t>
      </w:r>
      <w:r>
        <w:rPr>
          <w:rFonts w:ascii="Arial" w:hAnsi="Arial"/>
          <w:color w:val="231F20"/>
          <w:sz w:val="16"/>
        </w:rPr>
        <w:t>‘</w:t>
      </w:r>
      <w:r>
        <w:rPr>
          <w:color w:val="231F20"/>
          <w:sz w:val="16"/>
        </w:rPr>
        <w:t>Unfair</w:t>
      </w:r>
      <w:r>
        <w:rPr>
          <w:color w:val="231F20"/>
          <w:spacing w:val="-10"/>
          <w:sz w:val="16"/>
        </w:rPr>
        <w:t> </w:t>
      </w:r>
      <w:r>
        <w:rPr>
          <w:color w:val="231F20"/>
          <w:sz w:val="16"/>
        </w:rPr>
        <w:t>Contract</w:t>
      </w:r>
      <w:r>
        <w:rPr>
          <w:color w:val="231F20"/>
          <w:spacing w:val="40"/>
          <w:sz w:val="16"/>
        </w:rPr>
        <w:t> </w:t>
      </w:r>
      <w:r>
        <w:rPr>
          <w:color w:val="231F20"/>
          <w:sz w:val="16"/>
        </w:rPr>
        <w:t>Terms</w:t>
      </w:r>
      <w:r>
        <w:rPr>
          <w:color w:val="231F20"/>
          <w:spacing w:val="-2"/>
          <w:sz w:val="16"/>
        </w:rPr>
        <w:t> </w:t>
      </w:r>
      <w:r>
        <w:rPr>
          <w:color w:val="231F20"/>
          <w:sz w:val="16"/>
        </w:rPr>
        <w:t>Directive</w:t>
      </w:r>
      <w:r>
        <w:rPr>
          <w:color w:val="231F20"/>
          <w:spacing w:val="-2"/>
          <w:sz w:val="16"/>
        </w:rPr>
        <w:t> </w:t>
      </w:r>
      <w:r>
        <w:rPr>
          <w:color w:val="231F20"/>
          <w:sz w:val="16"/>
        </w:rPr>
        <w:t>(93/13)</w:t>
      </w:r>
      <w:r>
        <w:rPr>
          <w:rFonts w:ascii="Arial" w:hAnsi="Arial"/>
          <w:color w:val="231F20"/>
          <w:sz w:val="16"/>
        </w:rPr>
        <w:t>’</w:t>
      </w:r>
      <w:r>
        <w:rPr>
          <w:color w:val="231F20"/>
          <w:sz w:val="16"/>
        </w:rPr>
        <w:t>, in</w:t>
      </w:r>
      <w:r>
        <w:rPr>
          <w:color w:val="231F20"/>
          <w:spacing w:val="-1"/>
          <w:sz w:val="16"/>
        </w:rPr>
        <w:t> </w:t>
      </w:r>
      <w:r>
        <w:rPr>
          <w:color w:val="231F20"/>
          <w:sz w:val="16"/>
        </w:rPr>
        <w:t>H.</w:t>
      </w:r>
      <w:r>
        <w:rPr>
          <w:color w:val="231F20"/>
          <w:spacing w:val="-1"/>
          <w:sz w:val="16"/>
        </w:rPr>
        <w:t> </w:t>
      </w:r>
      <w:r>
        <w:rPr>
          <w:color w:val="231F20"/>
          <w:sz w:val="16"/>
        </w:rPr>
        <w:t>Schulte-Nölke, C.</w:t>
      </w:r>
      <w:r>
        <w:rPr>
          <w:color w:val="231F20"/>
          <w:spacing w:val="-1"/>
          <w:sz w:val="16"/>
        </w:rPr>
        <w:t> </w:t>
      </w:r>
      <w:r>
        <w:rPr>
          <w:color w:val="231F20"/>
          <w:sz w:val="16"/>
        </w:rPr>
        <w:t>Twigg-Flesner &amp;</w:t>
      </w:r>
      <w:r>
        <w:rPr>
          <w:color w:val="231F20"/>
          <w:spacing w:val="-1"/>
          <w:sz w:val="16"/>
        </w:rPr>
        <w:t> </w:t>
      </w:r>
      <w:r>
        <w:rPr>
          <w:color w:val="231F20"/>
          <w:sz w:val="16"/>
        </w:rPr>
        <w:t>M. Ebers</w:t>
      </w:r>
      <w:r>
        <w:rPr>
          <w:color w:val="231F20"/>
          <w:spacing w:val="-1"/>
          <w:sz w:val="16"/>
        </w:rPr>
        <w:t> </w:t>
      </w:r>
      <w:r>
        <w:rPr>
          <w:color w:val="231F20"/>
          <w:sz w:val="16"/>
        </w:rPr>
        <w:t>(eds), </w:t>
      </w:r>
      <w:r>
        <w:rPr>
          <w:i/>
          <w:color w:val="231F20"/>
          <w:sz w:val="16"/>
        </w:rPr>
        <w:t>EC</w:t>
      </w:r>
      <w:r>
        <w:rPr>
          <w:i/>
          <w:color w:val="231F20"/>
          <w:spacing w:val="-1"/>
          <w:sz w:val="16"/>
        </w:rPr>
        <w:t> </w:t>
      </w:r>
      <w:r>
        <w:rPr>
          <w:i/>
          <w:color w:val="231F20"/>
          <w:sz w:val="16"/>
        </w:rPr>
        <w:t>Consumer</w:t>
      </w:r>
    </w:p>
    <w:p>
      <w:pPr>
        <w:spacing w:after="0" w:line="283" w:lineRule="auto"/>
        <w:jc w:val="both"/>
        <w:rPr>
          <w:sz w:val="16"/>
        </w:rPr>
        <w:sectPr>
          <w:pgSz w:w="11910" w:h="16840"/>
          <w:pgMar w:header="0" w:footer="2585" w:top="1920" w:bottom="2780" w:left="1680" w:right="1680"/>
        </w:sectPr>
      </w:pPr>
    </w:p>
    <w:p>
      <w:pPr>
        <w:pStyle w:val="BodyText"/>
        <w:rPr>
          <w:i/>
        </w:rPr>
      </w:pPr>
    </w:p>
    <w:p>
      <w:pPr>
        <w:pStyle w:val="BodyText"/>
        <w:spacing w:before="166"/>
        <w:rPr>
          <w:i/>
        </w:rPr>
      </w:pPr>
    </w:p>
    <w:p>
      <w:pPr>
        <w:pStyle w:val="BodyText"/>
        <w:spacing w:line="288" w:lineRule="auto"/>
        <w:ind w:left="871" w:right="869"/>
        <w:jc w:val="both"/>
      </w:pPr>
      <w:r>
        <w:rPr>
          <w:color w:val="231F20"/>
        </w:rPr>
        <w:t>the</w:t>
      </w:r>
      <w:r>
        <w:rPr>
          <w:color w:val="231F20"/>
          <w:spacing w:val="-12"/>
        </w:rPr>
        <w:t> </w:t>
      </w:r>
      <w:r>
        <w:rPr>
          <w:color w:val="231F20"/>
        </w:rPr>
        <w:t>UCTD,</w:t>
      </w:r>
      <w:r>
        <w:rPr>
          <w:color w:val="231F20"/>
          <w:spacing w:val="-11"/>
        </w:rPr>
        <w:t> </w:t>
      </w:r>
      <w:r>
        <w:rPr>
          <w:color w:val="231F20"/>
        </w:rPr>
        <w:t>the</w:t>
      </w:r>
      <w:r>
        <w:rPr>
          <w:color w:val="231F20"/>
          <w:spacing w:val="-12"/>
        </w:rPr>
        <w:t> </w:t>
      </w:r>
      <w:r>
        <w:rPr>
          <w:color w:val="231F20"/>
        </w:rPr>
        <w:t>Commission</w:t>
      </w:r>
      <w:r>
        <w:rPr>
          <w:color w:val="231F20"/>
          <w:spacing w:val="-11"/>
        </w:rPr>
        <w:t> </w:t>
      </w:r>
      <w:r>
        <w:rPr>
          <w:color w:val="231F20"/>
        </w:rPr>
        <w:t>had</w:t>
      </w:r>
      <w:r>
        <w:rPr>
          <w:color w:val="231F20"/>
          <w:spacing w:val="-12"/>
        </w:rPr>
        <w:t> </w:t>
      </w:r>
      <w:r>
        <w:rPr>
          <w:color w:val="231F20"/>
        </w:rPr>
        <w:t>already</w:t>
      </w:r>
      <w:r>
        <w:rPr>
          <w:color w:val="231F20"/>
          <w:spacing w:val="-11"/>
        </w:rPr>
        <w:t> </w:t>
      </w:r>
      <w:r>
        <w:rPr>
          <w:color w:val="231F20"/>
        </w:rPr>
        <w:t>expressed</w:t>
      </w:r>
      <w:r>
        <w:rPr>
          <w:color w:val="231F20"/>
          <w:spacing w:val="-12"/>
        </w:rPr>
        <w:t> </w:t>
      </w:r>
      <w:r>
        <w:rPr>
          <w:color w:val="231F20"/>
        </w:rPr>
        <w:t>its</w:t>
      </w:r>
      <w:r>
        <w:rPr>
          <w:color w:val="231F20"/>
          <w:spacing w:val="-11"/>
        </w:rPr>
        <w:t> </w:t>
      </w:r>
      <w:r>
        <w:rPr>
          <w:color w:val="231F20"/>
        </w:rPr>
        <w:t>concerns</w:t>
      </w:r>
      <w:r>
        <w:rPr>
          <w:color w:val="231F20"/>
          <w:spacing w:val="-12"/>
        </w:rPr>
        <w:t> </w:t>
      </w:r>
      <w:r>
        <w:rPr>
          <w:color w:val="231F20"/>
        </w:rPr>
        <w:t>about</w:t>
      </w:r>
      <w:r>
        <w:rPr>
          <w:color w:val="231F20"/>
          <w:spacing w:val="-11"/>
        </w:rPr>
        <w:t> </w:t>
      </w:r>
      <w:r>
        <w:rPr>
          <w:color w:val="231F20"/>
        </w:rPr>
        <w:t>this</w:t>
      </w:r>
      <w:r>
        <w:rPr>
          <w:color w:val="231F20"/>
          <w:spacing w:val="-12"/>
        </w:rPr>
        <w:t> </w:t>
      </w:r>
      <w:r>
        <w:rPr>
          <w:color w:val="231F20"/>
        </w:rPr>
        <w:t>diversity as regards its conformity with Article 6(1) UCTD.</w:t>
      </w:r>
      <w:r>
        <w:rPr>
          <w:color w:val="231F20"/>
          <w:vertAlign w:val="superscript"/>
        </w:rPr>
        <w:t>5</w:t>
      </w:r>
    </w:p>
    <w:p>
      <w:pPr>
        <w:pStyle w:val="ListParagraph"/>
        <w:numPr>
          <w:ilvl w:val="0"/>
          <w:numId w:val="2"/>
        </w:numPr>
        <w:tabs>
          <w:tab w:pos="1218" w:val="left" w:leader="none"/>
        </w:tabs>
        <w:spacing w:line="288" w:lineRule="auto" w:before="119" w:after="0"/>
        <w:ind w:left="871" w:right="869" w:firstLine="0"/>
        <w:jc w:val="both"/>
        <w:rPr>
          <w:sz w:val="19"/>
        </w:rPr>
      </w:pPr>
      <w:r>
        <w:rPr>
          <w:color w:val="231F20"/>
          <w:sz w:val="19"/>
        </w:rPr>
        <w:t>At</w:t>
      </w:r>
      <w:r>
        <w:rPr>
          <w:color w:val="231F20"/>
          <w:spacing w:val="-3"/>
          <w:sz w:val="19"/>
        </w:rPr>
        <w:t> </w:t>
      </w:r>
      <w:r>
        <w:rPr>
          <w:color w:val="231F20"/>
          <w:sz w:val="19"/>
        </w:rPr>
        <w:t>the</w:t>
      </w:r>
      <w:r>
        <w:rPr>
          <w:color w:val="231F20"/>
          <w:spacing w:val="-2"/>
          <w:sz w:val="19"/>
        </w:rPr>
        <w:t> </w:t>
      </w:r>
      <w:r>
        <w:rPr>
          <w:color w:val="231F20"/>
          <w:sz w:val="19"/>
        </w:rPr>
        <w:t>same</w:t>
      </w:r>
      <w:r>
        <w:rPr>
          <w:color w:val="231F20"/>
          <w:spacing w:val="-2"/>
          <w:sz w:val="19"/>
        </w:rPr>
        <w:t> </w:t>
      </w:r>
      <w:r>
        <w:rPr>
          <w:color w:val="231F20"/>
          <w:sz w:val="19"/>
        </w:rPr>
        <w:t>time,</w:t>
      </w:r>
      <w:r>
        <w:rPr>
          <w:color w:val="231F20"/>
          <w:spacing w:val="-3"/>
          <w:sz w:val="19"/>
        </w:rPr>
        <w:t> </w:t>
      </w:r>
      <w:r>
        <w:rPr>
          <w:color w:val="231F20"/>
          <w:sz w:val="19"/>
        </w:rPr>
        <w:t>the</w:t>
      </w:r>
      <w:r>
        <w:rPr>
          <w:color w:val="231F20"/>
          <w:spacing w:val="-2"/>
          <w:sz w:val="19"/>
        </w:rPr>
        <w:t> </w:t>
      </w:r>
      <w:r>
        <w:rPr>
          <w:color w:val="231F20"/>
          <w:sz w:val="19"/>
        </w:rPr>
        <w:t>European</w:t>
      </w:r>
      <w:r>
        <w:rPr>
          <w:color w:val="231F20"/>
          <w:spacing w:val="-2"/>
          <w:sz w:val="19"/>
        </w:rPr>
        <w:t> </w:t>
      </w:r>
      <w:r>
        <w:rPr>
          <w:color w:val="231F20"/>
          <w:sz w:val="19"/>
        </w:rPr>
        <w:t>Court</w:t>
      </w:r>
      <w:r>
        <w:rPr>
          <w:color w:val="231F20"/>
          <w:spacing w:val="-2"/>
          <w:sz w:val="19"/>
        </w:rPr>
        <w:t> </w:t>
      </w:r>
      <w:r>
        <w:rPr>
          <w:color w:val="231F20"/>
          <w:sz w:val="19"/>
        </w:rPr>
        <w:t>of</w:t>
      </w:r>
      <w:r>
        <w:rPr>
          <w:color w:val="231F20"/>
          <w:spacing w:val="-3"/>
          <w:sz w:val="19"/>
        </w:rPr>
        <w:t> </w:t>
      </w:r>
      <w:r>
        <w:rPr>
          <w:color w:val="231F20"/>
          <w:sz w:val="19"/>
        </w:rPr>
        <w:t>Justice</w:t>
      </w:r>
      <w:r>
        <w:rPr>
          <w:color w:val="231F20"/>
          <w:spacing w:val="-3"/>
          <w:sz w:val="19"/>
        </w:rPr>
        <w:t> </w:t>
      </w:r>
      <w:r>
        <w:rPr>
          <w:color w:val="231F20"/>
          <w:sz w:val="19"/>
        </w:rPr>
        <w:t>(ECJ</w:t>
      </w:r>
      <w:r>
        <w:rPr>
          <w:color w:val="231F20"/>
          <w:spacing w:val="-3"/>
          <w:sz w:val="19"/>
        </w:rPr>
        <w:t> </w:t>
      </w:r>
      <w:r>
        <w:rPr>
          <w:color w:val="231F20"/>
          <w:sz w:val="19"/>
        </w:rPr>
        <w:t>or</w:t>
      </w:r>
      <w:r>
        <w:rPr>
          <w:color w:val="231F20"/>
          <w:spacing w:val="-2"/>
          <w:sz w:val="19"/>
        </w:rPr>
        <w:t> </w:t>
      </w:r>
      <w:r>
        <w:rPr>
          <w:color w:val="231F20"/>
          <w:sz w:val="19"/>
        </w:rPr>
        <w:t>the</w:t>
      </w:r>
      <w:r>
        <w:rPr>
          <w:color w:val="231F20"/>
          <w:spacing w:val="-3"/>
          <w:sz w:val="19"/>
        </w:rPr>
        <w:t> </w:t>
      </w:r>
      <w:r>
        <w:rPr>
          <w:color w:val="231F20"/>
          <w:sz w:val="19"/>
        </w:rPr>
        <w:t>Court)</w:t>
      </w:r>
      <w:r>
        <w:rPr>
          <w:color w:val="231F20"/>
          <w:spacing w:val="-1"/>
          <w:sz w:val="19"/>
        </w:rPr>
        <w:t> </w:t>
      </w:r>
      <w:r>
        <w:rPr>
          <w:color w:val="231F20"/>
          <w:sz w:val="19"/>
        </w:rPr>
        <w:t>gradually restricted procedural autonomy under the principles of effectiveness </w:t>
      </w:r>
      <w:r>
        <w:rPr>
          <w:color w:val="231F20"/>
          <w:sz w:val="19"/>
        </w:rPr>
        <w:t>and equivalence.</w:t>
      </w:r>
      <w:r>
        <w:rPr>
          <w:color w:val="231F20"/>
          <w:sz w:val="19"/>
          <w:vertAlign w:val="superscript"/>
        </w:rPr>
        <w:t>6</w:t>
      </w:r>
      <w:r>
        <w:rPr>
          <w:color w:val="231F20"/>
          <w:sz w:val="19"/>
          <w:vertAlign w:val="baseline"/>
        </w:rPr>
        <w:t> National remedies implementing Article 6(1) UCTD should not be less</w:t>
      </w:r>
      <w:r>
        <w:rPr>
          <w:color w:val="231F20"/>
          <w:spacing w:val="-8"/>
          <w:sz w:val="19"/>
          <w:vertAlign w:val="baseline"/>
        </w:rPr>
        <w:t> </w:t>
      </w:r>
      <w:r>
        <w:rPr>
          <w:color w:val="231F20"/>
          <w:sz w:val="19"/>
          <w:vertAlign w:val="baseline"/>
        </w:rPr>
        <w:t>favourable</w:t>
      </w:r>
      <w:r>
        <w:rPr>
          <w:color w:val="231F20"/>
          <w:spacing w:val="-8"/>
          <w:sz w:val="19"/>
          <w:vertAlign w:val="baseline"/>
        </w:rPr>
        <w:t> </w:t>
      </w:r>
      <w:r>
        <w:rPr>
          <w:color w:val="231F20"/>
          <w:sz w:val="19"/>
          <w:vertAlign w:val="baseline"/>
        </w:rPr>
        <w:t>than</w:t>
      </w:r>
      <w:r>
        <w:rPr>
          <w:color w:val="231F20"/>
          <w:spacing w:val="-8"/>
          <w:sz w:val="19"/>
          <w:vertAlign w:val="baseline"/>
        </w:rPr>
        <w:t> </w:t>
      </w:r>
      <w:r>
        <w:rPr>
          <w:color w:val="231F20"/>
          <w:sz w:val="19"/>
          <w:vertAlign w:val="baseline"/>
        </w:rPr>
        <w:t>those</w:t>
      </w:r>
      <w:r>
        <w:rPr>
          <w:color w:val="231F20"/>
          <w:spacing w:val="-8"/>
          <w:sz w:val="19"/>
          <w:vertAlign w:val="baseline"/>
        </w:rPr>
        <w:t> </w:t>
      </w:r>
      <w:r>
        <w:rPr>
          <w:color w:val="231F20"/>
          <w:sz w:val="19"/>
          <w:vertAlign w:val="baseline"/>
        </w:rPr>
        <w:t>governing</w:t>
      </w:r>
      <w:r>
        <w:rPr>
          <w:color w:val="231F20"/>
          <w:spacing w:val="-7"/>
          <w:sz w:val="19"/>
          <w:vertAlign w:val="baseline"/>
        </w:rPr>
        <w:t> </w:t>
      </w:r>
      <w:r>
        <w:rPr>
          <w:color w:val="231F20"/>
          <w:sz w:val="19"/>
          <w:vertAlign w:val="baseline"/>
        </w:rPr>
        <w:t>similar</w:t>
      </w:r>
      <w:r>
        <w:rPr>
          <w:color w:val="231F20"/>
          <w:spacing w:val="-8"/>
          <w:sz w:val="19"/>
          <w:vertAlign w:val="baseline"/>
        </w:rPr>
        <w:t> </w:t>
      </w:r>
      <w:r>
        <w:rPr>
          <w:color w:val="231F20"/>
          <w:sz w:val="19"/>
          <w:vertAlign w:val="baseline"/>
        </w:rPr>
        <w:t>domestic</w:t>
      </w:r>
      <w:r>
        <w:rPr>
          <w:color w:val="231F20"/>
          <w:spacing w:val="-8"/>
          <w:sz w:val="19"/>
          <w:vertAlign w:val="baseline"/>
        </w:rPr>
        <w:t> </w:t>
      </w:r>
      <w:r>
        <w:rPr>
          <w:color w:val="231F20"/>
          <w:sz w:val="19"/>
          <w:vertAlign w:val="baseline"/>
        </w:rPr>
        <w:t>actions</w:t>
      </w:r>
      <w:r>
        <w:rPr>
          <w:color w:val="231F20"/>
          <w:spacing w:val="-8"/>
          <w:sz w:val="19"/>
          <w:vertAlign w:val="baseline"/>
        </w:rPr>
        <w:t> </w:t>
      </w:r>
      <w:r>
        <w:rPr>
          <w:color w:val="231F20"/>
          <w:sz w:val="19"/>
          <w:vertAlign w:val="baseline"/>
        </w:rPr>
        <w:t>(equivalence).</w:t>
      </w:r>
      <w:r>
        <w:rPr>
          <w:color w:val="231F20"/>
          <w:spacing w:val="-8"/>
          <w:sz w:val="19"/>
          <w:vertAlign w:val="baseline"/>
        </w:rPr>
        <w:t> </w:t>
      </w:r>
      <w:r>
        <w:rPr>
          <w:color w:val="231F20"/>
          <w:sz w:val="19"/>
          <w:vertAlign w:val="baseline"/>
        </w:rPr>
        <w:t>They should not make it, in practice, impossible or excessively difficult to exercise the rights that EU law grants to consumers (effectiveness).</w:t>
      </w:r>
      <w:r>
        <w:rPr>
          <w:color w:val="231F20"/>
          <w:sz w:val="19"/>
          <w:vertAlign w:val="superscript"/>
        </w:rPr>
        <w:t>7</w:t>
      </w:r>
    </w:p>
    <w:p>
      <w:pPr>
        <w:pStyle w:val="ListParagraph"/>
        <w:numPr>
          <w:ilvl w:val="0"/>
          <w:numId w:val="2"/>
        </w:numPr>
        <w:tabs>
          <w:tab w:pos="1218" w:val="left" w:leader="none"/>
        </w:tabs>
        <w:spacing w:line="288" w:lineRule="auto" w:before="120" w:after="0"/>
        <w:ind w:left="871" w:right="869" w:firstLine="0"/>
        <w:jc w:val="both"/>
        <w:rPr>
          <w:sz w:val="19"/>
        </w:rPr>
      </w:pPr>
      <w:r>
        <w:rPr>
          <w:color w:val="231F20"/>
          <w:sz w:val="19"/>
        </w:rPr>
        <w:t>In the reasoning of the Court, those principles interact with the uniform interpretation of aspects of the remedy that were harmonized, namely that the unfair term should not be binding on the consumer and that the contract should continue in existence if it is capable</w:t>
      </w:r>
      <w:r>
        <w:rPr>
          <w:color w:val="231F20"/>
          <w:spacing w:val="-1"/>
          <w:sz w:val="19"/>
        </w:rPr>
        <w:t> </w:t>
      </w:r>
      <w:r>
        <w:rPr>
          <w:color w:val="231F20"/>
          <w:sz w:val="19"/>
        </w:rPr>
        <w:t>of doing so</w:t>
      </w:r>
      <w:r>
        <w:rPr>
          <w:color w:val="231F20"/>
          <w:spacing w:val="-2"/>
          <w:sz w:val="19"/>
        </w:rPr>
        <w:t> </w:t>
      </w:r>
      <w:r>
        <w:rPr>
          <w:color w:val="231F20"/>
          <w:sz w:val="19"/>
        </w:rPr>
        <w:t>without the unfair</w:t>
      </w:r>
      <w:r>
        <w:rPr>
          <w:color w:val="231F20"/>
          <w:spacing w:val="-1"/>
          <w:sz w:val="19"/>
        </w:rPr>
        <w:t> </w:t>
      </w:r>
      <w:r>
        <w:rPr>
          <w:color w:val="231F20"/>
          <w:sz w:val="19"/>
        </w:rPr>
        <w:t>term (Art. </w:t>
      </w:r>
      <w:r>
        <w:rPr>
          <w:color w:val="231F20"/>
          <w:sz w:val="19"/>
        </w:rPr>
        <w:t>6(1) </w:t>
      </w:r>
      <w:r>
        <w:rPr>
          <w:color w:val="231F20"/>
          <w:spacing w:val="-2"/>
          <w:sz w:val="19"/>
        </w:rPr>
        <w:t>UCTD).</w:t>
      </w:r>
      <w:r>
        <w:rPr>
          <w:color w:val="231F20"/>
          <w:spacing w:val="-2"/>
          <w:sz w:val="19"/>
          <w:vertAlign w:val="superscript"/>
        </w:rPr>
        <w:t>8</w:t>
      </w:r>
    </w:p>
    <w:p>
      <w:pPr>
        <w:pStyle w:val="ListParagraph"/>
        <w:numPr>
          <w:ilvl w:val="0"/>
          <w:numId w:val="2"/>
        </w:numPr>
        <w:tabs>
          <w:tab w:pos="1218" w:val="left" w:leader="none"/>
        </w:tabs>
        <w:spacing w:line="288" w:lineRule="auto" w:before="119" w:after="0"/>
        <w:ind w:left="871" w:right="868" w:firstLine="0"/>
        <w:jc w:val="both"/>
        <w:rPr>
          <w:sz w:val="19"/>
        </w:rPr>
      </w:pPr>
      <w:r>
        <w:rPr>
          <w:color w:val="231F20"/>
          <w:sz w:val="19"/>
        </w:rPr>
        <w:t>The</w:t>
      </w:r>
      <w:r>
        <w:rPr>
          <w:color w:val="231F20"/>
          <w:spacing w:val="-3"/>
          <w:sz w:val="19"/>
        </w:rPr>
        <w:t> </w:t>
      </w:r>
      <w:r>
        <w:rPr>
          <w:color w:val="231F20"/>
          <w:sz w:val="19"/>
        </w:rPr>
        <w:t>Court</w:t>
      </w:r>
      <w:r>
        <w:rPr>
          <w:color w:val="231F20"/>
          <w:spacing w:val="-3"/>
          <w:sz w:val="19"/>
        </w:rPr>
        <w:t> </w:t>
      </w:r>
      <w:r>
        <w:rPr>
          <w:color w:val="231F20"/>
          <w:sz w:val="19"/>
        </w:rPr>
        <w:t>built</w:t>
      </w:r>
      <w:r>
        <w:rPr>
          <w:color w:val="231F20"/>
          <w:spacing w:val="-3"/>
          <w:sz w:val="19"/>
        </w:rPr>
        <w:t> </w:t>
      </w:r>
      <w:r>
        <w:rPr>
          <w:color w:val="231F20"/>
          <w:sz w:val="19"/>
        </w:rPr>
        <w:t>upon</w:t>
      </w:r>
      <w:r>
        <w:rPr>
          <w:color w:val="231F20"/>
          <w:spacing w:val="-3"/>
          <w:sz w:val="19"/>
        </w:rPr>
        <w:t> </w:t>
      </w:r>
      <w:r>
        <w:rPr>
          <w:color w:val="231F20"/>
          <w:sz w:val="19"/>
        </w:rPr>
        <w:t>the</w:t>
      </w:r>
      <w:r>
        <w:rPr>
          <w:color w:val="231F20"/>
          <w:spacing w:val="-3"/>
          <w:sz w:val="19"/>
        </w:rPr>
        <w:t> </w:t>
      </w:r>
      <w:r>
        <w:rPr>
          <w:color w:val="231F20"/>
          <w:sz w:val="19"/>
        </w:rPr>
        <w:t>unique</w:t>
      </w:r>
      <w:r>
        <w:rPr>
          <w:color w:val="231F20"/>
          <w:spacing w:val="-3"/>
          <w:sz w:val="19"/>
        </w:rPr>
        <w:t> </w:t>
      </w:r>
      <w:r>
        <w:rPr>
          <w:color w:val="231F20"/>
          <w:sz w:val="19"/>
        </w:rPr>
        <w:t>EU</w:t>
      </w:r>
      <w:r>
        <w:rPr>
          <w:color w:val="231F20"/>
          <w:spacing w:val="-3"/>
          <w:sz w:val="19"/>
        </w:rPr>
        <w:t> </w:t>
      </w:r>
      <w:r>
        <w:rPr>
          <w:color w:val="231F20"/>
          <w:sz w:val="19"/>
        </w:rPr>
        <w:t>law</w:t>
      </w:r>
      <w:r>
        <w:rPr>
          <w:color w:val="231F20"/>
          <w:spacing w:val="-3"/>
          <w:sz w:val="19"/>
        </w:rPr>
        <w:t> </w:t>
      </w:r>
      <w:r>
        <w:rPr>
          <w:color w:val="231F20"/>
          <w:sz w:val="19"/>
        </w:rPr>
        <w:t>features</w:t>
      </w:r>
      <w:r>
        <w:rPr>
          <w:color w:val="231F20"/>
          <w:spacing w:val="-4"/>
          <w:sz w:val="19"/>
        </w:rPr>
        <w:t> </w:t>
      </w:r>
      <w:r>
        <w:rPr>
          <w:color w:val="231F20"/>
          <w:sz w:val="19"/>
        </w:rPr>
        <w:t>of</w:t>
      </w:r>
      <w:r>
        <w:rPr>
          <w:color w:val="231F20"/>
          <w:spacing w:val="-4"/>
          <w:sz w:val="19"/>
        </w:rPr>
        <w:t> </w:t>
      </w:r>
      <w:r>
        <w:rPr>
          <w:color w:val="231F20"/>
          <w:sz w:val="19"/>
        </w:rPr>
        <w:t>Article</w:t>
      </w:r>
      <w:r>
        <w:rPr>
          <w:color w:val="231F20"/>
          <w:spacing w:val="-2"/>
          <w:sz w:val="19"/>
        </w:rPr>
        <w:t> </w:t>
      </w:r>
      <w:r>
        <w:rPr>
          <w:color w:val="231F20"/>
          <w:sz w:val="19"/>
        </w:rPr>
        <w:t>6(1)</w:t>
      </w:r>
      <w:r>
        <w:rPr>
          <w:color w:val="231F20"/>
          <w:spacing w:val="-3"/>
          <w:sz w:val="19"/>
        </w:rPr>
        <w:t> </w:t>
      </w:r>
      <w:r>
        <w:rPr>
          <w:color w:val="231F20"/>
          <w:sz w:val="19"/>
        </w:rPr>
        <w:t>UCTD</w:t>
      </w:r>
      <w:r>
        <w:rPr>
          <w:color w:val="231F20"/>
          <w:spacing w:val="-4"/>
          <w:sz w:val="19"/>
        </w:rPr>
        <w:t> </w:t>
      </w:r>
      <w:r>
        <w:rPr>
          <w:color w:val="231F20"/>
          <w:sz w:val="19"/>
        </w:rPr>
        <w:t>and</w:t>
      </w:r>
      <w:r>
        <w:rPr>
          <w:color w:val="231F20"/>
          <w:spacing w:val="-3"/>
          <w:sz w:val="19"/>
        </w:rPr>
        <w:t> </w:t>
      </w:r>
      <w:r>
        <w:rPr>
          <w:color w:val="231F20"/>
          <w:sz w:val="19"/>
        </w:rPr>
        <w:t>on the</w:t>
      </w:r>
      <w:r>
        <w:rPr>
          <w:color w:val="231F20"/>
          <w:spacing w:val="-3"/>
          <w:sz w:val="19"/>
        </w:rPr>
        <w:t> </w:t>
      </w:r>
      <w:r>
        <w:rPr>
          <w:color w:val="231F20"/>
          <w:sz w:val="19"/>
        </w:rPr>
        <w:t>principles</w:t>
      </w:r>
      <w:r>
        <w:rPr>
          <w:color w:val="231F20"/>
          <w:spacing w:val="-2"/>
          <w:sz w:val="19"/>
        </w:rPr>
        <w:t> </w:t>
      </w:r>
      <w:r>
        <w:rPr>
          <w:color w:val="231F20"/>
          <w:sz w:val="19"/>
        </w:rPr>
        <w:t>of</w:t>
      </w:r>
      <w:r>
        <w:rPr>
          <w:color w:val="231F20"/>
          <w:spacing w:val="-3"/>
          <w:sz w:val="19"/>
        </w:rPr>
        <w:t> </w:t>
      </w:r>
      <w:r>
        <w:rPr>
          <w:color w:val="231F20"/>
          <w:sz w:val="19"/>
        </w:rPr>
        <w:t>effectiveness</w:t>
      </w:r>
      <w:r>
        <w:rPr>
          <w:color w:val="231F20"/>
          <w:spacing w:val="-3"/>
          <w:sz w:val="19"/>
        </w:rPr>
        <w:t> </w:t>
      </w:r>
      <w:r>
        <w:rPr>
          <w:color w:val="231F20"/>
          <w:sz w:val="19"/>
        </w:rPr>
        <w:t>and</w:t>
      </w:r>
      <w:r>
        <w:rPr>
          <w:color w:val="231F20"/>
          <w:spacing w:val="-2"/>
          <w:sz w:val="19"/>
        </w:rPr>
        <w:t> </w:t>
      </w:r>
      <w:r>
        <w:rPr>
          <w:color w:val="231F20"/>
          <w:sz w:val="19"/>
        </w:rPr>
        <w:t>dissuasiveness</w:t>
      </w:r>
      <w:r>
        <w:rPr>
          <w:color w:val="231F20"/>
          <w:spacing w:val="-2"/>
          <w:sz w:val="19"/>
        </w:rPr>
        <w:t> </w:t>
      </w:r>
      <w:r>
        <w:rPr>
          <w:color w:val="231F20"/>
          <w:sz w:val="19"/>
        </w:rPr>
        <w:t>to</w:t>
      </w:r>
      <w:r>
        <w:rPr>
          <w:color w:val="231F20"/>
          <w:spacing w:val="-2"/>
          <w:sz w:val="19"/>
        </w:rPr>
        <w:t> </w:t>
      </w:r>
      <w:r>
        <w:rPr>
          <w:color w:val="231F20"/>
          <w:sz w:val="19"/>
        </w:rPr>
        <w:t>define</w:t>
      </w:r>
      <w:r>
        <w:rPr>
          <w:color w:val="231F20"/>
          <w:spacing w:val="-2"/>
          <w:sz w:val="19"/>
        </w:rPr>
        <w:t> </w:t>
      </w:r>
      <w:r>
        <w:rPr>
          <w:color w:val="231F20"/>
          <w:sz w:val="19"/>
        </w:rPr>
        <w:t>the</w:t>
      </w:r>
      <w:r>
        <w:rPr>
          <w:color w:val="231F20"/>
          <w:spacing w:val="-3"/>
          <w:sz w:val="19"/>
        </w:rPr>
        <w:t> </w:t>
      </w:r>
      <w:r>
        <w:rPr>
          <w:color w:val="231F20"/>
          <w:sz w:val="19"/>
        </w:rPr>
        <w:t>core</w:t>
      </w:r>
      <w:r>
        <w:rPr>
          <w:color w:val="231F20"/>
          <w:spacing w:val="-2"/>
          <w:sz w:val="19"/>
        </w:rPr>
        <w:t> </w:t>
      </w:r>
      <w:r>
        <w:rPr>
          <w:color w:val="231F20"/>
          <w:sz w:val="19"/>
        </w:rPr>
        <w:t>aspects</w:t>
      </w:r>
      <w:r>
        <w:rPr>
          <w:color w:val="231F20"/>
          <w:spacing w:val="-3"/>
          <w:sz w:val="19"/>
        </w:rPr>
        <w:t> </w:t>
      </w:r>
      <w:r>
        <w:rPr>
          <w:color w:val="231F20"/>
          <w:sz w:val="19"/>
        </w:rPr>
        <w:t>of the remedy. Therefore, the </w:t>
      </w:r>
      <w:r>
        <w:rPr>
          <w:rFonts w:ascii="Arial" w:hAnsi="Arial"/>
          <w:color w:val="231F20"/>
          <w:sz w:val="19"/>
        </w:rPr>
        <w:t>‘</w:t>
      </w:r>
      <w:r>
        <w:rPr>
          <w:color w:val="231F20"/>
          <w:sz w:val="19"/>
        </w:rPr>
        <w:t>rudimentary</w:t>
      </w:r>
      <w:r>
        <w:rPr>
          <w:rFonts w:ascii="Arial" w:hAnsi="Arial"/>
          <w:color w:val="231F20"/>
          <w:sz w:val="19"/>
        </w:rPr>
        <w:t>’</w:t>
      </w:r>
      <w:r>
        <w:rPr>
          <w:color w:val="231F20"/>
          <w:sz w:val="19"/>
          <w:vertAlign w:val="superscript"/>
        </w:rPr>
        <w:t>9</w:t>
      </w:r>
      <w:r>
        <w:rPr>
          <w:color w:val="231F20"/>
          <w:sz w:val="19"/>
          <w:vertAlign w:val="baseline"/>
        </w:rPr>
        <w:t> regulation of the consequences for </w:t>
      </w:r>
      <w:r>
        <w:rPr>
          <w:color w:val="231F20"/>
          <w:sz w:val="19"/>
          <w:vertAlign w:val="baseline"/>
        </w:rPr>
        <w:t>unfair terms</w:t>
      </w:r>
      <w:r>
        <w:rPr>
          <w:color w:val="231F20"/>
          <w:spacing w:val="-9"/>
          <w:sz w:val="19"/>
          <w:vertAlign w:val="baseline"/>
        </w:rPr>
        <w:t> </w:t>
      </w:r>
      <w:r>
        <w:rPr>
          <w:color w:val="231F20"/>
          <w:sz w:val="19"/>
          <w:vertAlign w:val="baseline"/>
        </w:rPr>
        <w:t>under</w:t>
      </w:r>
      <w:r>
        <w:rPr>
          <w:color w:val="231F20"/>
          <w:spacing w:val="-9"/>
          <w:sz w:val="19"/>
          <w:vertAlign w:val="baseline"/>
        </w:rPr>
        <w:t> </w:t>
      </w:r>
      <w:r>
        <w:rPr>
          <w:color w:val="231F20"/>
          <w:sz w:val="19"/>
          <w:vertAlign w:val="baseline"/>
        </w:rPr>
        <w:t>the</w:t>
      </w:r>
      <w:r>
        <w:rPr>
          <w:color w:val="231F20"/>
          <w:spacing w:val="-9"/>
          <w:sz w:val="19"/>
          <w:vertAlign w:val="baseline"/>
        </w:rPr>
        <w:t> </w:t>
      </w:r>
      <w:r>
        <w:rPr>
          <w:color w:val="231F20"/>
          <w:sz w:val="19"/>
          <w:vertAlign w:val="baseline"/>
        </w:rPr>
        <w:t>UCTD</w:t>
      </w:r>
      <w:r>
        <w:rPr>
          <w:color w:val="231F20"/>
          <w:spacing w:val="-9"/>
          <w:sz w:val="19"/>
          <w:vertAlign w:val="baseline"/>
        </w:rPr>
        <w:t> </w:t>
      </w:r>
      <w:r>
        <w:rPr>
          <w:color w:val="231F20"/>
          <w:sz w:val="19"/>
          <w:vertAlign w:val="baseline"/>
        </w:rPr>
        <w:t>expanded</w:t>
      </w:r>
      <w:r>
        <w:rPr>
          <w:color w:val="231F20"/>
          <w:spacing w:val="-8"/>
          <w:sz w:val="19"/>
          <w:vertAlign w:val="baseline"/>
        </w:rPr>
        <w:t> </w:t>
      </w:r>
      <w:r>
        <w:rPr>
          <w:color w:val="231F20"/>
          <w:sz w:val="19"/>
          <w:vertAlign w:val="baseline"/>
        </w:rPr>
        <w:t>to</w:t>
      </w:r>
      <w:r>
        <w:rPr>
          <w:color w:val="231F20"/>
          <w:spacing w:val="-9"/>
          <w:sz w:val="19"/>
          <w:vertAlign w:val="baseline"/>
        </w:rPr>
        <w:t> </w:t>
      </w:r>
      <w:r>
        <w:rPr>
          <w:color w:val="231F20"/>
          <w:sz w:val="19"/>
          <w:vertAlign w:val="baseline"/>
        </w:rPr>
        <w:t>gain</w:t>
      </w:r>
      <w:r>
        <w:rPr>
          <w:color w:val="231F20"/>
          <w:spacing w:val="-9"/>
          <w:sz w:val="19"/>
          <w:vertAlign w:val="baseline"/>
        </w:rPr>
        <w:t> </w:t>
      </w:r>
      <w:r>
        <w:rPr>
          <w:color w:val="231F20"/>
          <w:sz w:val="19"/>
          <w:vertAlign w:val="baseline"/>
        </w:rPr>
        <w:t>an</w:t>
      </w:r>
      <w:r>
        <w:rPr>
          <w:color w:val="231F20"/>
          <w:spacing w:val="-9"/>
          <w:sz w:val="19"/>
          <w:vertAlign w:val="baseline"/>
        </w:rPr>
        <w:t> </w:t>
      </w:r>
      <w:r>
        <w:rPr>
          <w:color w:val="231F20"/>
          <w:sz w:val="19"/>
          <w:vertAlign w:val="baseline"/>
        </w:rPr>
        <w:t>EU</w:t>
      </w:r>
      <w:r>
        <w:rPr>
          <w:color w:val="231F20"/>
          <w:spacing w:val="-9"/>
          <w:sz w:val="19"/>
          <w:vertAlign w:val="baseline"/>
        </w:rPr>
        <w:t> </w:t>
      </w:r>
      <w:r>
        <w:rPr>
          <w:color w:val="231F20"/>
          <w:sz w:val="19"/>
          <w:vertAlign w:val="baseline"/>
        </w:rPr>
        <w:t>dimension,</w:t>
      </w:r>
      <w:r>
        <w:rPr>
          <w:color w:val="231F20"/>
          <w:spacing w:val="-9"/>
          <w:sz w:val="19"/>
          <w:vertAlign w:val="baseline"/>
        </w:rPr>
        <w:t> </w:t>
      </w:r>
      <w:r>
        <w:rPr>
          <w:color w:val="231F20"/>
          <w:sz w:val="19"/>
          <w:vertAlign w:val="baseline"/>
        </w:rPr>
        <w:t>to</w:t>
      </w:r>
      <w:r>
        <w:rPr>
          <w:color w:val="231F20"/>
          <w:spacing w:val="-9"/>
          <w:sz w:val="19"/>
          <w:vertAlign w:val="baseline"/>
        </w:rPr>
        <w:t> </w:t>
      </w:r>
      <w:r>
        <w:rPr>
          <w:color w:val="231F20"/>
          <w:sz w:val="19"/>
          <w:vertAlign w:val="baseline"/>
        </w:rPr>
        <w:t>the</w:t>
      </w:r>
      <w:r>
        <w:rPr>
          <w:color w:val="231F20"/>
          <w:spacing w:val="-9"/>
          <w:sz w:val="19"/>
          <w:vertAlign w:val="baseline"/>
        </w:rPr>
        <w:t> </w:t>
      </w:r>
      <w:r>
        <w:rPr>
          <w:color w:val="231F20"/>
          <w:sz w:val="19"/>
          <w:vertAlign w:val="baseline"/>
        </w:rPr>
        <w:t>detriment</w:t>
      </w:r>
      <w:r>
        <w:rPr>
          <w:color w:val="231F20"/>
          <w:spacing w:val="-9"/>
          <w:sz w:val="19"/>
          <w:vertAlign w:val="baseline"/>
        </w:rPr>
        <w:t> </w:t>
      </w:r>
      <w:r>
        <w:rPr>
          <w:color w:val="231F20"/>
          <w:sz w:val="19"/>
          <w:vertAlign w:val="baseline"/>
        </w:rPr>
        <w:t>of</w:t>
      </w:r>
      <w:r>
        <w:rPr>
          <w:color w:val="231F20"/>
          <w:spacing w:val="-6"/>
          <w:sz w:val="19"/>
          <w:vertAlign w:val="baseline"/>
        </w:rPr>
        <w:t> </w:t>
      </w:r>
      <w:r>
        <w:rPr>
          <w:color w:val="231F20"/>
          <w:sz w:val="19"/>
          <w:vertAlign w:val="baseline"/>
        </w:rPr>
        <w:t>the procedural</w:t>
      </w:r>
      <w:r>
        <w:rPr>
          <w:color w:val="231F20"/>
          <w:spacing w:val="-11"/>
          <w:sz w:val="19"/>
          <w:vertAlign w:val="baseline"/>
        </w:rPr>
        <w:t> </w:t>
      </w:r>
      <w:r>
        <w:rPr>
          <w:color w:val="231F20"/>
          <w:sz w:val="19"/>
          <w:vertAlign w:val="baseline"/>
        </w:rPr>
        <w:t>autonomy</w:t>
      </w:r>
      <w:r>
        <w:rPr>
          <w:color w:val="231F20"/>
          <w:spacing w:val="-12"/>
          <w:sz w:val="19"/>
          <w:vertAlign w:val="baseline"/>
        </w:rPr>
        <w:t> </w:t>
      </w:r>
      <w:r>
        <w:rPr>
          <w:color w:val="231F20"/>
          <w:sz w:val="19"/>
          <w:vertAlign w:val="baseline"/>
        </w:rPr>
        <w:t>of</w:t>
      </w:r>
      <w:r>
        <w:rPr>
          <w:color w:val="231F20"/>
          <w:spacing w:val="-8"/>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Member</w:t>
      </w:r>
      <w:r>
        <w:rPr>
          <w:color w:val="231F20"/>
          <w:spacing w:val="-11"/>
          <w:sz w:val="19"/>
          <w:vertAlign w:val="baseline"/>
        </w:rPr>
        <w:t> </w:t>
      </w:r>
      <w:r>
        <w:rPr>
          <w:color w:val="231F20"/>
          <w:sz w:val="19"/>
          <w:vertAlign w:val="baseline"/>
        </w:rPr>
        <w:t>States.</w:t>
      </w:r>
      <w:r>
        <w:rPr>
          <w:color w:val="231F20"/>
          <w:sz w:val="19"/>
          <w:vertAlign w:val="superscript"/>
        </w:rPr>
        <w:t>10</w:t>
      </w:r>
      <w:r>
        <w:rPr>
          <w:color w:val="231F20"/>
          <w:spacing w:val="-11"/>
          <w:sz w:val="19"/>
          <w:vertAlign w:val="baseline"/>
        </w:rPr>
        <w:t> </w:t>
      </w:r>
      <w:r>
        <w:rPr>
          <w:color w:val="231F20"/>
          <w:sz w:val="19"/>
          <w:vertAlign w:val="baseline"/>
        </w:rPr>
        <w:t>However,</w:t>
      </w:r>
      <w:r>
        <w:rPr>
          <w:color w:val="231F20"/>
          <w:spacing w:val="-11"/>
          <w:sz w:val="19"/>
          <w:vertAlign w:val="baseline"/>
        </w:rPr>
        <w:t> </w:t>
      </w:r>
      <w:r>
        <w:rPr>
          <w:color w:val="231F20"/>
          <w:sz w:val="19"/>
          <w:vertAlign w:val="baseline"/>
        </w:rPr>
        <w:t>more</w:t>
      </w:r>
      <w:r>
        <w:rPr>
          <w:color w:val="231F20"/>
          <w:spacing w:val="-11"/>
          <w:sz w:val="19"/>
          <w:vertAlign w:val="baseline"/>
        </w:rPr>
        <w:t> </w:t>
      </w:r>
      <w:r>
        <w:rPr>
          <w:color w:val="231F20"/>
          <w:sz w:val="19"/>
          <w:vertAlign w:val="baseline"/>
        </w:rPr>
        <w:t>recent</w:t>
      </w:r>
      <w:r>
        <w:rPr>
          <w:color w:val="231F20"/>
          <w:spacing w:val="-11"/>
          <w:sz w:val="19"/>
          <w:vertAlign w:val="baseline"/>
        </w:rPr>
        <w:t> </w:t>
      </w:r>
      <w:r>
        <w:rPr>
          <w:color w:val="231F20"/>
          <w:sz w:val="19"/>
          <w:vertAlign w:val="baseline"/>
        </w:rPr>
        <w:t>rulings</w:t>
      </w:r>
      <w:r>
        <w:rPr>
          <w:color w:val="231F20"/>
          <w:spacing w:val="-11"/>
          <w:sz w:val="19"/>
          <w:vertAlign w:val="baseline"/>
        </w:rPr>
        <w:t> </w:t>
      </w:r>
      <w:r>
        <w:rPr>
          <w:color w:val="231F20"/>
          <w:sz w:val="19"/>
          <w:vertAlign w:val="baseline"/>
        </w:rPr>
        <w:t>of</w:t>
      </w:r>
      <w:r>
        <w:rPr>
          <w:color w:val="231F20"/>
          <w:spacing w:val="-9"/>
          <w:sz w:val="19"/>
          <w:vertAlign w:val="baseline"/>
        </w:rPr>
        <w:t> </w:t>
      </w:r>
      <w:r>
        <w:rPr>
          <w:color w:val="231F20"/>
          <w:sz w:val="19"/>
          <w:vertAlign w:val="baseline"/>
        </w:rPr>
        <w:t>the ECJ could be heading in the opposite direction.</w:t>
      </w:r>
      <w:r>
        <w:rPr>
          <w:color w:val="231F20"/>
          <w:sz w:val="19"/>
          <w:vertAlign w:val="superscript"/>
        </w:rPr>
        <w:t>11</w:t>
      </w:r>
    </w:p>
    <w:p>
      <w:pPr>
        <w:pStyle w:val="ListParagraph"/>
        <w:numPr>
          <w:ilvl w:val="0"/>
          <w:numId w:val="2"/>
        </w:numPr>
        <w:tabs>
          <w:tab w:pos="1218" w:val="left" w:leader="none"/>
        </w:tabs>
        <w:spacing w:line="288" w:lineRule="auto" w:before="115" w:after="0"/>
        <w:ind w:left="871" w:right="869" w:firstLine="0"/>
        <w:jc w:val="both"/>
        <w:rPr>
          <w:sz w:val="19"/>
        </w:rPr>
      </w:pPr>
      <w:r>
        <w:rPr>
          <w:color w:val="231F20"/>
          <w:sz w:val="19"/>
        </w:rPr>
        <w:t>In</w:t>
      </w:r>
      <w:r>
        <w:rPr>
          <w:color w:val="231F20"/>
          <w:spacing w:val="-7"/>
          <w:sz w:val="19"/>
        </w:rPr>
        <w:t> </w:t>
      </w:r>
      <w:r>
        <w:rPr>
          <w:color w:val="231F20"/>
          <w:sz w:val="19"/>
        </w:rPr>
        <w:t>any</w:t>
      </w:r>
      <w:r>
        <w:rPr>
          <w:color w:val="231F20"/>
          <w:spacing w:val="-9"/>
          <w:sz w:val="19"/>
        </w:rPr>
        <w:t> </w:t>
      </w:r>
      <w:r>
        <w:rPr>
          <w:color w:val="231F20"/>
          <w:sz w:val="19"/>
        </w:rPr>
        <w:t>event,</w:t>
      </w:r>
      <w:r>
        <w:rPr>
          <w:color w:val="231F20"/>
          <w:spacing w:val="-8"/>
          <w:sz w:val="19"/>
        </w:rPr>
        <w:t> </w:t>
      </w:r>
      <w:r>
        <w:rPr>
          <w:color w:val="231F20"/>
          <w:sz w:val="19"/>
        </w:rPr>
        <w:t>the</w:t>
      </w:r>
      <w:r>
        <w:rPr>
          <w:color w:val="231F20"/>
          <w:spacing w:val="-7"/>
          <w:sz w:val="19"/>
        </w:rPr>
        <w:t> </w:t>
      </w:r>
      <w:r>
        <w:rPr>
          <w:color w:val="231F20"/>
          <w:sz w:val="19"/>
        </w:rPr>
        <w:t>consequences</w:t>
      </w:r>
      <w:r>
        <w:rPr>
          <w:color w:val="231F20"/>
          <w:spacing w:val="-7"/>
          <w:sz w:val="19"/>
        </w:rPr>
        <w:t> </w:t>
      </w:r>
      <w:r>
        <w:rPr>
          <w:color w:val="231F20"/>
          <w:sz w:val="19"/>
        </w:rPr>
        <w:t>for</w:t>
      </w:r>
      <w:r>
        <w:rPr>
          <w:color w:val="231F20"/>
          <w:spacing w:val="-8"/>
          <w:sz w:val="19"/>
        </w:rPr>
        <w:t> </w:t>
      </w:r>
      <w:r>
        <w:rPr>
          <w:color w:val="231F20"/>
          <w:sz w:val="19"/>
        </w:rPr>
        <w:t>unfair</w:t>
      </w:r>
      <w:r>
        <w:rPr>
          <w:color w:val="231F20"/>
          <w:spacing w:val="-7"/>
          <w:sz w:val="19"/>
        </w:rPr>
        <w:t> </w:t>
      </w:r>
      <w:r>
        <w:rPr>
          <w:color w:val="231F20"/>
          <w:sz w:val="19"/>
        </w:rPr>
        <w:t>terms</w:t>
      </w:r>
      <w:r>
        <w:rPr>
          <w:color w:val="231F20"/>
          <w:spacing w:val="-7"/>
          <w:sz w:val="19"/>
        </w:rPr>
        <w:t> </w:t>
      </w:r>
      <w:r>
        <w:rPr>
          <w:color w:val="231F20"/>
          <w:sz w:val="19"/>
        </w:rPr>
        <w:t>have</w:t>
      </w:r>
      <w:r>
        <w:rPr>
          <w:color w:val="231F20"/>
          <w:spacing w:val="-8"/>
          <w:sz w:val="19"/>
        </w:rPr>
        <w:t> </w:t>
      </w:r>
      <w:r>
        <w:rPr>
          <w:color w:val="231F20"/>
          <w:sz w:val="19"/>
        </w:rPr>
        <w:t>evolved</w:t>
      </w:r>
      <w:r>
        <w:rPr>
          <w:color w:val="231F20"/>
          <w:spacing w:val="-8"/>
          <w:sz w:val="19"/>
        </w:rPr>
        <w:t> </w:t>
      </w:r>
      <w:r>
        <w:rPr>
          <w:color w:val="231F20"/>
          <w:sz w:val="19"/>
        </w:rPr>
        <w:t>as</w:t>
      </w:r>
      <w:r>
        <w:rPr>
          <w:color w:val="231F20"/>
          <w:spacing w:val="-7"/>
          <w:sz w:val="19"/>
        </w:rPr>
        <w:t> </w:t>
      </w:r>
      <w:r>
        <w:rPr>
          <w:color w:val="231F20"/>
          <w:sz w:val="19"/>
        </w:rPr>
        <w:t>a</w:t>
      </w:r>
      <w:r>
        <w:rPr>
          <w:color w:val="231F20"/>
          <w:spacing w:val="-7"/>
          <w:sz w:val="19"/>
        </w:rPr>
        <w:t> </w:t>
      </w:r>
      <w:r>
        <w:rPr>
          <w:color w:val="231F20"/>
          <w:sz w:val="19"/>
        </w:rPr>
        <w:t>judge-made remedy</w:t>
      </w:r>
      <w:r>
        <w:rPr>
          <w:color w:val="231F20"/>
          <w:spacing w:val="-5"/>
          <w:sz w:val="19"/>
        </w:rPr>
        <w:t> </w:t>
      </w:r>
      <w:r>
        <w:rPr>
          <w:color w:val="231F20"/>
          <w:sz w:val="19"/>
        </w:rPr>
        <w:t>under</w:t>
      </w:r>
      <w:r>
        <w:rPr>
          <w:color w:val="231F20"/>
          <w:spacing w:val="-6"/>
          <w:sz w:val="19"/>
        </w:rPr>
        <w:t> </w:t>
      </w:r>
      <w:r>
        <w:rPr>
          <w:color w:val="231F20"/>
          <w:sz w:val="19"/>
        </w:rPr>
        <w:t>EU</w:t>
      </w:r>
      <w:r>
        <w:rPr>
          <w:color w:val="231F20"/>
          <w:spacing w:val="-7"/>
          <w:sz w:val="19"/>
        </w:rPr>
        <w:t> </w:t>
      </w:r>
      <w:r>
        <w:rPr>
          <w:color w:val="231F20"/>
          <w:sz w:val="19"/>
        </w:rPr>
        <w:t>principles.</w:t>
      </w:r>
      <w:r>
        <w:rPr>
          <w:color w:val="231F20"/>
          <w:spacing w:val="-5"/>
          <w:sz w:val="19"/>
        </w:rPr>
        <w:t> </w:t>
      </w:r>
      <w:r>
        <w:rPr>
          <w:color w:val="231F20"/>
          <w:sz w:val="19"/>
        </w:rPr>
        <w:t>This</w:t>
      </w:r>
      <w:r>
        <w:rPr>
          <w:color w:val="231F20"/>
          <w:spacing w:val="-6"/>
          <w:sz w:val="19"/>
        </w:rPr>
        <w:t> </w:t>
      </w:r>
      <w:r>
        <w:rPr>
          <w:color w:val="231F20"/>
          <w:sz w:val="19"/>
        </w:rPr>
        <w:t>creates</w:t>
      </w:r>
      <w:r>
        <w:rPr>
          <w:color w:val="231F20"/>
          <w:spacing w:val="-5"/>
          <w:sz w:val="19"/>
        </w:rPr>
        <w:t> </w:t>
      </w:r>
      <w:r>
        <w:rPr>
          <w:color w:val="231F20"/>
          <w:sz w:val="19"/>
        </w:rPr>
        <w:t>two</w:t>
      </w:r>
      <w:r>
        <w:rPr>
          <w:color w:val="231F20"/>
          <w:spacing w:val="-6"/>
          <w:sz w:val="19"/>
        </w:rPr>
        <w:t> </w:t>
      </w:r>
      <w:r>
        <w:rPr>
          <w:color w:val="231F20"/>
          <w:sz w:val="19"/>
        </w:rPr>
        <w:t>issues.</w:t>
      </w:r>
      <w:r>
        <w:rPr>
          <w:color w:val="231F20"/>
          <w:spacing w:val="-5"/>
          <w:sz w:val="19"/>
        </w:rPr>
        <w:t> </w:t>
      </w:r>
      <w:r>
        <w:rPr>
          <w:color w:val="231F20"/>
          <w:sz w:val="19"/>
        </w:rPr>
        <w:t>The</w:t>
      </w:r>
      <w:r>
        <w:rPr>
          <w:color w:val="231F20"/>
          <w:spacing w:val="-5"/>
          <w:sz w:val="19"/>
        </w:rPr>
        <w:t> </w:t>
      </w:r>
      <w:r>
        <w:rPr>
          <w:color w:val="231F20"/>
          <w:sz w:val="19"/>
        </w:rPr>
        <w:t>first</w:t>
      </w:r>
      <w:r>
        <w:rPr>
          <w:color w:val="231F20"/>
          <w:spacing w:val="-5"/>
          <w:sz w:val="19"/>
        </w:rPr>
        <w:t> </w:t>
      </w:r>
      <w:r>
        <w:rPr>
          <w:color w:val="231F20"/>
          <w:sz w:val="19"/>
        </w:rPr>
        <w:t>one</w:t>
      </w:r>
      <w:r>
        <w:rPr>
          <w:color w:val="231F20"/>
          <w:spacing w:val="-6"/>
          <w:sz w:val="19"/>
        </w:rPr>
        <w:t> </w:t>
      </w:r>
      <w:r>
        <w:rPr>
          <w:color w:val="231F20"/>
          <w:sz w:val="19"/>
        </w:rPr>
        <w:t>stems</w:t>
      </w:r>
      <w:r>
        <w:rPr>
          <w:color w:val="231F20"/>
          <w:spacing w:val="-5"/>
          <w:sz w:val="19"/>
        </w:rPr>
        <w:t> </w:t>
      </w:r>
      <w:r>
        <w:rPr>
          <w:color w:val="231F20"/>
          <w:sz w:val="19"/>
        </w:rPr>
        <w:t>from</w:t>
      </w:r>
      <w:r>
        <w:rPr>
          <w:color w:val="231F20"/>
          <w:spacing w:val="-6"/>
          <w:sz w:val="19"/>
        </w:rPr>
        <w:t> </w:t>
      </w:r>
      <w:r>
        <w:rPr>
          <w:color w:val="231F20"/>
          <w:sz w:val="19"/>
        </w:rPr>
        <w:t>the </w:t>
      </w:r>
      <w:r>
        <w:rPr>
          <w:color w:val="231F20"/>
          <w:spacing w:val="-2"/>
          <w:sz w:val="19"/>
        </w:rPr>
        <w:t>judicial</w:t>
      </w:r>
      <w:r>
        <w:rPr>
          <w:color w:val="231F20"/>
          <w:spacing w:val="-5"/>
          <w:sz w:val="19"/>
        </w:rPr>
        <w:t> </w:t>
      </w:r>
      <w:r>
        <w:rPr>
          <w:color w:val="231F20"/>
          <w:spacing w:val="-2"/>
          <w:sz w:val="19"/>
        </w:rPr>
        <w:t>design</w:t>
      </w:r>
      <w:r>
        <w:rPr>
          <w:color w:val="231F20"/>
          <w:spacing w:val="-5"/>
          <w:sz w:val="19"/>
        </w:rPr>
        <w:t> </w:t>
      </w:r>
      <w:r>
        <w:rPr>
          <w:color w:val="231F20"/>
          <w:spacing w:val="-2"/>
          <w:sz w:val="19"/>
        </w:rPr>
        <w:t>of the</w:t>
      </w:r>
      <w:r>
        <w:rPr>
          <w:color w:val="231F20"/>
          <w:spacing w:val="-5"/>
          <w:sz w:val="19"/>
        </w:rPr>
        <w:t> </w:t>
      </w:r>
      <w:r>
        <w:rPr>
          <w:color w:val="231F20"/>
          <w:spacing w:val="-2"/>
          <w:sz w:val="19"/>
        </w:rPr>
        <w:t>remedy,</w:t>
      </w:r>
      <w:r>
        <w:rPr>
          <w:color w:val="231F20"/>
          <w:spacing w:val="-5"/>
          <w:sz w:val="19"/>
        </w:rPr>
        <w:t> </w:t>
      </w:r>
      <w:r>
        <w:rPr>
          <w:color w:val="231F20"/>
          <w:spacing w:val="-2"/>
          <w:sz w:val="19"/>
        </w:rPr>
        <w:t>which</w:t>
      </w:r>
      <w:r>
        <w:rPr>
          <w:color w:val="231F20"/>
          <w:spacing w:val="-5"/>
          <w:sz w:val="19"/>
        </w:rPr>
        <w:t> </w:t>
      </w:r>
      <w:r>
        <w:rPr>
          <w:color w:val="231F20"/>
          <w:spacing w:val="-2"/>
          <w:sz w:val="19"/>
        </w:rPr>
        <w:t>introduces</w:t>
      </w:r>
      <w:r>
        <w:rPr>
          <w:color w:val="231F20"/>
          <w:spacing w:val="-5"/>
          <w:sz w:val="19"/>
        </w:rPr>
        <w:t> </w:t>
      </w:r>
      <w:r>
        <w:rPr>
          <w:color w:val="231F20"/>
          <w:spacing w:val="-2"/>
          <w:sz w:val="19"/>
        </w:rPr>
        <w:t>some</w:t>
      </w:r>
      <w:r>
        <w:rPr>
          <w:color w:val="231F20"/>
          <w:spacing w:val="-5"/>
          <w:sz w:val="19"/>
        </w:rPr>
        <w:t> </w:t>
      </w:r>
      <w:r>
        <w:rPr>
          <w:color w:val="231F20"/>
          <w:spacing w:val="-2"/>
          <w:sz w:val="19"/>
        </w:rPr>
        <w:t>degree</w:t>
      </w:r>
      <w:r>
        <w:rPr>
          <w:color w:val="231F20"/>
          <w:spacing w:val="-5"/>
          <w:sz w:val="19"/>
        </w:rPr>
        <w:t> </w:t>
      </w:r>
      <w:r>
        <w:rPr>
          <w:color w:val="231F20"/>
          <w:spacing w:val="-2"/>
          <w:sz w:val="19"/>
        </w:rPr>
        <w:t>of</w:t>
      </w:r>
      <w:r>
        <w:rPr>
          <w:color w:val="231F20"/>
          <w:spacing w:val="-5"/>
          <w:sz w:val="19"/>
        </w:rPr>
        <w:t> </w:t>
      </w:r>
      <w:r>
        <w:rPr>
          <w:color w:val="231F20"/>
          <w:spacing w:val="-2"/>
          <w:sz w:val="19"/>
        </w:rPr>
        <w:t>uncertainty,</w:t>
      </w:r>
      <w:r>
        <w:rPr>
          <w:color w:val="231F20"/>
          <w:spacing w:val="-4"/>
          <w:sz w:val="19"/>
        </w:rPr>
        <w:t> </w:t>
      </w:r>
      <w:r>
        <w:rPr>
          <w:color w:val="231F20"/>
          <w:spacing w:val="-2"/>
          <w:sz w:val="19"/>
        </w:rPr>
        <w:t>at</w:t>
      </w:r>
      <w:r>
        <w:rPr>
          <w:color w:val="231F20"/>
          <w:spacing w:val="-5"/>
          <w:sz w:val="19"/>
        </w:rPr>
        <w:t> </w:t>
      </w:r>
      <w:r>
        <w:rPr>
          <w:color w:val="231F20"/>
          <w:spacing w:val="-2"/>
          <w:sz w:val="19"/>
        </w:rPr>
        <w:t>least </w:t>
      </w:r>
      <w:r>
        <w:rPr>
          <w:color w:val="231F20"/>
          <w:sz w:val="19"/>
        </w:rPr>
        <w:t>by</w:t>
      </w:r>
      <w:r>
        <w:rPr>
          <w:color w:val="231F20"/>
          <w:spacing w:val="33"/>
          <w:sz w:val="19"/>
        </w:rPr>
        <w:t> </w:t>
      </w:r>
      <w:r>
        <w:rPr>
          <w:color w:val="231F20"/>
          <w:sz w:val="19"/>
        </w:rPr>
        <w:t>the</w:t>
      </w:r>
      <w:r>
        <w:rPr>
          <w:color w:val="231F20"/>
          <w:spacing w:val="34"/>
          <w:sz w:val="19"/>
        </w:rPr>
        <w:t> </w:t>
      </w:r>
      <w:r>
        <w:rPr>
          <w:color w:val="231F20"/>
          <w:sz w:val="19"/>
        </w:rPr>
        <w:t>standards</w:t>
      </w:r>
      <w:r>
        <w:rPr>
          <w:color w:val="231F20"/>
          <w:spacing w:val="33"/>
          <w:sz w:val="19"/>
        </w:rPr>
        <w:t> </w:t>
      </w:r>
      <w:r>
        <w:rPr>
          <w:color w:val="231F20"/>
          <w:sz w:val="19"/>
        </w:rPr>
        <w:t>that</w:t>
      </w:r>
      <w:r>
        <w:rPr>
          <w:color w:val="231F20"/>
          <w:spacing w:val="34"/>
          <w:sz w:val="19"/>
        </w:rPr>
        <w:t> </w:t>
      </w:r>
      <w:r>
        <w:rPr>
          <w:color w:val="231F20"/>
          <w:sz w:val="19"/>
        </w:rPr>
        <w:t>continental</w:t>
      </w:r>
      <w:r>
        <w:rPr>
          <w:color w:val="231F20"/>
          <w:spacing w:val="34"/>
          <w:sz w:val="19"/>
        </w:rPr>
        <w:t> </w:t>
      </w:r>
      <w:r>
        <w:rPr>
          <w:color w:val="231F20"/>
          <w:sz w:val="19"/>
        </w:rPr>
        <w:t>lawyers</w:t>
      </w:r>
      <w:r>
        <w:rPr>
          <w:color w:val="231F20"/>
          <w:spacing w:val="34"/>
          <w:sz w:val="19"/>
        </w:rPr>
        <w:t> </w:t>
      </w:r>
      <w:r>
        <w:rPr>
          <w:color w:val="231F20"/>
          <w:sz w:val="19"/>
        </w:rPr>
        <w:t>are</w:t>
      </w:r>
      <w:r>
        <w:rPr>
          <w:color w:val="231F20"/>
          <w:spacing w:val="33"/>
          <w:sz w:val="19"/>
        </w:rPr>
        <w:t> </w:t>
      </w:r>
      <w:r>
        <w:rPr>
          <w:color w:val="231F20"/>
          <w:sz w:val="19"/>
        </w:rPr>
        <w:t>used</w:t>
      </w:r>
      <w:r>
        <w:rPr>
          <w:color w:val="231F20"/>
          <w:spacing w:val="34"/>
          <w:sz w:val="19"/>
        </w:rPr>
        <w:t> </w:t>
      </w:r>
      <w:r>
        <w:rPr>
          <w:color w:val="231F20"/>
          <w:sz w:val="19"/>
        </w:rPr>
        <w:t>to.</w:t>
      </w:r>
      <w:r>
        <w:rPr>
          <w:color w:val="231F20"/>
          <w:spacing w:val="34"/>
          <w:sz w:val="19"/>
        </w:rPr>
        <w:t> </w:t>
      </w:r>
      <w:r>
        <w:rPr>
          <w:color w:val="231F20"/>
          <w:sz w:val="19"/>
        </w:rPr>
        <w:t>This</w:t>
      </w:r>
      <w:r>
        <w:rPr>
          <w:color w:val="231F20"/>
          <w:spacing w:val="33"/>
          <w:sz w:val="19"/>
        </w:rPr>
        <w:t> </w:t>
      </w:r>
      <w:r>
        <w:rPr>
          <w:color w:val="231F20"/>
          <w:sz w:val="19"/>
        </w:rPr>
        <w:t>could</w:t>
      </w:r>
      <w:r>
        <w:rPr>
          <w:color w:val="231F20"/>
          <w:spacing w:val="34"/>
          <w:sz w:val="19"/>
        </w:rPr>
        <w:t> </w:t>
      </w:r>
      <w:r>
        <w:rPr>
          <w:color w:val="231F20"/>
          <w:sz w:val="19"/>
        </w:rPr>
        <w:t>explain</w:t>
      </w:r>
      <w:r>
        <w:rPr>
          <w:color w:val="231F20"/>
          <w:spacing w:val="34"/>
          <w:sz w:val="19"/>
        </w:rPr>
        <w:t> </w:t>
      </w:r>
      <w:r>
        <w:rPr>
          <w:color w:val="231F20"/>
          <w:sz w:val="19"/>
        </w:rPr>
        <w:t>the</w:t>
      </w:r>
    </w:p>
    <w:p>
      <w:pPr>
        <w:pStyle w:val="BodyText"/>
        <w:rPr>
          <w:sz w:val="20"/>
        </w:rPr>
      </w:pPr>
    </w:p>
    <w:p>
      <w:pPr>
        <w:pStyle w:val="BodyText"/>
        <w:spacing w:before="65"/>
        <w:rPr>
          <w:sz w:val="20"/>
        </w:rPr>
      </w:pPr>
      <w:r>
        <w:rPr/>
        <mc:AlternateContent>
          <mc:Choice Requires="wps">
            <w:drawing>
              <wp:anchor distT="0" distB="0" distL="0" distR="0" allowOverlap="1" layoutInCell="1" locked="0" behindDoc="1" simplePos="0" relativeHeight="487589888">
                <wp:simplePos x="0" y="0"/>
                <wp:positionH relativeFrom="page">
                  <wp:posOffset>1979993</wp:posOffset>
                </wp:positionH>
                <wp:positionV relativeFrom="paragraph">
                  <wp:posOffset>201054</wp:posOffset>
                </wp:positionV>
                <wp:extent cx="1656080" cy="444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5.831098pt;width:130.394pt;height:.34015pt;mso-position-horizontal-relative:page;mso-position-vertical-relative:paragraph;z-index:-15726592;mso-wrap-distance-left:0;mso-wrap-distance-right:0" id="docshape7" filled="true" fillcolor="#000000" stroked="false">
                <v:fill type="solid"/>
                <w10:wrap type="topAndBottom"/>
              </v:rect>
            </w:pict>
          </mc:Fallback>
        </mc:AlternateContent>
      </w:r>
    </w:p>
    <w:p>
      <w:pPr>
        <w:pStyle w:val="BodyText"/>
        <w:spacing w:before="76"/>
        <w:rPr>
          <w:sz w:val="16"/>
        </w:rPr>
      </w:pPr>
    </w:p>
    <w:p>
      <w:pPr>
        <w:spacing w:line="288" w:lineRule="auto" w:before="0"/>
        <w:ind w:left="866" w:right="868" w:firstLine="0"/>
        <w:jc w:val="both"/>
        <w:rPr>
          <w:sz w:val="16"/>
        </w:rPr>
      </w:pPr>
      <w:r>
        <w:rPr>
          <w:i/>
          <w:color w:val="231F20"/>
          <w:sz w:val="16"/>
        </w:rPr>
        <w:t>Law Compendium. The Consumer Acquis and its transposition in the Member States </w:t>
      </w:r>
      <w:r>
        <w:rPr>
          <w:color w:val="231F20"/>
          <w:sz w:val="16"/>
        </w:rPr>
        <w:t>(Munich:</w:t>
      </w:r>
      <w:r>
        <w:rPr>
          <w:color w:val="231F20"/>
          <w:spacing w:val="40"/>
          <w:sz w:val="16"/>
        </w:rPr>
        <w:t> </w:t>
      </w:r>
      <w:r>
        <w:rPr>
          <w:color w:val="231F20"/>
          <w:sz w:val="16"/>
        </w:rPr>
        <w:t>Sellier 2008), p (197) at 240 ff.</w:t>
      </w:r>
    </w:p>
    <w:p>
      <w:pPr>
        <w:pStyle w:val="ListParagraph"/>
        <w:numPr>
          <w:ilvl w:val="0"/>
          <w:numId w:val="3"/>
        </w:numPr>
        <w:tabs>
          <w:tab w:pos="866" w:val="left" w:leader="none"/>
        </w:tabs>
        <w:spacing w:line="285" w:lineRule="auto" w:before="0" w:after="0"/>
        <w:ind w:left="866" w:right="869" w:hanging="354"/>
        <w:jc w:val="both"/>
        <w:rPr>
          <w:sz w:val="16"/>
        </w:rPr>
      </w:pPr>
      <w:r>
        <w:rPr>
          <w:color w:val="231F20"/>
          <w:sz w:val="16"/>
        </w:rPr>
        <w:t>Commission</w:t>
      </w:r>
      <w:r>
        <w:rPr>
          <w:color w:val="231F20"/>
          <w:spacing w:val="-10"/>
          <w:sz w:val="16"/>
        </w:rPr>
        <w:t> </w:t>
      </w:r>
      <w:r>
        <w:rPr>
          <w:color w:val="231F20"/>
          <w:sz w:val="16"/>
        </w:rPr>
        <w:t>of</w:t>
      </w:r>
      <w:r>
        <w:rPr>
          <w:color w:val="231F20"/>
          <w:spacing w:val="-8"/>
          <w:sz w:val="16"/>
        </w:rPr>
        <w:t> </w:t>
      </w:r>
      <w:r>
        <w:rPr>
          <w:color w:val="231F20"/>
          <w:sz w:val="16"/>
        </w:rPr>
        <w:t>the</w:t>
      </w:r>
      <w:r>
        <w:rPr>
          <w:color w:val="231F20"/>
          <w:spacing w:val="-10"/>
          <w:sz w:val="16"/>
        </w:rPr>
        <w:t> </w:t>
      </w:r>
      <w:r>
        <w:rPr>
          <w:color w:val="231F20"/>
          <w:sz w:val="16"/>
        </w:rPr>
        <w:t>European</w:t>
      </w:r>
      <w:r>
        <w:rPr>
          <w:color w:val="231F20"/>
          <w:spacing w:val="-9"/>
          <w:sz w:val="16"/>
        </w:rPr>
        <w:t> </w:t>
      </w:r>
      <w:r>
        <w:rPr>
          <w:color w:val="231F20"/>
          <w:sz w:val="16"/>
        </w:rPr>
        <w:t>Communities,</w:t>
      </w:r>
      <w:r>
        <w:rPr>
          <w:color w:val="231F20"/>
          <w:spacing w:val="-10"/>
          <w:sz w:val="16"/>
        </w:rPr>
        <w:t> </w:t>
      </w:r>
      <w:r>
        <w:rPr>
          <w:rFonts w:ascii="Arial" w:hAnsi="Arial"/>
          <w:color w:val="231F20"/>
          <w:sz w:val="16"/>
        </w:rPr>
        <w:t>‘</w:t>
      </w:r>
      <w:r>
        <w:rPr>
          <w:color w:val="231F20"/>
          <w:sz w:val="16"/>
        </w:rPr>
        <w:t>Report</w:t>
      </w:r>
      <w:r>
        <w:rPr>
          <w:color w:val="231F20"/>
          <w:spacing w:val="-10"/>
          <w:sz w:val="16"/>
        </w:rPr>
        <w:t> </w:t>
      </w:r>
      <w:r>
        <w:rPr>
          <w:color w:val="231F20"/>
          <w:sz w:val="16"/>
        </w:rPr>
        <w:t>from</w:t>
      </w:r>
      <w:r>
        <w:rPr>
          <w:color w:val="231F20"/>
          <w:spacing w:val="-9"/>
          <w:sz w:val="16"/>
        </w:rPr>
        <w:t> </w:t>
      </w:r>
      <w:r>
        <w:rPr>
          <w:color w:val="231F20"/>
          <w:sz w:val="16"/>
        </w:rPr>
        <w:t>the</w:t>
      </w:r>
      <w:r>
        <w:rPr>
          <w:color w:val="231F20"/>
          <w:spacing w:val="-10"/>
          <w:sz w:val="16"/>
        </w:rPr>
        <w:t> </w:t>
      </w:r>
      <w:r>
        <w:rPr>
          <w:color w:val="231F20"/>
          <w:sz w:val="16"/>
        </w:rPr>
        <w:t>Commission</w:t>
      </w:r>
      <w:r>
        <w:rPr>
          <w:color w:val="231F20"/>
          <w:spacing w:val="-10"/>
          <w:sz w:val="16"/>
        </w:rPr>
        <w:t> </w:t>
      </w:r>
      <w:r>
        <w:rPr>
          <w:color w:val="231F20"/>
          <w:sz w:val="16"/>
        </w:rPr>
        <w:t>on</w:t>
      </w:r>
      <w:r>
        <w:rPr>
          <w:color w:val="231F20"/>
          <w:spacing w:val="-9"/>
          <w:sz w:val="16"/>
        </w:rPr>
        <w:t> </w:t>
      </w:r>
      <w:r>
        <w:rPr>
          <w:color w:val="231F20"/>
          <w:sz w:val="16"/>
        </w:rPr>
        <w:t>the</w:t>
      </w:r>
      <w:r>
        <w:rPr>
          <w:color w:val="231F20"/>
          <w:spacing w:val="-10"/>
          <w:sz w:val="16"/>
        </w:rPr>
        <w:t> </w:t>
      </w:r>
      <w:r>
        <w:rPr>
          <w:color w:val="231F20"/>
          <w:sz w:val="16"/>
        </w:rPr>
        <w:t>implementation</w:t>
      </w:r>
      <w:r>
        <w:rPr>
          <w:color w:val="231F20"/>
          <w:spacing w:val="40"/>
          <w:sz w:val="16"/>
        </w:rPr>
        <w:t> </w:t>
      </w:r>
      <w:r>
        <w:rPr>
          <w:color w:val="231F20"/>
          <w:sz w:val="16"/>
        </w:rPr>
        <w:t>of Council Directive 93/13/EEC of 5 Apr. 1993 on unfair terms in consumer contracts</w:t>
      </w:r>
      <w:r>
        <w:rPr>
          <w:rFonts w:ascii="Arial" w:hAnsi="Arial"/>
          <w:color w:val="231F20"/>
          <w:sz w:val="16"/>
        </w:rPr>
        <w:t>’</w:t>
      </w:r>
      <w:r>
        <w:rPr>
          <w:color w:val="231F20"/>
          <w:sz w:val="16"/>
        </w:rPr>
        <w:t>, COM</w:t>
      </w:r>
      <w:r>
        <w:rPr>
          <w:color w:val="231F20"/>
          <w:spacing w:val="40"/>
          <w:sz w:val="16"/>
        </w:rPr>
        <w:t> </w:t>
      </w:r>
      <w:r>
        <w:rPr>
          <w:color w:val="231F20"/>
          <w:sz w:val="16"/>
        </w:rPr>
        <w:t>(2000) 248 final, p 19.</w:t>
      </w:r>
    </w:p>
    <w:p>
      <w:pPr>
        <w:pStyle w:val="ListParagraph"/>
        <w:numPr>
          <w:ilvl w:val="0"/>
          <w:numId w:val="3"/>
        </w:numPr>
        <w:tabs>
          <w:tab w:pos="866" w:val="left" w:leader="none"/>
        </w:tabs>
        <w:spacing w:line="285" w:lineRule="auto" w:before="0" w:after="0"/>
        <w:ind w:left="866" w:right="868" w:hanging="354"/>
        <w:jc w:val="both"/>
        <w:rPr>
          <w:sz w:val="16"/>
        </w:rPr>
      </w:pPr>
      <w:r>
        <w:rPr>
          <w:color w:val="231F20"/>
          <w:sz w:val="16"/>
        </w:rPr>
        <w:t>See</w:t>
      </w:r>
      <w:r>
        <w:rPr>
          <w:color w:val="231F20"/>
          <w:spacing w:val="-5"/>
          <w:sz w:val="16"/>
        </w:rPr>
        <w:t> </w:t>
      </w:r>
      <w:r>
        <w:rPr>
          <w:color w:val="231F20"/>
          <w:sz w:val="16"/>
        </w:rPr>
        <w:t>P.</w:t>
      </w:r>
      <w:r>
        <w:rPr>
          <w:color w:val="231F20"/>
          <w:spacing w:val="-5"/>
          <w:sz w:val="16"/>
        </w:rPr>
        <w:t> </w:t>
      </w:r>
      <w:r>
        <w:rPr>
          <w:color w:val="231F20"/>
          <w:sz w:val="16"/>
        </w:rPr>
        <w:t>S</w:t>
      </w:r>
      <w:r>
        <w:rPr>
          <w:color w:val="231F20"/>
          <w:sz w:val="11"/>
        </w:rPr>
        <w:t>IRENA</w:t>
      </w:r>
      <w:r>
        <w:rPr>
          <w:color w:val="231F20"/>
          <w:sz w:val="16"/>
        </w:rPr>
        <w:t>,</w:t>
      </w:r>
      <w:r>
        <w:rPr>
          <w:color w:val="231F20"/>
          <w:spacing w:val="-6"/>
          <w:sz w:val="16"/>
        </w:rPr>
        <w:t> </w:t>
      </w:r>
      <w:r>
        <w:rPr>
          <w:color w:val="231F20"/>
          <w:sz w:val="16"/>
        </w:rPr>
        <w:t>M.</w:t>
      </w:r>
      <w:r>
        <w:rPr>
          <w:color w:val="231F20"/>
          <w:spacing w:val="-5"/>
          <w:sz w:val="16"/>
        </w:rPr>
        <w:t> </w:t>
      </w:r>
      <w:r>
        <w:rPr>
          <w:color w:val="231F20"/>
          <w:sz w:val="16"/>
        </w:rPr>
        <w:t>G</w:t>
      </w:r>
      <w:r>
        <w:rPr>
          <w:color w:val="231F20"/>
          <w:sz w:val="11"/>
        </w:rPr>
        <w:t>INESTRI</w:t>
      </w:r>
      <w:r>
        <w:rPr>
          <w:color w:val="231F20"/>
          <w:spacing w:val="5"/>
          <w:sz w:val="11"/>
        </w:rPr>
        <w:t> </w:t>
      </w:r>
      <w:r>
        <w:rPr>
          <w:color w:val="231F20"/>
          <w:sz w:val="16"/>
        </w:rPr>
        <w:t>&amp;</w:t>
      </w:r>
      <w:r>
        <w:rPr>
          <w:color w:val="231F20"/>
          <w:spacing w:val="-5"/>
          <w:sz w:val="16"/>
        </w:rPr>
        <w:t> </w:t>
      </w:r>
      <w:r>
        <w:rPr>
          <w:color w:val="231F20"/>
          <w:sz w:val="16"/>
        </w:rPr>
        <w:t>E.</w:t>
      </w:r>
      <w:r>
        <w:rPr>
          <w:color w:val="231F20"/>
          <w:spacing w:val="-5"/>
          <w:sz w:val="16"/>
        </w:rPr>
        <w:t> </w:t>
      </w:r>
      <w:r>
        <w:rPr>
          <w:color w:val="231F20"/>
          <w:sz w:val="16"/>
        </w:rPr>
        <w:t>V</w:t>
      </w:r>
      <w:r>
        <w:rPr>
          <w:color w:val="231F20"/>
          <w:sz w:val="11"/>
        </w:rPr>
        <w:t>ALLETTA</w:t>
      </w:r>
      <w:r>
        <w:rPr>
          <w:color w:val="231F20"/>
          <w:sz w:val="16"/>
        </w:rPr>
        <w:t>,</w:t>
      </w:r>
      <w:r>
        <w:rPr>
          <w:color w:val="231F20"/>
          <w:spacing w:val="-5"/>
          <w:sz w:val="16"/>
        </w:rPr>
        <w:t> </w:t>
      </w:r>
      <w:r>
        <w:rPr>
          <w:rFonts w:ascii="Arial" w:hAnsi="Arial"/>
          <w:color w:val="231F20"/>
          <w:sz w:val="16"/>
        </w:rPr>
        <w:t>‘</w:t>
      </w:r>
      <w:r>
        <w:rPr>
          <w:color w:val="231F20"/>
          <w:sz w:val="16"/>
        </w:rPr>
        <w:t>National</w:t>
      </w:r>
      <w:r>
        <w:rPr>
          <w:color w:val="231F20"/>
          <w:spacing w:val="-5"/>
          <w:sz w:val="16"/>
        </w:rPr>
        <w:t> </w:t>
      </w:r>
      <w:r>
        <w:rPr>
          <w:color w:val="231F20"/>
          <w:sz w:val="16"/>
        </w:rPr>
        <w:t>procedural</w:t>
      </w:r>
      <w:r>
        <w:rPr>
          <w:color w:val="231F20"/>
          <w:spacing w:val="-5"/>
          <w:sz w:val="16"/>
        </w:rPr>
        <w:t> </w:t>
      </w:r>
      <w:r>
        <w:rPr>
          <w:color w:val="231F20"/>
          <w:sz w:val="16"/>
        </w:rPr>
        <w:t>rules</w:t>
      </w:r>
      <w:r>
        <w:rPr>
          <w:color w:val="231F20"/>
          <w:spacing w:val="-5"/>
          <w:sz w:val="16"/>
        </w:rPr>
        <w:t> </w:t>
      </w:r>
      <w:r>
        <w:rPr>
          <w:color w:val="231F20"/>
          <w:sz w:val="16"/>
        </w:rPr>
        <w:t>and</w:t>
      </w:r>
      <w:r>
        <w:rPr>
          <w:color w:val="231F20"/>
          <w:spacing w:val="-5"/>
          <w:sz w:val="16"/>
        </w:rPr>
        <w:t> </w:t>
      </w:r>
      <w:r>
        <w:rPr>
          <w:color w:val="231F20"/>
          <w:sz w:val="16"/>
        </w:rPr>
        <w:t>the</w:t>
      </w:r>
      <w:r>
        <w:rPr>
          <w:color w:val="231F20"/>
          <w:spacing w:val="-4"/>
          <w:sz w:val="16"/>
        </w:rPr>
        <w:t> </w:t>
      </w:r>
      <w:r>
        <w:rPr>
          <w:color w:val="231F20"/>
          <w:sz w:val="16"/>
        </w:rPr>
        <w:t>new</w:t>
      </w:r>
      <w:r>
        <w:rPr>
          <w:color w:val="231F20"/>
          <w:spacing w:val="-5"/>
          <w:sz w:val="16"/>
        </w:rPr>
        <w:t> </w:t>
      </w:r>
      <w:r>
        <w:rPr>
          <w:color w:val="231F20"/>
          <w:sz w:val="16"/>
        </w:rPr>
        <w:t>boundaries</w:t>
      </w:r>
      <w:r>
        <w:rPr>
          <w:color w:val="231F20"/>
          <w:spacing w:val="-6"/>
          <w:sz w:val="16"/>
        </w:rPr>
        <w:t> </w:t>
      </w:r>
      <w:r>
        <w:rPr>
          <w:color w:val="231F20"/>
          <w:sz w:val="16"/>
        </w:rPr>
        <w:t>of</w:t>
      </w:r>
      <w:r>
        <w:rPr>
          <w:color w:val="231F20"/>
          <w:spacing w:val="-2"/>
          <w:sz w:val="16"/>
        </w:rPr>
        <w:t> </w:t>
      </w:r>
      <w:r>
        <w:rPr>
          <w:color w:val="231F20"/>
          <w:sz w:val="16"/>
        </w:rPr>
        <w:t>the</w:t>
      </w:r>
      <w:r>
        <w:rPr>
          <w:color w:val="231F20"/>
          <w:spacing w:val="40"/>
          <w:sz w:val="16"/>
        </w:rPr>
        <w:t> </w:t>
      </w:r>
      <w:r>
        <w:rPr>
          <w:color w:val="231F20"/>
          <w:sz w:val="16"/>
        </w:rPr>
        <w:t>ECJ</w:t>
      </w:r>
      <w:r>
        <w:rPr>
          <w:rFonts w:ascii="Arial" w:hAnsi="Arial"/>
          <w:color w:val="231F20"/>
          <w:sz w:val="16"/>
        </w:rPr>
        <w:t>’</w:t>
      </w:r>
      <w:r>
        <w:rPr>
          <w:color w:val="231F20"/>
          <w:sz w:val="16"/>
        </w:rPr>
        <w:t>s control in the light of Directive 93/13</w:t>
      </w:r>
      <w:r>
        <w:rPr>
          <w:rFonts w:ascii="Arial" w:hAnsi="Arial"/>
          <w:color w:val="231F20"/>
          <w:sz w:val="16"/>
        </w:rPr>
        <w:t>’</w:t>
      </w:r>
      <w:r>
        <w:rPr>
          <w:color w:val="231F20"/>
          <w:sz w:val="16"/>
        </w:rPr>
        <w:t>, in this issue.</w:t>
      </w:r>
    </w:p>
    <w:p>
      <w:pPr>
        <w:pStyle w:val="ListParagraph"/>
        <w:numPr>
          <w:ilvl w:val="0"/>
          <w:numId w:val="3"/>
        </w:numPr>
        <w:tabs>
          <w:tab w:pos="866" w:val="left" w:leader="none"/>
        </w:tabs>
        <w:spacing w:line="288" w:lineRule="auto" w:before="0" w:after="0"/>
        <w:ind w:left="866" w:right="869" w:hanging="354"/>
        <w:jc w:val="both"/>
        <w:rPr>
          <w:sz w:val="16"/>
        </w:rPr>
      </w:pPr>
      <w:r>
        <w:rPr>
          <w:color w:val="231F20"/>
          <w:sz w:val="16"/>
        </w:rPr>
        <w:t>ECJ 14 Jun. 2012, ECLI:EU:C:2012:349, </w:t>
      </w:r>
      <w:r>
        <w:rPr>
          <w:i/>
          <w:color w:val="231F20"/>
          <w:sz w:val="16"/>
        </w:rPr>
        <w:t>Banco Español de Crédito, SA </w:t>
      </w:r>
      <w:r>
        <w:rPr>
          <w:color w:val="231F20"/>
          <w:sz w:val="16"/>
        </w:rPr>
        <w:t>v. </w:t>
      </w:r>
      <w:r>
        <w:rPr>
          <w:i/>
          <w:color w:val="231F20"/>
          <w:sz w:val="16"/>
        </w:rPr>
        <w:t>Joaquín </w:t>
      </w:r>
      <w:r>
        <w:rPr>
          <w:i/>
          <w:color w:val="231F20"/>
          <w:sz w:val="16"/>
        </w:rPr>
        <w:t>Calderón</w:t>
      </w:r>
      <w:r>
        <w:rPr>
          <w:i/>
          <w:color w:val="231F20"/>
          <w:spacing w:val="40"/>
          <w:sz w:val="16"/>
        </w:rPr>
        <w:t> </w:t>
      </w:r>
      <w:r>
        <w:rPr>
          <w:i/>
          <w:color w:val="231F20"/>
          <w:sz w:val="16"/>
        </w:rPr>
        <w:t>Camino</w:t>
      </w:r>
      <w:r>
        <w:rPr>
          <w:color w:val="231F20"/>
          <w:sz w:val="16"/>
        </w:rPr>
        <w:t>, curia.europa.eu/juris/liste.jsf?num=C-618/10, para. 46.</w:t>
      </w:r>
    </w:p>
    <w:p>
      <w:pPr>
        <w:pStyle w:val="ListParagraph"/>
        <w:numPr>
          <w:ilvl w:val="0"/>
          <w:numId w:val="3"/>
        </w:numPr>
        <w:tabs>
          <w:tab w:pos="866" w:val="left" w:leader="none"/>
        </w:tabs>
        <w:spacing w:line="290" w:lineRule="auto" w:before="1" w:after="0"/>
        <w:ind w:left="866" w:right="868" w:hanging="354"/>
        <w:jc w:val="both"/>
        <w:rPr>
          <w:sz w:val="16"/>
        </w:rPr>
      </w:pPr>
      <w:r>
        <w:rPr>
          <w:color w:val="231F20"/>
          <w:spacing w:val="-2"/>
          <w:sz w:val="16"/>
        </w:rPr>
        <w:t>ECJ</w:t>
      </w:r>
      <w:r>
        <w:rPr>
          <w:color w:val="231F20"/>
          <w:spacing w:val="-4"/>
          <w:sz w:val="16"/>
        </w:rPr>
        <w:t> </w:t>
      </w:r>
      <w:r>
        <w:rPr>
          <w:color w:val="231F20"/>
          <w:spacing w:val="-2"/>
          <w:sz w:val="16"/>
        </w:rPr>
        <w:t>21 Dec.</w:t>
      </w:r>
      <w:r>
        <w:rPr>
          <w:color w:val="231F20"/>
          <w:spacing w:val="-3"/>
          <w:sz w:val="16"/>
        </w:rPr>
        <w:t> </w:t>
      </w:r>
      <w:r>
        <w:rPr>
          <w:color w:val="231F20"/>
          <w:spacing w:val="-2"/>
          <w:sz w:val="16"/>
        </w:rPr>
        <w:t>2016,</w:t>
      </w:r>
      <w:r>
        <w:rPr>
          <w:color w:val="231F20"/>
          <w:spacing w:val="-3"/>
          <w:sz w:val="16"/>
        </w:rPr>
        <w:t> </w:t>
      </w:r>
      <w:r>
        <w:rPr>
          <w:color w:val="231F20"/>
          <w:spacing w:val="-2"/>
          <w:sz w:val="16"/>
        </w:rPr>
        <w:t>ECLI:EU:C:2016:980</w:t>
      </w:r>
      <w:r>
        <w:rPr>
          <w:i/>
          <w:color w:val="231F20"/>
          <w:spacing w:val="-2"/>
          <w:sz w:val="16"/>
        </w:rPr>
        <w:t>,</w:t>
      </w:r>
      <w:r>
        <w:rPr>
          <w:i/>
          <w:color w:val="231F20"/>
          <w:spacing w:val="-3"/>
          <w:sz w:val="16"/>
        </w:rPr>
        <w:t> </w:t>
      </w:r>
      <w:r>
        <w:rPr>
          <w:i/>
          <w:color w:val="231F20"/>
          <w:spacing w:val="-2"/>
          <w:sz w:val="16"/>
        </w:rPr>
        <w:t>Francisco</w:t>
      </w:r>
      <w:r>
        <w:rPr>
          <w:i/>
          <w:color w:val="231F20"/>
          <w:spacing w:val="-5"/>
          <w:sz w:val="16"/>
        </w:rPr>
        <w:t> </w:t>
      </w:r>
      <w:r>
        <w:rPr>
          <w:i/>
          <w:color w:val="231F20"/>
          <w:spacing w:val="-2"/>
          <w:sz w:val="16"/>
        </w:rPr>
        <w:t>Gutiérrez</w:t>
      </w:r>
      <w:r>
        <w:rPr>
          <w:i/>
          <w:color w:val="231F20"/>
          <w:spacing w:val="-3"/>
          <w:sz w:val="16"/>
        </w:rPr>
        <w:t> </w:t>
      </w:r>
      <w:r>
        <w:rPr>
          <w:i/>
          <w:color w:val="231F20"/>
          <w:spacing w:val="-2"/>
          <w:sz w:val="16"/>
        </w:rPr>
        <w:t>Naranjo</w:t>
      </w:r>
      <w:r>
        <w:rPr>
          <w:i/>
          <w:color w:val="231F20"/>
          <w:spacing w:val="-5"/>
          <w:sz w:val="16"/>
        </w:rPr>
        <w:t> </w:t>
      </w:r>
      <w:r>
        <w:rPr>
          <w:color w:val="231F20"/>
          <w:spacing w:val="-2"/>
          <w:sz w:val="16"/>
        </w:rPr>
        <w:t>v.</w:t>
      </w:r>
      <w:r>
        <w:rPr>
          <w:color w:val="231F20"/>
          <w:spacing w:val="-3"/>
          <w:sz w:val="16"/>
        </w:rPr>
        <w:t> </w:t>
      </w:r>
      <w:r>
        <w:rPr>
          <w:i/>
          <w:color w:val="231F20"/>
          <w:spacing w:val="-2"/>
          <w:sz w:val="16"/>
        </w:rPr>
        <w:t>Cajasur</w:t>
      </w:r>
      <w:r>
        <w:rPr>
          <w:i/>
          <w:color w:val="231F20"/>
          <w:spacing w:val="-3"/>
          <w:sz w:val="16"/>
        </w:rPr>
        <w:t> </w:t>
      </w:r>
      <w:r>
        <w:rPr>
          <w:i/>
          <w:color w:val="231F20"/>
          <w:spacing w:val="-2"/>
          <w:sz w:val="16"/>
        </w:rPr>
        <w:t>Banco</w:t>
      </w:r>
      <w:r>
        <w:rPr>
          <w:i/>
          <w:color w:val="231F20"/>
          <w:spacing w:val="-3"/>
          <w:sz w:val="16"/>
        </w:rPr>
        <w:t> </w:t>
      </w:r>
      <w:r>
        <w:rPr>
          <w:i/>
          <w:color w:val="231F20"/>
          <w:spacing w:val="-2"/>
          <w:sz w:val="16"/>
        </w:rPr>
        <w:t>SAU,</w:t>
      </w:r>
      <w:r>
        <w:rPr>
          <w:i/>
          <w:color w:val="231F20"/>
          <w:spacing w:val="-3"/>
          <w:sz w:val="16"/>
        </w:rPr>
        <w:t> </w:t>
      </w:r>
      <w:r>
        <w:rPr>
          <w:i/>
          <w:color w:val="231F20"/>
          <w:spacing w:val="-2"/>
          <w:sz w:val="16"/>
        </w:rPr>
        <w:t>Ana</w:t>
      </w:r>
      <w:r>
        <w:rPr>
          <w:i/>
          <w:color w:val="231F20"/>
          <w:spacing w:val="40"/>
          <w:sz w:val="16"/>
        </w:rPr>
        <w:t> </w:t>
      </w:r>
      <w:r>
        <w:rPr>
          <w:i/>
          <w:color w:val="231F20"/>
          <w:spacing w:val="-2"/>
          <w:sz w:val="16"/>
        </w:rPr>
        <w:t>María</w:t>
      </w:r>
      <w:r>
        <w:rPr>
          <w:i/>
          <w:color w:val="231F20"/>
          <w:spacing w:val="-4"/>
          <w:sz w:val="16"/>
        </w:rPr>
        <w:t> </w:t>
      </w:r>
      <w:r>
        <w:rPr>
          <w:i/>
          <w:color w:val="231F20"/>
          <w:spacing w:val="-2"/>
          <w:sz w:val="16"/>
        </w:rPr>
        <w:t>Palacios</w:t>
      </w:r>
      <w:r>
        <w:rPr>
          <w:i/>
          <w:color w:val="231F20"/>
          <w:spacing w:val="-5"/>
          <w:sz w:val="16"/>
        </w:rPr>
        <w:t> </w:t>
      </w:r>
      <w:r>
        <w:rPr>
          <w:i/>
          <w:color w:val="231F20"/>
          <w:spacing w:val="-2"/>
          <w:sz w:val="16"/>
        </w:rPr>
        <w:t>Martínez</w:t>
      </w:r>
      <w:r>
        <w:rPr>
          <w:i/>
          <w:color w:val="231F20"/>
          <w:spacing w:val="-4"/>
          <w:sz w:val="16"/>
        </w:rPr>
        <w:t> </w:t>
      </w:r>
      <w:r>
        <w:rPr>
          <w:color w:val="231F20"/>
          <w:spacing w:val="-2"/>
          <w:sz w:val="16"/>
        </w:rPr>
        <w:t>v.</w:t>
      </w:r>
      <w:r>
        <w:rPr>
          <w:color w:val="231F20"/>
          <w:spacing w:val="-5"/>
          <w:sz w:val="16"/>
        </w:rPr>
        <w:t> </w:t>
      </w:r>
      <w:r>
        <w:rPr>
          <w:i/>
          <w:color w:val="231F20"/>
          <w:spacing w:val="-2"/>
          <w:sz w:val="16"/>
        </w:rPr>
        <w:t>Banco</w:t>
      </w:r>
      <w:r>
        <w:rPr>
          <w:i/>
          <w:color w:val="231F20"/>
          <w:spacing w:val="-4"/>
          <w:sz w:val="16"/>
        </w:rPr>
        <w:t> </w:t>
      </w:r>
      <w:r>
        <w:rPr>
          <w:i/>
          <w:color w:val="231F20"/>
          <w:spacing w:val="-2"/>
          <w:sz w:val="16"/>
        </w:rPr>
        <w:t>Bilbao</w:t>
      </w:r>
      <w:r>
        <w:rPr>
          <w:i/>
          <w:color w:val="231F20"/>
          <w:spacing w:val="-5"/>
          <w:sz w:val="16"/>
        </w:rPr>
        <w:t> </w:t>
      </w:r>
      <w:r>
        <w:rPr>
          <w:i/>
          <w:color w:val="231F20"/>
          <w:spacing w:val="-2"/>
          <w:sz w:val="16"/>
        </w:rPr>
        <w:t>Vizcaya</w:t>
      </w:r>
      <w:r>
        <w:rPr>
          <w:i/>
          <w:color w:val="231F20"/>
          <w:spacing w:val="-5"/>
          <w:sz w:val="16"/>
        </w:rPr>
        <w:t> </w:t>
      </w:r>
      <w:r>
        <w:rPr>
          <w:i/>
          <w:color w:val="231F20"/>
          <w:spacing w:val="-2"/>
          <w:sz w:val="16"/>
        </w:rPr>
        <w:t>Argentaria</w:t>
      </w:r>
      <w:r>
        <w:rPr>
          <w:i/>
          <w:color w:val="231F20"/>
          <w:spacing w:val="-5"/>
          <w:sz w:val="16"/>
        </w:rPr>
        <w:t> </w:t>
      </w:r>
      <w:r>
        <w:rPr>
          <w:i/>
          <w:color w:val="231F20"/>
          <w:spacing w:val="-2"/>
          <w:sz w:val="16"/>
        </w:rPr>
        <w:t>SA</w:t>
      </w:r>
      <w:r>
        <w:rPr>
          <w:i/>
          <w:color w:val="231F20"/>
          <w:spacing w:val="-4"/>
          <w:sz w:val="16"/>
        </w:rPr>
        <w:t> </w:t>
      </w:r>
      <w:r>
        <w:rPr>
          <w:i/>
          <w:color w:val="231F20"/>
          <w:spacing w:val="-2"/>
          <w:sz w:val="16"/>
        </w:rPr>
        <w:t>(BBVA),</w:t>
      </w:r>
      <w:r>
        <w:rPr>
          <w:i/>
          <w:color w:val="231F20"/>
          <w:spacing w:val="-5"/>
          <w:sz w:val="16"/>
        </w:rPr>
        <w:t> </w:t>
      </w:r>
      <w:r>
        <w:rPr>
          <w:i/>
          <w:color w:val="231F20"/>
          <w:spacing w:val="-2"/>
          <w:sz w:val="16"/>
        </w:rPr>
        <w:t>Banco</w:t>
      </w:r>
      <w:r>
        <w:rPr>
          <w:i/>
          <w:color w:val="231F20"/>
          <w:spacing w:val="-4"/>
          <w:sz w:val="16"/>
        </w:rPr>
        <w:t> </w:t>
      </w:r>
      <w:r>
        <w:rPr>
          <w:i/>
          <w:color w:val="231F20"/>
          <w:spacing w:val="-2"/>
          <w:sz w:val="16"/>
        </w:rPr>
        <w:t>Popular</w:t>
      </w:r>
      <w:r>
        <w:rPr>
          <w:i/>
          <w:color w:val="231F20"/>
          <w:spacing w:val="-5"/>
          <w:sz w:val="16"/>
        </w:rPr>
        <w:t> </w:t>
      </w:r>
      <w:r>
        <w:rPr>
          <w:i/>
          <w:color w:val="231F20"/>
          <w:spacing w:val="-2"/>
          <w:sz w:val="16"/>
        </w:rPr>
        <w:t>Español</w:t>
      </w:r>
      <w:r>
        <w:rPr>
          <w:i/>
          <w:color w:val="231F20"/>
          <w:spacing w:val="40"/>
          <w:sz w:val="16"/>
        </w:rPr>
        <w:t> </w:t>
      </w:r>
      <w:r>
        <w:rPr>
          <w:i/>
          <w:color w:val="231F20"/>
          <w:spacing w:val="-2"/>
          <w:sz w:val="16"/>
        </w:rPr>
        <w:t>SA </w:t>
      </w:r>
      <w:r>
        <w:rPr>
          <w:color w:val="231F20"/>
          <w:spacing w:val="-2"/>
          <w:sz w:val="16"/>
        </w:rPr>
        <w:t>v.</w:t>
      </w:r>
      <w:r>
        <w:rPr>
          <w:color w:val="231F20"/>
          <w:spacing w:val="-3"/>
          <w:sz w:val="16"/>
        </w:rPr>
        <w:t> </w:t>
      </w:r>
      <w:r>
        <w:rPr>
          <w:i/>
          <w:color w:val="231F20"/>
          <w:spacing w:val="-2"/>
          <w:sz w:val="16"/>
        </w:rPr>
        <w:t>Emilio</w:t>
      </w:r>
      <w:r>
        <w:rPr>
          <w:i/>
          <w:color w:val="231F20"/>
          <w:spacing w:val="-3"/>
          <w:sz w:val="16"/>
        </w:rPr>
        <w:t> </w:t>
      </w:r>
      <w:r>
        <w:rPr>
          <w:i/>
          <w:color w:val="231F20"/>
          <w:spacing w:val="-2"/>
          <w:sz w:val="16"/>
        </w:rPr>
        <w:t>Irles</w:t>
      </w:r>
      <w:r>
        <w:rPr>
          <w:i/>
          <w:color w:val="231F20"/>
          <w:spacing w:val="-3"/>
          <w:sz w:val="16"/>
        </w:rPr>
        <w:t> </w:t>
      </w:r>
      <w:r>
        <w:rPr>
          <w:i/>
          <w:color w:val="231F20"/>
          <w:spacing w:val="-2"/>
          <w:sz w:val="16"/>
        </w:rPr>
        <w:t>López</w:t>
      </w:r>
      <w:r>
        <w:rPr>
          <w:i/>
          <w:color w:val="231F20"/>
          <w:spacing w:val="-3"/>
          <w:sz w:val="16"/>
        </w:rPr>
        <w:t> </w:t>
      </w:r>
      <w:r>
        <w:rPr>
          <w:i/>
          <w:color w:val="231F20"/>
          <w:spacing w:val="-2"/>
          <w:sz w:val="16"/>
        </w:rPr>
        <w:t>and</w:t>
      </w:r>
      <w:r>
        <w:rPr>
          <w:i/>
          <w:color w:val="231F20"/>
          <w:spacing w:val="-3"/>
          <w:sz w:val="16"/>
        </w:rPr>
        <w:t> </w:t>
      </w:r>
      <w:r>
        <w:rPr>
          <w:i/>
          <w:color w:val="231F20"/>
          <w:spacing w:val="-2"/>
          <w:sz w:val="16"/>
        </w:rPr>
        <w:t>Teresa</w:t>
      </w:r>
      <w:r>
        <w:rPr>
          <w:i/>
          <w:color w:val="231F20"/>
          <w:spacing w:val="-3"/>
          <w:sz w:val="16"/>
        </w:rPr>
        <w:t> </w:t>
      </w:r>
      <w:r>
        <w:rPr>
          <w:i/>
          <w:color w:val="231F20"/>
          <w:spacing w:val="-2"/>
          <w:sz w:val="16"/>
        </w:rPr>
        <w:t>Torres</w:t>
      </w:r>
      <w:r>
        <w:rPr>
          <w:i/>
          <w:color w:val="231F20"/>
          <w:spacing w:val="-3"/>
          <w:sz w:val="16"/>
        </w:rPr>
        <w:t> </w:t>
      </w:r>
      <w:r>
        <w:rPr>
          <w:i/>
          <w:color w:val="231F20"/>
          <w:spacing w:val="-2"/>
          <w:sz w:val="16"/>
        </w:rPr>
        <w:t>Andreu</w:t>
      </w:r>
      <w:r>
        <w:rPr>
          <w:color w:val="231F20"/>
          <w:spacing w:val="-2"/>
          <w:sz w:val="16"/>
        </w:rPr>
        <w:t>,</w:t>
      </w:r>
      <w:r>
        <w:rPr>
          <w:color w:val="231F20"/>
          <w:spacing w:val="-3"/>
          <w:sz w:val="16"/>
        </w:rPr>
        <w:t> </w:t>
      </w:r>
      <w:r>
        <w:rPr>
          <w:color w:val="231F20"/>
          <w:spacing w:val="-2"/>
          <w:sz w:val="16"/>
        </w:rPr>
        <w:t>curia.europa.eu/juris/liste.jsf?num=C-154/15,</w:t>
      </w:r>
      <w:r>
        <w:rPr>
          <w:color w:val="231F20"/>
          <w:spacing w:val="40"/>
          <w:sz w:val="16"/>
        </w:rPr>
        <w:t> </w:t>
      </w:r>
      <w:r>
        <w:rPr>
          <w:color w:val="231F20"/>
          <w:sz w:val="16"/>
        </w:rPr>
        <w:t>para. 65.</w:t>
      </w:r>
    </w:p>
    <w:p>
      <w:pPr>
        <w:pStyle w:val="ListParagraph"/>
        <w:numPr>
          <w:ilvl w:val="0"/>
          <w:numId w:val="3"/>
        </w:numPr>
        <w:tabs>
          <w:tab w:pos="865" w:val="left" w:leader="none"/>
        </w:tabs>
        <w:spacing w:line="178" w:lineRule="exact" w:before="0" w:after="0"/>
        <w:ind w:left="865" w:right="0" w:hanging="353"/>
        <w:jc w:val="both"/>
        <w:rPr>
          <w:sz w:val="16"/>
        </w:rPr>
      </w:pPr>
      <w:r>
        <w:rPr>
          <w:color w:val="231F20"/>
          <w:sz w:val="16"/>
        </w:rPr>
        <w:t>M.</w:t>
      </w:r>
      <w:r>
        <w:rPr>
          <w:color w:val="231F20"/>
          <w:spacing w:val="-4"/>
          <w:sz w:val="16"/>
        </w:rPr>
        <w:t> </w:t>
      </w:r>
      <w:r>
        <w:rPr>
          <w:color w:val="231F20"/>
          <w:sz w:val="16"/>
        </w:rPr>
        <w:t>E</w:t>
      </w:r>
      <w:r>
        <w:rPr>
          <w:color w:val="231F20"/>
          <w:sz w:val="11"/>
        </w:rPr>
        <w:t>BERS</w:t>
      </w:r>
      <w:r>
        <w:rPr>
          <w:color w:val="231F20"/>
          <w:sz w:val="16"/>
        </w:rPr>
        <w:t>,</w:t>
      </w:r>
      <w:r>
        <w:rPr>
          <w:color w:val="231F20"/>
          <w:spacing w:val="-4"/>
          <w:sz w:val="16"/>
        </w:rPr>
        <w:t> </w:t>
      </w:r>
      <w:r>
        <w:rPr>
          <w:color w:val="231F20"/>
          <w:sz w:val="16"/>
        </w:rPr>
        <w:t>in</w:t>
      </w:r>
      <w:r>
        <w:rPr>
          <w:color w:val="231F20"/>
          <w:spacing w:val="-4"/>
          <w:sz w:val="16"/>
        </w:rPr>
        <w:t> </w:t>
      </w:r>
      <w:r>
        <w:rPr>
          <w:i/>
          <w:color w:val="231F20"/>
          <w:sz w:val="16"/>
        </w:rPr>
        <w:t>EC</w:t>
      </w:r>
      <w:r>
        <w:rPr>
          <w:i/>
          <w:color w:val="231F20"/>
          <w:spacing w:val="-3"/>
          <w:sz w:val="16"/>
        </w:rPr>
        <w:t> </w:t>
      </w:r>
      <w:r>
        <w:rPr>
          <w:i/>
          <w:color w:val="231F20"/>
          <w:sz w:val="16"/>
        </w:rPr>
        <w:t>Consumer</w:t>
      </w:r>
      <w:r>
        <w:rPr>
          <w:i/>
          <w:color w:val="231F20"/>
          <w:spacing w:val="-3"/>
          <w:sz w:val="16"/>
        </w:rPr>
        <w:t> </w:t>
      </w:r>
      <w:r>
        <w:rPr>
          <w:i/>
          <w:color w:val="231F20"/>
          <w:sz w:val="16"/>
        </w:rPr>
        <w:t>Law</w:t>
      </w:r>
      <w:r>
        <w:rPr>
          <w:i/>
          <w:color w:val="231F20"/>
          <w:spacing w:val="-3"/>
          <w:sz w:val="16"/>
        </w:rPr>
        <w:t> </w:t>
      </w:r>
      <w:r>
        <w:rPr>
          <w:i/>
          <w:color w:val="231F20"/>
          <w:sz w:val="16"/>
        </w:rPr>
        <w:t>Compendium</w:t>
      </w:r>
      <w:r>
        <w:rPr>
          <w:color w:val="231F20"/>
          <w:sz w:val="16"/>
        </w:rPr>
        <w:t>,</w:t>
      </w:r>
      <w:r>
        <w:rPr>
          <w:color w:val="231F20"/>
          <w:spacing w:val="-4"/>
          <w:sz w:val="16"/>
        </w:rPr>
        <w:t> </w:t>
      </w:r>
      <w:r>
        <w:rPr>
          <w:color w:val="231F20"/>
          <w:sz w:val="16"/>
        </w:rPr>
        <w:t>p</w:t>
      </w:r>
      <w:r>
        <w:rPr>
          <w:color w:val="231F20"/>
          <w:spacing w:val="-3"/>
          <w:sz w:val="16"/>
        </w:rPr>
        <w:t> </w:t>
      </w:r>
      <w:r>
        <w:rPr>
          <w:color w:val="231F20"/>
          <w:spacing w:val="-4"/>
          <w:sz w:val="16"/>
        </w:rPr>
        <w:t>201.</w:t>
      </w:r>
    </w:p>
    <w:p>
      <w:pPr>
        <w:pStyle w:val="ListParagraph"/>
        <w:numPr>
          <w:ilvl w:val="0"/>
          <w:numId w:val="3"/>
        </w:numPr>
        <w:tabs>
          <w:tab w:pos="866" w:val="left" w:leader="none"/>
        </w:tabs>
        <w:spacing w:line="285" w:lineRule="auto" w:before="34" w:after="0"/>
        <w:ind w:left="866" w:right="868" w:hanging="354"/>
        <w:jc w:val="both"/>
        <w:rPr>
          <w:sz w:val="16"/>
        </w:rPr>
      </w:pPr>
      <w:r>
        <w:rPr>
          <w:color w:val="231F20"/>
          <w:sz w:val="16"/>
        </w:rPr>
        <w:t>On</w:t>
      </w:r>
      <w:r>
        <w:rPr>
          <w:color w:val="231F20"/>
          <w:spacing w:val="-3"/>
          <w:sz w:val="16"/>
        </w:rPr>
        <w:t> </w:t>
      </w:r>
      <w:r>
        <w:rPr>
          <w:color w:val="231F20"/>
          <w:sz w:val="16"/>
        </w:rPr>
        <w:t>the</w:t>
      </w:r>
      <w:r>
        <w:rPr>
          <w:color w:val="231F20"/>
          <w:spacing w:val="-3"/>
          <w:sz w:val="16"/>
        </w:rPr>
        <w:t> </w:t>
      </w:r>
      <w:r>
        <w:rPr>
          <w:color w:val="231F20"/>
          <w:sz w:val="16"/>
        </w:rPr>
        <w:t>role</w:t>
      </w:r>
      <w:r>
        <w:rPr>
          <w:color w:val="231F20"/>
          <w:spacing w:val="-3"/>
          <w:sz w:val="16"/>
        </w:rPr>
        <w:t> </w:t>
      </w:r>
      <w:r>
        <w:rPr>
          <w:color w:val="231F20"/>
          <w:sz w:val="16"/>
        </w:rPr>
        <w:t>of</w:t>
      </w:r>
      <w:r>
        <w:rPr>
          <w:color w:val="231F20"/>
          <w:spacing w:val="-1"/>
          <w:sz w:val="16"/>
        </w:rPr>
        <w:t> </w:t>
      </w:r>
      <w:r>
        <w:rPr>
          <w:color w:val="231F20"/>
          <w:sz w:val="16"/>
        </w:rPr>
        <w:t>the</w:t>
      </w:r>
      <w:r>
        <w:rPr>
          <w:color w:val="231F20"/>
          <w:spacing w:val="-3"/>
          <w:sz w:val="16"/>
        </w:rPr>
        <w:t> </w:t>
      </w:r>
      <w:r>
        <w:rPr>
          <w:color w:val="231F20"/>
          <w:sz w:val="16"/>
        </w:rPr>
        <w:t>ECJ</w:t>
      </w:r>
      <w:r>
        <w:rPr>
          <w:color w:val="231F20"/>
          <w:spacing w:val="-3"/>
          <w:sz w:val="16"/>
        </w:rPr>
        <w:t> </w:t>
      </w:r>
      <w:r>
        <w:rPr>
          <w:color w:val="231F20"/>
          <w:sz w:val="16"/>
        </w:rPr>
        <w:t>in</w:t>
      </w:r>
      <w:r>
        <w:rPr>
          <w:color w:val="231F20"/>
          <w:spacing w:val="-3"/>
          <w:sz w:val="16"/>
        </w:rPr>
        <w:t> </w:t>
      </w:r>
      <w:r>
        <w:rPr>
          <w:color w:val="231F20"/>
          <w:sz w:val="16"/>
        </w:rPr>
        <w:t>harmonizing</w:t>
      </w:r>
      <w:r>
        <w:rPr>
          <w:color w:val="231F20"/>
          <w:spacing w:val="-3"/>
          <w:sz w:val="16"/>
        </w:rPr>
        <w:t> </w:t>
      </w:r>
      <w:r>
        <w:rPr>
          <w:color w:val="231F20"/>
          <w:sz w:val="16"/>
        </w:rPr>
        <w:t>the</w:t>
      </w:r>
      <w:r>
        <w:rPr>
          <w:color w:val="231F20"/>
          <w:spacing w:val="-3"/>
          <w:sz w:val="16"/>
        </w:rPr>
        <w:t> </w:t>
      </w:r>
      <w:r>
        <w:rPr>
          <w:color w:val="231F20"/>
          <w:sz w:val="16"/>
        </w:rPr>
        <w:t>law</w:t>
      </w:r>
      <w:r>
        <w:rPr>
          <w:color w:val="231F20"/>
          <w:spacing w:val="-4"/>
          <w:sz w:val="16"/>
        </w:rPr>
        <w:t> </w:t>
      </w:r>
      <w:r>
        <w:rPr>
          <w:color w:val="231F20"/>
          <w:sz w:val="16"/>
        </w:rPr>
        <w:t>on</w:t>
      </w:r>
      <w:r>
        <w:rPr>
          <w:color w:val="231F20"/>
          <w:spacing w:val="-3"/>
          <w:sz w:val="16"/>
        </w:rPr>
        <w:t> </w:t>
      </w:r>
      <w:r>
        <w:rPr>
          <w:color w:val="231F20"/>
          <w:sz w:val="16"/>
        </w:rPr>
        <w:t>unfair</w:t>
      </w:r>
      <w:r>
        <w:rPr>
          <w:color w:val="231F20"/>
          <w:spacing w:val="-3"/>
          <w:sz w:val="16"/>
        </w:rPr>
        <w:t> </w:t>
      </w:r>
      <w:r>
        <w:rPr>
          <w:color w:val="231F20"/>
          <w:sz w:val="16"/>
        </w:rPr>
        <w:t>terms</w:t>
      </w:r>
      <w:r>
        <w:rPr>
          <w:color w:val="231F20"/>
          <w:spacing w:val="-3"/>
          <w:sz w:val="16"/>
        </w:rPr>
        <w:t> </w:t>
      </w:r>
      <w:r>
        <w:rPr>
          <w:color w:val="231F20"/>
          <w:sz w:val="16"/>
        </w:rPr>
        <w:t>see</w:t>
      </w:r>
      <w:r>
        <w:rPr>
          <w:color w:val="231F20"/>
          <w:spacing w:val="-3"/>
          <w:sz w:val="16"/>
        </w:rPr>
        <w:t> </w:t>
      </w:r>
      <w:r>
        <w:rPr>
          <w:color w:val="231F20"/>
          <w:sz w:val="16"/>
        </w:rPr>
        <w:t>M.</w:t>
      </w:r>
      <w:r>
        <w:rPr>
          <w:color w:val="231F20"/>
          <w:spacing w:val="-3"/>
          <w:sz w:val="16"/>
        </w:rPr>
        <w:t> </w:t>
      </w:r>
      <w:r>
        <w:rPr>
          <w:color w:val="231F20"/>
          <w:sz w:val="16"/>
        </w:rPr>
        <w:t>J</w:t>
      </w:r>
      <w:r>
        <w:rPr>
          <w:color w:val="231F20"/>
          <w:sz w:val="11"/>
        </w:rPr>
        <w:t>OZON</w:t>
      </w:r>
      <w:r>
        <w:rPr>
          <w:color w:val="231F20"/>
          <w:sz w:val="16"/>
        </w:rPr>
        <w:t>,</w:t>
      </w:r>
      <w:r>
        <w:rPr>
          <w:color w:val="231F20"/>
          <w:spacing w:val="-3"/>
          <w:sz w:val="16"/>
        </w:rPr>
        <w:t> </w:t>
      </w:r>
      <w:r>
        <w:rPr>
          <w:rFonts w:ascii="Arial" w:hAnsi="Arial"/>
          <w:color w:val="231F20"/>
          <w:sz w:val="16"/>
        </w:rPr>
        <w:t>‘</w:t>
      </w:r>
      <w:r>
        <w:rPr>
          <w:color w:val="231F20"/>
          <w:sz w:val="16"/>
        </w:rPr>
        <w:t>Judicial</w:t>
      </w:r>
      <w:r>
        <w:rPr>
          <w:color w:val="231F20"/>
          <w:spacing w:val="-3"/>
          <w:sz w:val="16"/>
        </w:rPr>
        <w:t> </w:t>
      </w:r>
      <w:r>
        <w:rPr>
          <w:color w:val="231F20"/>
          <w:sz w:val="16"/>
        </w:rPr>
        <w:t>governance</w:t>
      </w:r>
      <w:r>
        <w:rPr>
          <w:color w:val="231F20"/>
          <w:spacing w:val="40"/>
          <w:sz w:val="16"/>
        </w:rPr>
        <w:t> </w:t>
      </w:r>
      <w:r>
        <w:rPr>
          <w:color w:val="231F20"/>
          <w:sz w:val="16"/>
        </w:rPr>
        <w:t>by unfair contract terms law in the EU: Proposal for a New Research Agenda for Policy and</w:t>
      </w:r>
      <w:r>
        <w:rPr>
          <w:color w:val="231F20"/>
          <w:spacing w:val="40"/>
          <w:sz w:val="16"/>
        </w:rPr>
        <w:t> </w:t>
      </w:r>
      <w:r>
        <w:rPr>
          <w:color w:val="231F20"/>
          <w:sz w:val="16"/>
        </w:rPr>
        <w:t>Doctrine</w:t>
      </w:r>
      <w:r>
        <w:rPr>
          <w:rFonts w:ascii="Arial" w:hAnsi="Arial"/>
          <w:color w:val="231F20"/>
          <w:sz w:val="16"/>
        </w:rPr>
        <w:t>’</w:t>
      </w:r>
      <w:r>
        <w:rPr>
          <w:color w:val="231F20"/>
          <w:sz w:val="16"/>
        </w:rPr>
        <w:t>, 28. </w:t>
      </w:r>
      <w:r>
        <w:rPr>
          <w:i/>
          <w:color w:val="231F20"/>
          <w:sz w:val="16"/>
        </w:rPr>
        <w:t>ERPL </w:t>
      </w:r>
      <w:r>
        <w:rPr>
          <w:color w:val="231F20"/>
          <w:sz w:val="16"/>
        </w:rPr>
        <w:t>2020, p 909, doi: 10.54648/ERPL2020054.</w:t>
      </w:r>
    </w:p>
    <w:p>
      <w:pPr>
        <w:pStyle w:val="ListParagraph"/>
        <w:numPr>
          <w:ilvl w:val="0"/>
          <w:numId w:val="3"/>
        </w:numPr>
        <w:tabs>
          <w:tab w:pos="865" w:val="left" w:leader="none"/>
        </w:tabs>
        <w:spacing w:line="240" w:lineRule="auto" w:before="3" w:after="0"/>
        <w:ind w:left="865" w:right="0" w:hanging="353"/>
        <w:jc w:val="both"/>
        <w:rPr>
          <w:sz w:val="16"/>
        </w:rPr>
      </w:pPr>
      <w:r>
        <w:rPr>
          <w:color w:val="231F20"/>
          <w:sz w:val="16"/>
        </w:rPr>
        <w:t>See</w:t>
      </w:r>
      <w:r>
        <w:rPr>
          <w:color w:val="231F20"/>
          <w:spacing w:val="14"/>
          <w:sz w:val="16"/>
        </w:rPr>
        <w:t> </w:t>
      </w:r>
      <w:r>
        <w:rPr>
          <w:color w:val="231F20"/>
          <w:sz w:val="16"/>
        </w:rPr>
        <w:t>s.</w:t>
      </w:r>
      <w:r>
        <w:rPr>
          <w:color w:val="231F20"/>
          <w:spacing w:val="14"/>
          <w:sz w:val="16"/>
        </w:rPr>
        <w:t> </w:t>
      </w:r>
      <w:r>
        <w:rPr>
          <w:color w:val="231F20"/>
          <w:sz w:val="16"/>
        </w:rPr>
        <w:t>7,</w:t>
      </w:r>
      <w:r>
        <w:rPr>
          <w:color w:val="231F20"/>
          <w:spacing w:val="15"/>
          <w:sz w:val="16"/>
        </w:rPr>
        <w:t> </w:t>
      </w:r>
      <w:r>
        <w:rPr>
          <w:color w:val="231F20"/>
          <w:spacing w:val="-2"/>
          <w:sz w:val="16"/>
        </w:rPr>
        <w:t>below.</w:t>
      </w:r>
    </w:p>
    <w:p>
      <w:pPr>
        <w:spacing w:after="0" w:line="240"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6"/>
        <w:jc w:val="both"/>
      </w:pPr>
      <w:r>
        <w:rPr>
          <w:color w:val="231F20"/>
        </w:rPr>
        <w:t>significant number of requests for preliminary rulings to the ECJ concerning the UCTD.</w:t>
      </w:r>
      <w:r>
        <w:rPr>
          <w:color w:val="231F20"/>
          <w:spacing w:val="-1"/>
        </w:rPr>
        <w:t> </w:t>
      </w:r>
      <w:r>
        <w:rPr>
          <w:color w:val="231F20"/>
        </w:rPr>
        <w:t>The</w:t>
      </w:r>
      <w:r>
        <w:rPr>
          <w:color w:val="231F20"/>
          <w:spacing w:val="-1"/>
        </w:rPr>
        <w:t> </w:t>
      </w:r>
      <w:r>
        <w:rPr>
          <w:color w:val="231F20"/>
        </w:rPr>
        <w:t>second</w:t>
      </w:r>
      <w:r>
        <w:rPr>
          <w:color w:val="231F20"/>
          <w:spacing w:val="-1"/>
        </w:rPr>
        <w:t> </w:t>
      </w:r>
      <w:r>
        <w:rPr>
          <w:color w:val="231F20"/>
        </w:rPr>
        <w:t>issue derives from</w:t>
      </w:r>
      <w:r>
        <w:rPr>
          <w:color w:val="231F20"/>
          <w:spacing w:val="-1"/>
        </w:rPr>
        <w:t> </w:t>
      </w:r>
      <w:r>
        <w:rPr>
          <w:color w:val="231F20"/>
        </w:rPr>
        <w:t>the</w:t>
      </w:r>
      <w:r>
        <w:rPr>
          <w:color w:val="231F20"/>
          <w:spacing w:val="-1"/>
        </w:rPr>
        <w:t> </w:t>
      </w:r>
      <w:r>
        <w:rPr>
          <w:color w:val="231F20"/>
        </w:rPr>
        <w:t>relationship</w:t>
      </w:r>
      <w:r>
        <w:rPr>
          <w:color w:val="231F20"/>
          <w:spacing w:val="-1"/>
        </w:rPr>
        <w:t> </w:t>
      </w:r>
      <w:r>
        <w:rPr>
          <w:color w:val="231F20"/>
        </w:rPr>
        <w:t>between</w:t>
      </w:r>
      <w:r>
        <w:rPr>
          <w:color w:val="231F20"/>
          <w:spacing w:val="-2"/>
        </w:rPr>
        <w:t> </w:t>
      </w:r>
      <w:r>
        <w:rPr>
          <w:color w:val="231F20"/>
        </w:rPr>
        <w:t>the</w:t>
      </w:r>
      <w:r>
        <w:rPr>
          <w:color w:val="231F20"/>
          <w:spacing w:val="-1"/>
        </w:rPr>
        <w:t> </w:t>
      </w:r>
      <w:r>
        <w:rPr>
          <w:color w:val="231F20"/>
        </w:rPr>
        <w:t>consequences for</w:t>
      </w:r>
      <w:r>
        <w:rPr>
          <w:color w:val="231F20"/>
          <w:spacing w:val="-10"/>
        </w:rPr>
        <w:t> </w:t>
      </w:r>
      <w:r>
        <w:rPr>
          <w:color w:val="231F20"/>
        </w:rPr>
        <w:t>unfair</w:t>
      </w:r>
      <w:r>
        <w:rPr>
          <w:color w:val="231F20"/>
          <w:spacing w:val="-9"/>
        </w:rPr>
        <w:t> </w:t>
      </w:r>
      <w:r>
        <w:rPr>
          <w:color w:val="231F20"/>
        </w:rPr>
        <w:t>terms</w:t>
      </w:r>
      <w:r>
        <w:rPr>
          <w:color w:val="231F20"/>
          <w:spacing w:val="-9"/>
        </w:rPr>
        <w:t> </w:t>
      </w:r>
      <w:r>
        <w:rPr>
          <w:color w:val="231F20"/>
        </w:rPr>
        <w:t>and</w:t>
      </w:r>
      <w:r>
        <w:rPr>
          <w:color w:val="231F20"/>
          <w:spacing w:val="-9"/>
        </w:rPr>
        <w:t> </w:t>
      </w:r>
      <w:r>
        <w:rPr>
          <w:color w:val="231F20"/>
        </w:rPr>
        <w:t>the</w:t>
      </w:r>
      <w:r>
        <w:rPr>
          <w:color w:val="231F20"/>
          <w:spacing w:val="-9"/>
        </w:rPr>
        <w:t> </w:t>
      </w:r>
      <w:r>
        <w:rPr>
          <w:color w:val="231F20"/>
        </w:rPr>
        <w:t>general</w:t>
      </w:r>
      <w:r>
        <w:rPr>
          <w:color w:val="231F20"/>
          <w:spacing w:val="-9"/>
        </w:rPr>
        <w:t> </w:t>
      </w:r>
      <w:r>
        <w:rPr>
          <w:color w:val="231F20"/>
        </w:rPr>
        <w:t>contract</w:t>
      </w:r>
      <w:r>
        <w:rPr>
          <w:color w:val="231F20"/>
          <w:spacing w:val="-9"/>
        </w:rPr>
        <w:t> </w:t>
      </w:r>
      <w:r>
        <w:rPr>
          <w:color w:val="231F20"/>
        </w:rPr>
        <w:t>laws</w:t>
      </w:r>
      <w:r>
        <w:rPr>
          <w:color w:val="231F20"/>
          <w:spacing w:val="-9"/>
        </w:rPr>
        <w:t> </w:t>
      </w:r>
      <w:r>
        <w:rPr>
          <w:color w:val="231F20"/>
        </w:rPr>
        <w:t>of</w:t>
      </w:r>
      <w:r>
        <w:rPr>
          <w:color w:val="231F20"/>
          <w:spacing w:val="-7"/>
        </w:rPr>
        <w:t> </w:t>
      </w:r>
      <w:r>
        <w:rPr>
          <w:color w:val="231F20"/>
        </w:rPr>
        <w:t>the</w:t>
      </w:r>
      <w:r>
        <w:rPr>
          <w:color w:val="231F20"/>
          <w:spacing w:val="-8"/>
        </w:rPr>
        <w:t> </w:t>
      </w:r>
      <w:r>
        <w:rPr>
          <w:color w:val="231F20"/>
        </w:rPr>
        <w:t>Member</w:t>
      </w:r>
      <w:r>
        <w:rPr>
          <w:color w:val="231F20"/>
          <w:spacing w:val="-9"/>
        </w:rPr>
        <w:t> </w:t>
      </w:r>
      <w:r>
        <w:rPr>
          <w:color w:val="231F20"/>
        </w:rPr>
        <w:t>States,</w:t>
      </w:r>
      <w:r>
        <w:rPr>
          <w:color w:val="231F20"/>
          <w:spacing w:val="-9"/>
        </w:rPr>
        <w:t> </w:t>
      </w:r>
      <w:r>
        <w:rPr>
          <w:color w:val="231F20"/>
        </w:rPr>
        <w:t>which</w:t>
      </w:r>
      <w:r>
        <w:rPr>
          <w:color w:val="231F20"/>
          <w:spacing w:val="-9"/>
        </w:rPr>
        <w:t> </w:t>
      </w:r>
      <w:r>
        <w:rPr>
          <w:color w:val="231F20"/>
        </w:rPr>
        <w:t>should define the non-harmonized aspects of the remedy. Relevant EU principles </w:t>
      </w:r>
      <w:r>
        <w:rPr>
          <w:color w:val="231F20"/>
        </w:rPr>
        <w:t>for Article 6(1) UCTD, including dissuasiveness and weaker party protection, could be at odds with national private law principles, creating clashes. This has led to criticism of some ECJ rulings on the UCTD, especially when they rely on EU regulatory aims to define the private law remedy under Article 6(1) UCTD.</w:t>
      </w:r>
      <w:r>
        <w:rPr>
          <w:color w:val="231F20"/>
          <w:vertAlign w:val="superscript"/>
        </w:rPr>
        <w:t>12</w:t>
      </w:r>
    </w:p>
    <w:p>
      <w:pPr>
        <w:pStyle w:val="ListParagraph"/>
        <w:numPr>
          <w:ilvl w:val="0"/>
          <w:numId w:val="2"/>
        </w:numPr>
        <w:tabs>
          <w:tab w:pos="1218" w:val="left" w:leader="none"/>
        </w:tabs>
        <w:spacing w:line="288" w:lineRule="auto" w:before="119" w:after="0"/>
        <w:ind w:left="871" w:right="866" w:firstLine="0"/>
        <w:jc w:val="both"/>
        <w:rPr>
          <w:sz w:val="19"/>
        </w:rPr>
      </w:pPr>
      <w:r>
        <w:rPr>
          <w:color w:val="231F20"/>
          <w:sz w:val="19"/>
        </w:rPr>
        <w:t>This paper presents the status quo of the consequences for unfair terms, according to the interpretation of the ECJ. In that task, it provides reasons for </w:t>
      </w:r>
      <w:r>
        <w:rPr>
          <w:color w:val="231F20"/>
          <w:spacing w:val="-2"/>
          <w:sz w:val="19"/>
        </w:rPr>
        <w:t>seemingly</w:t>
      </w:r>
      <w:r>
        <w:rPr>
          <w:color w:val="231F20"/>
          <w:spacing w:val="-5"/>
          <w:sz w:val="19"/>
        </w:rPr>
        <w:t> </w:t>
      </w:r>
      <w:r>
        <w:rPr>
          <w:color w:val="231F20"/>
          <w:spacing w:val="-2"/>
          <w:sz w:val="19"/>
        </w:rPr>
        <w:t>contradictory</w:t>
      </w:r>
      <w:r>
        <w:rPr>
          <w:color w:val="231F20"/>
          <w:spacing w:val="-3"/>
          <w:sz w:val="19"/>
        </w:rPr>
        <w:t> </w:t>
      </w:r>
      <w:r>
        <w:rPr>
          <w:color w:val="231F20"/>
          <w:spacing w:val="-2"/>
          <w:sz w:val="19"/>
        </w:rPr>
        <w:t>judgments</w:t>
      </w:r>
      <w:r>
        <w:rPr>
          <w:color w:val="231F20"/>
          <w:spacing w:val="-4"/>
          <w:sz w:val="19"/>
        </w:rPr>
        <w:t> </w:t>
      </w:r>
      <w:r>
        <w:rPr>
          <w:color w:val="231F20"/>
          <w:spacing w:val="-2"/>
          <w:sz w:val="19"/>
        </w:rPr>
        <w:t>and</w:t>
      </w:r>
      <w:r>
        <w:rPr>
          <w:color w:val="231F20"/>
          <w:spacing w:val="-4"/>
          <w:sz w:val="19"/>
        </w:rPr>
        <w:t> </w:t>
      </w:r>
      <w:r>
        <w:rPr>
          <w:color w:val="231F20"/>
          <w:spacing w:val="-2"/>
          <w:sz w:val="19"/>
        </w:rPr>
        <w:t>engages</w:t>
      </w:r>
      <w:r>
        <w:rPr>
          <w:color w:val="231F20"/>
          <w:spacing w:val="-4"/>
          <w:sz w:val="19"/>
        </w:rPr>
        <w:t> </w:t>
      </w:r>
      <w:r>
        <w:rPr>
          <w:color w:val="231F20"/>
          <w:spacing w:val="-2"/>
          <w:sz w:val="19"/>
        </w:rPr>
        <w:t>with</w:t>
      </w:r>
      <w:r>
        <w:rPr>
          <w:color w:val="231F20"/>
          <w:spacing w:val="-4"/>
          <w:sz w:val="19"/>
        </w:rPr>
        <w:t> </w:t>
      </w:r>
      <w:r>
        <w:rPr>
          <w:color w:val="231F20"/>
          <w:spacing w:val="-2"/>
          <w:sz w:val="19"/>
        </w:rPr>
        <w:t>inconsistent</w:t>
      </w:r>
      <w:r>
        <w:rPr>
          <w:color w:val="231F20"/>
          <w:spacing w:val="-3"/>
          <w:sz w:val="19"/>
        </w:rPr>
        <w:t> </w:t>
      </w:r>
      <w:r>
        <w:rPr>
          <w:color w:val="231F20"/>
          <w:spacing w:val="-2"/>
          <w:sz w:val="19"/>
        </w:rPr>
        <w:t>rulings.</w:t>
      </w:r>
      <w:r>
        <w:rPr>
          <w:color w:val="231F20"/>
          <w:spacing w:val="-4"/>
          <w:sz w:val="19"/>
        </w:rPr>
        <w:t> </w:t>
      </w:r>
      <w:r>
        <w:rPr>
          <w:color w:val="231F20"/>
          <w:spacing w:val="-2"/>
          <w:sz w:val="19"/>
        </w:rPr>
        <w:t>To</w:t>
      </w:r>
      <w:r>
        <w:rPr>
          <w:color w:val="231F20"/>
          <w:spacing w:val="-5"/>
          <w:sz w:val="19"/>
        </w:rPr>
        <w:t> </w:t>
      </w:r>
      <w:r>
        <w:rPr>
          <w:color w:val="231F20"/>
          <w:spacing w:val="-2"/>
          <w:sz w:val="19"/>
        </w:rPr>
        <w:t>navi- </w:t>
      </w:r>
      <w:r>
        <w:rPr>
          <w:color w:val="231F20"/>
          <w:sz w:val="19"/>
        </w:rPr>
        <w:t>gate these troubled waters, this paper refers to the general principles of EU law, even</w:t>
      </w:r>
      <w:r>
        <w:rPr>
          <w:color w:val="231F20"/>
          <w:spacing w:val="-4"/>
          <w:sz w:val="19"/>
        </w:rPr>
        <w:t> </w:t>
      </w:r>
      <w:r>
        <w:rPr>
          <w:color w:val="231F20"/>
          <w:sz w:val="19"/>
        </w:rPr>
        <w:t>beyond</w:t>
      </w:r>
      <w:r>
        <w:rPr>
          <w:color w:val="231F20"/>
          <w:spacing w:val="-6"/>
          <w:sz w:val="19"/>
        </w:rPr>
        <w:t> </w:t>
      </w:r>
      <w:r>
        <w:rPr>
          <w:color w:val="231F20"/>
          <w:sz w:val="19"/>
        </w:rPr>
        <w:t>those</w:t>
      </w:r>
      <w:r>
        <w:rPr>
          <w:color w:val="231F20"/>
          <w:spacing w:val="-5"/>
          <w:sz w:val="19"/>
        </w:rPr>
        <w:t> </w:t>
      </w:r>
      <w:r>
        <w:rPr>
          <w:color w:val="231F20"/>
          <w:sz w:val="19"/>
        </w:rPr>
        <w:t>that</w:t>
      </w:r>
      <w:r>
        <w:rPr>
          <w:color w:val="231F20"/>
          <w:spacing w:val="-2"/>
          <w:sz w:val="19"/>
        </w:rPr>
        <w:t> </w:t>
      </w:r>
      <w:r>
        <w:rPr>
          <w:color w:val="231F20"/>
          <w:sz w:val="19"/>
        </w:rPr>
        <w:t>are</w:t>
      </w:r>
      <w:r>
        <w:rPr>
          <w:color w:val="231F20"/>
          <w:spacing w:val="-4"/>
          <w:sz w:val="19"/>
        </w:rPr>
        <w:t> </w:t>
      </w:r>
      <w:r>
        <w:rPr>
          <w:color w:val="231F20"/>
          <w:sz w:val="19"/>
        </w:rPr>
        <w:t>explicit</w:t>
      </w:r>
      <w:r>
        <w:rPr>
          <w:color w:val="231F20"/>
          <w:spacing w:val="-5"/>
          <w:sz w:val="19"/>
        </w:rPr>
        <w:t> </w:t>
      </w:r>
      <w:r>
        <w:rPr>
          <w:color w:val="231F20"/>
          <w:sz w:val="19"/>
        </w:rPr>
        <w:t>in</w:t>
      </w:r>
      <w:r>
        <w:rPr>
          <w:color w:val="231F20"/>
          <w:spacing w:val="-6"/>
          <w:sz w:val="19"/>
        </w:rPr>
        <w:t> </w:t>
      </w:r>
      <w:r>
        <w:rPr>
          <w:color w:val="231F20"/>
          <w:sz w:val="19"/>
        </w:rPr>
        <w:t>the</w:t>
      </w:r>
      <w:r>
        <w:rPr>
          <w:color w:val="231F20"/>
          <w:spacing w:val="-5"/>
          <w:sz w:val="19"/>
        </w:rPr>
        <w:t> </w:t>
      </w:r>
      <w:r>
        <w:rPr>
          <w:color w:val="231F20"/>
          <w:sz w:val="19"/>
        </w:rPr>
        <w:t>Court</w:t>
      </w:r>
      <w:r>
        <w:rPr>
          <w:rFonts w:ascii="Arial" w:hAnsi="Arial"/>
          <w:color w:val="231F20"/>
          <w:sz w:val="19"/>
        </w:rPr>
        <w:t>’</w:t>
      </w:r>
      <w:r>
        <w:rPr>
          <w:color w:val="231F20"/>
          <w:sz w:val="19"/>
        </w:rPr>
        <w:t>s</w:t>
      </w:r>
      <w:r>
        <w:rPr>
          <w:color w:val="231F20"/>
          <w:spacing w:val="-5"/>
          <w:sz w:val="19"/>
        </w:rPr>
        <w:t> </w:t>
      </w:r>
      <w:r>
        <w:rPr>
          <w:color w:val="231F20"/>
          <w:sz w:val="19"/>
        </w:rPr>
        <w:t>decisions.</w:t>
      </w:r>
      <w:r>
        <w:rPr>
          <w:color w:val="231F20"/>
          <w:spacing w:val="-5"/>
          <w:sz w:val="19"/>
        </w:rPr>
        <w:t> </w:t>
      </w:r>
      <w:r>
        <w:rPr>
          <w:color w:val="231F20"/>
          <w:sz w:val="19"/>
        </w:rPr>
        <w:t>It</w:t>
      </w:r>
      <w:r>
        <w:rPr>
          <w:color w:val="231F20"/>
          <w:spacing w:val="-4"/>
          <w:sz w:val="19"/>
        </w:rPr>
        <w:t> </w:t>
      </w:r>
      <w:r>
        <w:rPr>
          <w:color w:val="231F20"/>
          <w:sz w:val="19"/>
        </w:rPr>
        <w:t>is</w:t>
      </w:r>
      <w:r>
        <w:rPr>
          <w:color w:val="231F20"/>
          <w:spacing w:val="-5"/>
          <w:sz w:val="19"/>
        </w:rPr>
        <w:t> </w:t>
      </w:r>
      <w:r>
        <w:rPr>
          <w:color w:val="231F20"/>
          <w:sz w:val="19"/>
        </w:rPr>
        <w:t>claimed</w:t>
      </w:r>
      <w:r>
        <w:rPr>
          <w:color w:val="231F20"/>
          <w:spacing w:val="-4"/>
          <w:sz w:val="19"/>
        </w:rPr>
        <w:t> </w:t>
      </w:r>
      <w:r>
        <w:rPr>
          <w:color w:val="231F20"/>
          <w:sz w:val="19"/>
        </w:rPr>
        <w:t>here</w:t>
      </w:r>
      <w:r>
        <w:rPr>
          <w:color w:val="231F20"/>
          <w:spacing w:val="-5"/>
          <w:sz w:val="19"/>
        </w:rPr>
        <w:t> </w:t>
      </w:r>
      <w:r>
        <w:rPr>
          <w:color w:val="231F20"/>
          <w:sz w:val="19"/>
        </w:rPr>
        <w:t>that </w:t>
      </w:r>
      <w:r>
        <w:rPr>
          <w:color w:val="231F20"/>
          <w:spacing w:val="-2"/>
          <w:sz w:val="19"/>
        </w:rPr>
        <w:t>those</w:t>
      </w:r>
      <w:r>
        <w:rPr>
          <w:color w:val="231F20"/>
          <w:spacing w:val="-7"/>
          <w:sz w:val="19"/>
        </w:rPr>
        <w:t> </w:t>
      </w:r>
      <w:r>
        <w:rPr>
          <w:color w:val="231F20"/>
          <w:spacing w:val="-2"/>
          <w:sz w:val="19"/>
        </w:rPr>
        <w:t>general</w:t>
      </w:r>
      <w:r>
        <w:rPr>
          <w:color w:val="231F20"/>
          <w:spacing w:val="-6"/>
          <w:sz w:val="19"/>
        </w:rPr>
        <w:t> </w:t>
      </w:r>
      <w:r>
        <w:rPr>
          <w:color w:val="231F20"/>
          <w:spacing w:val="-2"/>
          <w:sz w:val="19"/>
        </w:rPr>
        <w:t>principles</w:t>
      </w:r>
      <w:r>
        <w:rPr>
          <w:color w:val="231F20"/>
          <w:spacing w:val="-6"/>
          <w:sz w:val="19"/>
        </w:rPr>
        <w:t> </w:t>
      </w:r>
      <w:r>
        <w:rPr>
          <w:color w:val="231F20"/>
          <w:spacing w:val="-2"/>
          <w:sz w:val="19"/>
        </w:rPr>
        <w:t>explain</w:t>
      </w:r>
      <w:r>
        <w:rPr>
          <w:color w:val="231F20"/>
          <w:spacing w:val="-8"/>
          <w:sz w:val="19"/>
        </w:rPr>
        <w:t> </w:t>
      </w:r>
      <w:r>
        <w:rPr>
          <w:color w:val="231F20"/>
          <w:spacing w:val="-2"/>
          <w:sz w:val="19"/>
        </w:rPr>
        <w:t>the</w:t>
      </w:r>
      <w:r>
        <w:rPr>
          <w:color w:val="231F20"/>
          <w:spacing w:val="-7"/>
          <w:sz w:val="19"/>
        </w:rPr>
        <w:t> </w:t>
      </w:r>
      <w:r>
        <w:rPr>
          <w:color w:val="231F20"/>
          <w:spacing w:val="-2"/>
          <w:sz w:val="19"/>
        </w:rPr>
        <w:t>evolution</w:t>
      </w:r>
      <w:r>
        <w:rPr>
          <w:color w:val="231F20"/>
          <w:spacing w:val="-8"/>
          <w:sz w:val="19"/>
        </w:rPr>
        <w:t> </w:t>
      </w:r>
      <w:r>
        <w:rPr>
          <w:color w:val="231F20"/>
          <w:spacing w:val="-2"/>
          <w:sz w:val="19"/>
        </w:rPr>
        <w:t>of</w:t>
      </w:r>
      <w:r>
        <w:rPr>
          <w:color w:val="231F20"/>
          <w:spacing w:val="-3"/>
          <w:sz w:val="19"/>
        </w:rPr>
        <w:t> </w:t>
      </w:r>
      <w:r>
        <w:rPr>
          <w:color w:val="231F20"/>
          <w:spacing w:val="-2"/>
          <w:sz w:val="19"/>
        </w:rPr>
        <w:t>the</w:t>
      </w:r>
      <w:r>
        <w:rPr>
          <w:color w:val="231F20"/>
          <w:spacing w:val="-7"/>
          <w:sz w:val="19"/>
        </w:rPr>
        <w:t> </w:t>
      </w:r>
      <w:r>
        <w:rPr>
          <w:color w:val="231F20"/>
          <w:spacing w:val="-2"/>
          <w:sz w:val="19"/>
        </w:rPr>
        <w:t>remedy</w:t>
      </w:r>
      <w:r>
        <w:rPr>
          <w:color w:val="231F20"/>
          <w:spacing w:val="-6"/>
          <w:sz w:val="19"/>
        </w:rPr>
        <w:t> </w:t>
      </w:r>
      <w:r>
        <w:rPr>
          <w:color w:val="231F20"/>
          <w:spacing w:val="-2"/>
          <w:sz w:val="19"/>
        </w:rPr>
        <w:t>for</w:t>
      </w:r>
      <w:r>
        <w:rPr>
          <w:color w:val="231F20"/>
          <w:spacing w:val="-9"/>
          <w:sz w:val="19"/>
        </w:rPr>
        <w:t> </w:t>
      </w:r>
      <w:r>
        <w:rPr>
          <w:color w:val="231F20"/>
          <w:spacing w:val="-2"/>
          <w:sz w:val="19"/>
        </w:rPr>
        <w:t>unfair</w:t>
      </w:r>
      <w:r>
        <w:rPr>
          <w:color w:val="231F20"/>
          <w:spacing w:val="-7"/>
          <w:sz w:val="19"/>
        </w:rPr>
        <w:t> </w:t>
      </w:r>
      <w:r>
        <w:rPr>
          <w:color w:val="231F20"/>
          <w:spacing w:val="-2"/>
          <w:sz w:val="19"/>
        </w:rPr>
        <w:t>terms</w:t>
      </w:r>
      <w:r>
        <w:rPr>
          <w:color w:val="231F20"/>
          <w:spacing w:val="-6"/>
          <w:sz w:val="19"/>
        </w:rPr>
        <w:t> </w:t>
      </w:r>
      <w:r>
        <w:rPr>
          <w:color w:val="231F20"/>
          <w:spacing w:val="-2"/>
          <w:sz w:val="19"/>
        </w:rPr>
        <w:t>and</w:t>
      </w:r>
      <w:r>
        <w:rPr>
          <w:color w:val="231F20"/>
          <w:spacing w:val="-7"/>
          <w:sz w:val="19"/>
        </w:rPr>
        <w:t> </w:t>
      </w:r>
      <w:r>
        <w:rPr>
          <w:color w:val="231F20"/>
          <w:spacing w:val="-2"/>
          <w:sz w:val="19"/>
        </w:rPr>
        <w:t>its </w:t>
      </w:r>
      <w:r>
        <w:rPr>
          <w:color w:val="231F20"/>
          <w:sz w:val="19"/>
        </w:rPr>
        <w:t>follow-on consequences.</w:t>
      </w:r>
    </w:p>
    <w:p>
      <w:pPr>
        <w:pStyle w:val="ListParagraph"/>
        <w:numPr>
          <w:ilvl w:val="0"/>
          <w:numId w:val="2"/>
        </w:numPr>
        <w:tabs>
          <w:tab w:pos="1218" w:val="left" w:leader="none"/>
        </w:tabs>
        <w:spacing w:line="288" w:lineRule="auto" w:before="115" w:after="0"/>
        <w:ind w:left="871" w:right="866" w:firstLine="0"/>
        <w:jc w:val="both"/>
        <w:rPr>
          <w:sz w:val="19"/>
        </w:rPr>
      </w:pPr>
      <w:r>
        <w:rPr>
          <w:color w:val="231F20"/>
          <w:sz w:val="19"/>
        </w:rPr>
        <w:t>The paper is structured as follows. Section 2 delves into the mandatory char- acter of Article 6(1) UCTD. Section 3 describes how it has become a remedy for both unfair and non-transparent terms. Section 4 presents the core aspect of the remedy, whereby unfair terms are not binding on the consumer. Section 5 deals with</w:t>
      </w:r>
      <w:r>
        <w:rPr>
          <w:color w:val="231F20"/>
          <w:spacing w:val="-6"/>
          <w:sz w:val="19"/>
        </w:rPr>
        <w:t> </w:t>
      </w:r>
      <w:r>
        <w:rPr>
          <w:color w:val="231F20"/>
          <w:sz w:val="19"/>
        </w:rPr>
        <w:t>gap-filling</w:t>
      </w:r>
      <w:r>
        <w:rPr>
          <w:color w:val="231F20"/>
          <w:spacing w:val="-7"/>
          <w:sz w:val="19"/>
        </w:rPr>
        <w:t> </w:t>
      </w:r>
      <w:r>
        <w:rPr>
          <w:color w:val="231F20"/>
          <w:sz w:val="19"/>
        </w:rPr>
        <w:t>following</w:t>
      </w:r>
      <w:r>
        <w:rPr>
          <w:color w:val="231F20"/>
          <w:spacing w:val="-8"/>
          <w:sz w:val="19"/>
        </w:rPr>
        <w:t> </w:t>
      </w:r>
      <w:r>
        <w:rPr>
          <w:color w:val="231F20"/>
          <w:sz w:val="19"/>
        </w:rPr>
        <w:t>the</w:t>
      </w:r>
      <w:r>
        <w:rPr>
          <w:color w:val="231F20"/>
          <w:spacing w:val="-7"/>
          <w:sz w:val="19"/>
        </w:rPr>
        <w:t> </w:t>
      </w:r>
      <w:r>
        <w:rPr>
          <w:color w:val="231F20"/>
          <w:sz w:val="19"/>
        </w:rPr>
        <w:t>finding</w:t>
      </w:r>
      <w:r>
        <w:rPr>
          <w:color w:val="231F20"/>
          <w:spacing w:val="-8"/>
          <w:sz w:val="19"/>
        </w:rPr>
        <w:t> </w:t>
      </w:r>
      <w:r>
        <w:rPr>
          <w:color w:val="231F20"/>
          <w:sz w:val="19"/>
        </w:rPr>
        <w:t>of</w:t>
      </w:r>
      <w:r>
        <w:rPr>
          <w:color w:val="231F20"/>
          <w:spacing w:val="-7"/>
          <w:sz w:val="19"/>
        </w:rPr>
        <w:t> </w:t>
      </w:r>
      <w:r>
        <w:rPr>
          <w:color w:val="231F20"/>
          <w:sz w:val="19"/>
        </w:rPr>
        <w:t>an</w:t>
      </w:r>
      <w:r>
        <w:rPr>
          <w:color w:val="231F20"/>
          <w:spacing w:val="-7"/>
          <w:sz w:val="19"/>
        </w:rPr>
        <w:t> </w:t>
      </w:r>
      <w:r>
        <w:rPr>
          <w:color w:val="231F20"/>
          <w:sz w:val="19"/>
        </w:rPr>
        <w:t>unfair</w:t>
      </w:r>
      <w:r>
        <w:rPr>
          <w:color w:val="231F20"/>
          <w:spacing w:val="-7"/>
          <w:sz w:val="19"/>
        </w:rPr>
        <w:t> </w:t>
      </w:r>
      <w:r>
        <w:rPr>
          <w:color w:val="231F20"/>
          <w:sz w:val="19"/>
        </w:rPr>
        <w:t>term,</w:t>
      </w:r>
      <w:r>
        <w:rPr>
          <w:color w:val="231F20"/>
          <w:spacing w:val="-6"/>
          <w:sz w:val="19"/>
        </w:rPr>
        <w:t> </w:t>
      </w:r>
      <w:r>
        <w:rPr>
          <w:color w:val="231F20"/>
          <w:sz w:val="19"/>
        </w:rPr>
        <w:t>which</w:t>
      </w:r>
      <w:r>
        <w:rPr>
          <w:color w:val="231F20"/>
          <w:spacing w:val="-7"/>
          <w:sz w:val="19"/>
        </w:rPr>
        <w:t> </w:t>
      </w:r>
      <w:r>
        <w:rPr>
          <w:color w:val="231F20"/>
          <w:sz w:val="19"/>
        </w:rPr>
        <w:t>is</w:t>
      </w:r>
      <w:r>
        <w:rPr>
          <w:color w:val="231F20"/>
          <w:spacing w:val="-7"/>
          <w:sz w:val="19"/>
        </w:rPr>
        <w:t> </w:t>
      </w:r>
      <w:r>
        <w:rPr>
          <w:color w:val="231F20"/>
          <w:sz w:val="19"/>
        </w:rPr>
        <w:t>an</w:t>
      </w:r>
      <w:r>
        <w:rPr>
          <w:color w:val="231F20"/>
          <w:spacing w:val="-7"/>
          <w:sz w:val="19"/>
        </w:rPr>
        <w:t> </w:t>
      </w:r>
      <w:r>
        <w:rPr>
          <w:color w:val="231F20"/>
          <w:sz w:val="19"/>
        </w:rPr>
        <w:t>area</w:t>
      </w:r>
      <w:r>
        <w:rPr>
          <w:color w:val="231F20"/>
          <w:spacing w:val="-7"/>
          <w:sz w:val="19"/>
        </w:rPr>
        <w:t> </w:t>
      </w:r>
      <w:r>
        <w:rPr>
          <w:color w:val="231F20"/>
          <w:sz w:val="19"/>
        </w:rPr>
        <w:t>of</w:t>
      </w:r>
      <w:r>
        <w:rPr>
          <w:color w:val="231F20"/>
          <w:spacing w:val="-7"/>
          <w:sz w:val="19"/>
        </w:rPr>
        <w:t> </w:t>
      </w:r>
      <w:r>
        <w:rPr>
          <w:color w:val="231F20"/>
          <w:sz w:val="19"/>
        </w:rPr>
        <w:t>conflict between EU market regulation and national private law. Section 6 addresses the impact</w:t>
      </w:r>
      <w:r>
        <w:rPr>
          <w:color w:val="231F20"/>
          <w:spacing w:val="-12"/>
          <w:sz w:val="19"/>
        </w:rPr>
        <w:t> </w:t>
      </w:r>
      <w:r>
        <w:rPr>
          <w:color w:val="231F20"/>
          <w:sz w:val="19"/>
        </w:rPr>
        <w:t>of</w:t>
      </w:r>
      <w:r>
        <w:rPr>
          <w:color w:val="231F20"/>
          <w:spacing w:val="-11"/>
          <w:sz w:val="19"/>
        </w:rPr>
        <w:t> </w:t>
      </w:r>
      <w:r>
        <w:rPr>
          <w:color w:val="231F20"/>
          <w:sz w:val="19"/>
        </w:rPr>
        <w:t>Article</w:t>
      </w:r>
      <w:r>
        <w:rPr>
          <w:color w:val="231F20"/>
          <w:spacing w:val="-12"/>
          <w:sz w:val="19"/>
        </w:rPr>
        <w:t> </w:t>
      </w:r>
      <w:r>
        <w:rPr>
          <w:color w:val="231F20"/>
          <w:sz w:val="19"/>
        </w:rPr>
        <w:t>6(1)</w:t>
      </w:r>
      <w:r>
        <w:rPr>
          <w:color w:val="231F20"/>
          <w:spacing w:val="-11"/>
          <w:sz w:val="19"/>
        </w:rPr>
        <w:t> </w:t>
      </w:r>
      <w:r>
        <w:rPr>
          <w:color w:val="231F20"/>
          <w:sz w:val="19"/>
        </w:rPr>
        <w:t>UCTD</w:t>
      </w:r>
      <w:r>
        <w:rPr>
          <w:color w:val="231F20"/>
          <w:spacing w:val="-12"/>
          <w:sz w:val="19"/>
        </w:rPr>
        <w:t> </w:t>
      </w:r>
      <w:r>
        <w:rPr>
          <w:color w:val="231F20"/>
          <w:sz w:val="19"/>
        </w:rPr>
        <w:t>on</w:t>
      </w:r>
      <w:r>
        <w:rPr>
          <w:color w:val="231F20"/>
          <w:spacing w:val="-11"/>
          <w:sz w:val="19"/>
        </w:rPr>
        <w:t> </w:t>
      </w:r>
      <w:r>
        <w:rPr>
          <w:color w:val="231F20"/>
          <w:sz w:val="19"/>
        </w:rPr>
        <w:t>national</w:t>
      </w:r>
      <w:r>
        <w:rPr>
          <w:color w:val="231F20"/>
          <w:spacing w:val="-12"/>
          <w:sz w:val="19"/>
        </w:rPr>
        <w:t> </w:t>
      </w:r>
      <w:r>
        <w:rPr>
          <w:color w:val="231F20"/>
          <w:sz w:val="19"/>
        </w:rPr>
        <w:t>law,</w:t>
      </w:r>
      <w:r>
        <w:rPr>
          <w:color w:val="231F20"/>
          <w:spacing w:val="-11"/>
          <w:sz w:val="19"/>
        </w:rPr>
        <w:t> </w:t>
      </w:r>
      <w:r>
        <w:rPr>
          <w:color w:val="231F20"/>
          <w:sz w:val="19"/>
        </w:rPr>
        <w:t>beyond</w:t>
      </w:r>
      <w:r>
        <w:rPr>
          <w:color w:val="231F20"/>
          <w:spacing w:val="-12"/>
          <w:sz w:val="19"/>
        </w:rPr>
        <w:t> </w:t>
      </w:r>
      <w:r>
        <w:rPr>
          <w:color w:val="231F20"/>
          <w:sz w:val="19"/>
        </w:rPr>
        <w:t>the</w:t>
      </w:r>
      <w:r>
        <w:rPr>
          <w:color w:val="231F20"/>
          <w:spacing w:val="-11"/>
          <w:sz w:val="19"/>
        </w:rPr>
        <w:t> </w:t>
      </w:r>
      <w:r>
        <w:rPr>
          <w:color w:val="231F20"/>
          <w:sz w:val="19"/>
        </w:rPr>
        <w:t>task</w:t>
      </w:r>
      <w:r>
        <w:rPr>
          <w:color w:val="231F20"/>
          <w:spacing w:val="-12"/>
          <w:sz w:val="19"/>
        </w:rPr>
        <w:t> </w:t>
      </w:r>
      <w:r>
        <w:rPr>
          <w:color w:val="231F20"/>
          <w:sz w:val="19"/>
        </w:rPr>
        <w:t>of</w:t>
      </w:r>
      <w:r>
        <w:rPr>
          <w:color w:val="231F20"/>
          <w:spacing w:val="-11"/>
          <w:sz w:val="19"/>
        </w:rPr>
        <w:t> </w:t>
      </w:r>
      <w:r>
        <w:rPr>
          <w:color w:val="231F20"/>
          <w:sz w:val="19"/>
        </w:rPr>
        <w:t>gap-filling.</w:t>
      </w:r>
      <w:r>
        <w:rPr>
          <w:color w:val="231F20"/>
          <w:spacing w:val="-11"/>
          <w:sz w:val="19"/>
        </w:rPr>
        <w:t> </w:t>
      </w:r>
      <w:r>
        <w:rPr>
          <w:color w:val="231F20"/>
          <w:sz w:val="19"/>
        </w:rPr>
        <w:t>Section</w:t>
      </w:r>
    </w:p>
    <w:p>
      <w:pPr>
        <w:pStyle w:val="BodyText"/>
        <w:spacing w:line="288" w:lineRule="auto"/>
        <w:ind w:left="871" w:right="869"/>
        <w:jc w:val="both"/>
      </w:pPr>
      <w:r>
        <w:rPr>
          <w:color w:val="231F20"/>
        </w:rPr>
        <w:t>7 questions whether more recent ECJ judgments could be de-harmonizing </w:t>
      </w:r>
      <w:r>
        <w:rPr>
          <w:color w:val="231F20"/>
        </w:rPr>
        <w:t>the remedy for unfair terms. Lastly, section 8 draws some conclusions.</w:t>
      </w:r>
    </w:p>
    <w:p>
      <w:pPr>
        <w:pStyle w:val="BodyText"/>
        <w:spacing w:before="55"/>
      </w:pPr>
    </w:p>
    <w:p>
      <w:pPr>
        <w:pStyle w:val="Heading1"/>
        <w:numPr>
          <w:ilvl w:val="0"/>
          <w:numId w:val="1"/>
        </w:numPr>
        <w:tabs>
          <w:tab w:pos="865" w:val="left" w:leader="none"/>
        </w:tabs>
        <w:spacing w:line="240" w:lineRule="auto" w:before="0" w:after="0"/>
        <w:ind w:left="865" w:right="0" w:hanging="353"/>
        <w:jc w:val="left"/>
      </w:pPr>
      <w:r>
        <w:rPr>
          <w:color w:val="231F20"/>
          <w:w w:val="105"/>
        </w:rPr>
        <w:t>A</w:t>
      </w:r>
      <w:r>
        <w:rPr>
          <w:color w:val="231F20"/>
          <w:spacing w:val="17"/>
          <w:w w:val="105"/>
        </w:rPr>
        <w:t> </w:t>
      </w:r>
      <w:r>
        <w:rPr>
          <w:color w:val="231F20"/>
          <w:w w:val="105"/>
        </w:rPr>
        <w:t>Special</w:t>
      </w:r>
      <w:r>
        <w:rPr>
          <w:color w:val="231F20"/>
          <w:spacing w:val="18"/>
          <w:w w:val="105"/>
        </w:rPr>
        <w:t> </w:t>
      </w:r>
      <w:r>
        <w:rPr>
          <w:color w:val="231F20"/>
          <w:w w:val="105"/>
        </w:rPr>
        <w:t>Mandatory</w:t>
      </w:r>
      <w:r>
        <w:rPr>
          <w:color w:val="231F20"/>
          <w:spacing w:val="17"/>
          <w:w w:val="105"/>
        </w:rPr>
        <w:t> </w:t>
      </w:r>
      <w:r>
        <w:rPr>
          <w:color w:val="231F20"/>
          <w:spacing w:val="-2"/>
          <w:w w:val="105"/>
        </w:rPr>
        <w:t>Provision</w:t>
      </w:r>
    </w:p>
    <w:p>
      <w:pPr>
        <w:pStyle w:val="ListParagraph"/>
        <w:numPr>
          <w:ilvl w:val="0"/>
          <w:numId w:val="4"/>
        </w:numPr>
        <w:tabs>
          <w:tab w:pos="1324" w:val="left" w:leader="none"/>
        </w:tabs>
        <w:spacing w:line="285" w:lineRule="auto" w:before="166" w:after="0"/>
        <w:ind w:left="871" w:right="869" w:firstLine="0"/>
        <w:jc w:val="both"/>
        <w:rPr>
          <w:sz w:val="19"/>
        </w:rPr>
      </w:pPr>
      <w:r>
        <w:rPr>
          <w:color w:val="231F20"/>
          <w:sz w:val="19"/>
        </w:rPr>
        <w:t>Early</w:t>
      </w:r>
      <w:r>
        <w:rPr>
          <w:color w:val="231F20"/>
          <w:spacing w:val="-1"/>
          <w:sz w:val="19"/>
        </w:rPr>
        <w:t> </w:t>
      </w:r>
      <w:r>
        <w:rPr>
          <w:color w:val="231F20"/>
          <w:sz w:val="19"/>
        </w:rPr>
        <w:t>in its case</w:t>
      </w:r>
      <w:r>
        <w:rPr>
          <w:color w:val="231F20"/>
          <w:spacing w:val="-1"/>
          <w:sz w:val="19"/>
        </w:rPr>
        <w:t> </w:t>
      </w:r>
      <w:r>
        <w:rPr>
          <w:color w:val="231F20"/>
          <w:sz w:val="19"/>
        </w:rPr>
        <w:t>law, the ECJ recognized that Article 6(1) UCTD is a manda- tory provision that </w:t>
      </w:r>
      <w:r>
        <w:rPr>
          <w:rFonts w:ascii="Arial" w:hAnsi="Arial"/>
          <w:color w:val="231F20"/>
          <w:sz w:val="19"/>
        </w:rPr>
        <w:t>‘</w:t>
      </w:r>
      <w:r>
        <w:rPr>
          <w:color w:val="231F20"/>
          <w:sz w:val="19"/>
        </w:rPr>
        <w:t>aims to replace the formal balance which the contract estab- lishes between the rights and obligations of the parties with an effective balance which</w:t>
      </w:r>
      <w:r>
        <w:rPr>
          <w:color w:val="231F20"/>
          <w:spacing w:val="65"/>
          <w:sz w:val="19"/>
        </w:rPr>
        <w:t> </w:t>
      </w:r>
      <w:r>
        <w:rPr>
          <w:color w:val="231F20"/>
          <w:sz w:val="19"/>
        </w:rPr>
        <w:t>re-establishes</w:t>
      </w:r>
      <w:r>
        <w:rPr>
          <w:color w:val="231F20"/>
          <w:spacing w:val="66"/>
          <w:sz w:val="19"/>
        </w:rPr>
        <w:t> </w:t>
      </w:r>
      <w:r>
        <w:rPr>
          <w:color w:val="231F20"/>
          <w:sz w:val="19"/>
        </w:rPr>
        <w:t>equality</w:t>
      </w:r>
      <w:r>
        <w:rPr>
          <w:color w:val="231F20"/>
          <w:spacing w:val="66"/>
          <w:sz w:val="19"/>
        </w:rPr>
        <w:t> </w:t>
      </w:r>
      <w:r>
        <w:rPr>
          <w:color w:val="231F20"/>
          <w:sz w:val="19"/>
        </w:rPr>
        <w:t>between</w:t>
      </w:r>
      <w:r>
        <w:rPr>
          <w:color w:val="231F20"/>
          <w:spacing w:val="63"/>
          <w:sz w:val="19"/>
        </w:rPr>
        <w:t> </w:t>
      </w:r>
      <w:r>
        <w:rPr>
          <w:color w:val="231F20"/>
          <w:sz w:val="19"/>
        </w:rPr>
        <w:t>them</w:t>
      </w:r>
      <w:r>
        <w:rPr>
          <w:rFonts w:ascii="Arial" w:hAnsi="Arial"/>
          <w:color w:val="231F20"/>
          <w:sz w:val="19"/>
        </w:rPr>
        <w:t>’</w:t>
      </w:r>
      <w:r>
        <w:rPr>
          <w:color w:val="231F20"/>
          <w:sz w:val="19"/>
        </w:rPr>
        <w:t>.</w:t>
      </w:r>
      <w:r>
        <w:rPr>
          <w:color w:val="231F20"/>
          <w:sz w:val="19"/>
          <w:vertAlign w:val="superscript"/>
        </w:rPr>
        <w:t>13</w:t>
      </w:r>
      <w:r>
        <w:rPr>
          <w:color w:val="231F20"/>
          <w:spacing w:val="66"/>
          <w:sz w:val="19"/>
          <w:vertAlign w:val="baseline"/>
        </w:rPr>
        <w:t> </w:t>
      </w:r>
      <w:r>
        <w:rPr>
          <w:color w:val="231F20"/>
          <w:sz w:val="19"/>
          <w:vertAlign w:val="baseline"/>
        </w:rPr>
        <w:t>According</w:t>
      </w:r>
      <w:r>
        <w:rPr>
          <w:color w:val="231F20"/>
          <w:spacing w:val="66"/>
          <w:sz w:val="19"/>
          <w:vertAlign w:val="baseline"/>
        </w:rPr>
        <w:t> </w:t>
      </w:r>
      <w:r>
        <w:rPr>
          <w:color w:val="231F20"/>
          <w:sz w:val="19"/>
          <w:vertAlign w:val="baseline"/>
        </w:rPr>
        <w:t>to</w:t>
      </w:r>
      <w:r>
        <w:rPr>
          <w:color w:val="231F20"/>
          <w:spacing w:val="66"/>
          <w:sz w:val="19"/>
          <w:vertAlign w:val="baseline"/>
        </w:rPr>
        <w:t> </w:t>
      </w:r>
      <w:r>
        <w:rPr>
          <w:color w:val="231F20"/>
          <w:sz w:val="19"/>
          <w:vertAlign w:val="baseline"/>
        </w:rPr>
        <w:t>the</w:t>
      </w:r>
      <w:r>
        <w:rPr>
          <w:color w:val="231F20"/>
          <w:spacing w:val="65"/>
          <w:sz w:val="19"/>
          <w:vertAlign w:val="baseline"/>
        </w:rPr>
        <w:t> </w:t>
      </w:r>
      <w:r>
        <w:rPr>
          <w:color w:val="231F20"/>
          <w:sz w:val="19"/>
          <w:vertAlign w:val="baseline"/>
        </w:rPr>
        <w:t>Court,</w:t>
      </w:r>
      <w:r>
        <w:rPr>
          <w:color w:val="231F20"/>
          <w:spacing w:val="67"/>
          <w:sz w:val="19"/>
          <w:vertAlign w:val="baseline"/>
        </w:rPr>
        <w:t> </w:t>
      </w:r>
      <w:r>
        <w:rPr>
          <w:color w:val="231F20"/>
          <w:spacing w:val="-5"/>
          <w:sz w:val="19"/>
          <w:vertAlign w:val="baseline"/>
        </w:rPr>
        <w:t>the</w:t>
      </w:r>
    </w:p>
    <w:p>
      <w:pPr>
        <w:pStyle w:val="BodyText"/>
        <w:spacing w:before="81"/>
        <w:rPr>
          <w:sz w:val="20"/>
        </w:rPr>
      </w:pPr>
      <w:r>
        <w:rPr/>
        <mc:AlternateContent>
          <mc:Choice Requires="wps">
            <w:drawing>
              <wp:anchor distT="0" distB="0" distL="0" distR="0" allowOverlap="1" layoutInCell="1" locked="0" behindDoc="1" simplePos="0" relativeHeight="487590400">
                <wp:simplePos x="0" y="0"/>
                <wp:positionH relativeFrom="page">
                  <wp:posOffset>1979993</wp:posOffset>
                </wp:positionH>
                <wp:positionV relativeFrom="paragraph">
                  <wp:posOffset>210972</wp:posOffset>
                </wp:positionV>
                <wp:extent cx="1656080" cy="4445"/>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6.612028pt;width:130.394pt;height:.34015pt;mso-position-horizontal-relative:page;mso-position-vertical-relative:paragraph;z-index:-15726080;mso-wrap-distance-left:0;mso-wrap-distance-right:0" id="docshape8"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6" w:val="left" w:leader="none"/>
        </w:tabs>
        <w:spacing w:line="285" w:lineRule="auto" w:before="1" w:after="0"/>
        <w:ind w:left="866" w:right="869" w:hanging="354"/>
        <w:jc w:val="both"/>
        <w:rPr>
          <w:sz w:val="16"/>
        </w:rPr>
      </w:pPr>
      <w:r>
        <w:rPr>
          <w:color w:val="231F20"/>
          <w:spacing w:val="-2"/>
          <w:sz w:val="16"/>
        </w:rPr>
        <w:t>R.</w:t>
      </w:r>
      <w:r>
        <w:rPr>
          <w:color w:val="231F20"/>
          <w:spacing w:val="-3"/>
          <w:sz w:val="16"/>
        </w:rPr>
        <w:t> </w:t>
      </w:r>
      <w:r>
        <w:rPr>
          <w:color w:val="231F20"/>
          <w:spacing w:val="-2"/>
          <w:sz w:val="16"/>
        </w:rPr>
        <w:t>S</w:t>
      </w:r>
      <w:r>
        <w:rPr>
          <w:color w:val="231F20"/>
          <w:spacing w:val="-2"/>
          <w:sz w:val="11"/>
        </w:rPr>
        <w:t>ERAFIN</w:t>
      </w:r>
      <w:r>
        <w:rPr>
          <w:color w:val="231F20"/>
          <w:spacing w:val="-2"/>
          <w:sz w:val="16"/>
        </w:rPr>
        <w:t>,</w:t>
      </w:r>
      <w:r>
        <w:rPr>
          <w:color w:val="231F20"/>
          <w:spacing w:val="-3"/>
          <w:sz w:val="16"/>
        </w:rPr>
        <w:t> </w:t>
      </w:r>
      <w:r>
        <w:rPr>
          <w:rFonts w:ascii="Arial" w:hAnsi="Arial"/>
          <w:color w:val="231F20"/>
          <w:spacing w:val="-2"/>
          <w:sz w:val="16"/>
        </w:rPr>
        <w:t>‘</w:t>
      </w:r>
      <w:r>
        <w:rPr>
          <w:color w:val="231F20"/>
          <w:spacing w:val="-2"/>
          <w:sz w:val="16"/>
        </w:rPr>
        <w:t>The</w:t>
      </w:r>
      <w:r>
        <w:rPr>
          <w:color w:val="231F20"/>
          <w:spacing w:val="-3"/>
          <w:sz w:val="16"/>
        </w:rPr>
        <w:t> </w:t>
      </w:r>
      <w:r>
        <w:rPr>
          <w:color w:val="231F20"/>
          <w:spacing w:val="-2"/>
          <w:sz w:val="16"/>
        </w:rPr>
        <w:t>Court of</w:t>
      </w:r>
      <w:r>
        <w:rPr>
          <w:color w:val="231F20"/>
          <w:spacing w:val="-3"/>
          <w:sz w:val="16"/>
        </w:rPr>
        <w:t> </w:t>
      </w:r>
      <w:r>
        <w:rPr>
          <w:color w:val="231F20"/>
          <w:spacing w:val="-2"/>
          <w:sz w:val="16"/>
        </w:rPr>
        <w:t>Justice on Unfair Terms</w:t>
      </w:r>
      <w:r>
        <w:rPr>
          <w:color w:val="231F20"/>
          <w:spacing w:val="-3"/>
          <w:sz w:val="16"/>
        </w:rPr>
        <w:t> </w:t>
      </w:r>
      <w:r>
        <w:rPr>
          <w:color w:val="231F20"/>
          <w:spacing w:val="-2"/>
          <w:sz w:val="16"/>
        </w:rPr>
        <w:t>and Supplementation of the Contract: How</w:t>
      </w:r>
      <w:r>
        <w:rPr>
          <w:color w:val="231F20"/>
          <w:spacing w:val="-4"/>
          <w:sz w:val="16"/>
        </w:rPr>
        <w:t> </w:t>
      </w:r>
      <w:r>
        <w:rPr>
          <w:color w:val="231F20"/>
          <w:spacing w:val="-2"/>
          <w:sz w:val="16"/>
        </w:rPr>
        <w:t>Far</w:t>
      </w:r>
      <w:r>
        <w:rPr>
          <w:color w:val="231F20"/>
          <w:spacing w:val="-3"/>
          <w:sz w:val="16"/>
        </w:rPr>
        <w:t> </w:t>
      </w:r>
      <w:r>
        <w:rPr>
          <w:color w:val="231F20"/>
          <w:spacing w:val="-2"/>
          <w:sz w:val="16"/>
        </w:rPr>
        <w:t>is</w:t>
      </w:r>
      <w:r>
        <w:rPr>
          <w:color w:val="231F20"/>
          <w:spacing w:val="40"/>
          <w:sz w:val="16"/>
        </w:rPr>
        <w:t> </w:t>
      </w:r>
      <w:r>
        <w:rPr>
          <w:color w:val="231F20"/>
          <w:sz w:val="16"/>
        </w:rPr>
        <w:t>Too Far?</w:t>
      </w:r>
      <w:r>
        <w:rPr>
          <w:rFonts w:ascii="Arial" w:hAnsi="Arial"/>
          <w:color w:val="231F20"/>
          <w:sz w:val="16"/>
        </w:rPr>
        <w:t>’</w:t>
      </w:r>
      <w:r>
        <w:rPr>
          <w:color w:val="231F20"/>
          <w:sz w:val="16"/>
        </w:rPr>
        <w:t>, 12. </w:t>
      </w:r>
      <w:r>
        <w:rPr>
          <w:i/>
          <w:color w:val="231F20"/>
          <w:sz w:val="16"/>
        </w:rPr>
        <w:t>EuCML (Journal of European Consumer and Market Law) </w:t>
      </w:r>
      <w:r>
        <w:rPr>
          <w:color w:val="231F20"/>
          <w:sz w:val="16"/>
        </w:rPr>
        <w:t>2023, p (150) at 154</w:t>
      </w:r>
      <w:r>
        <w:rPr>
          <w:rFonts w:ascii="Arial" w:hAnsi="Arial"/>
          <w:color w:val="231F20"/>
          <w:sz w:val="16"/>
        </w:rPr>
        <w:t>– </w:t>
      </w:r>
      <w:r>
        <w:rPr>
          <w:color w:val="231F20"/>
          <w:spacing w:val="-4"/>
          <w:sz w:val="16"/>
        </w:rPr>
        <w:t>156.</w:t>
      </w:r>
    </w:p>
    <w:p>
      <w:pPr>
        <w:spacing w:line="288" w:lineRule="auto" w:before="0"/>
        <w:ind w:left="866" w:right="869" w:firstLine="0"/>
        <w:jc w:val="both"/>
        <w:rPr>
          <w:sz w:val="16"/>
        </w:rPr>
      </w:pPr>
      <w:r>
        <w:rPr>
          <w:color w:val="231F20"/>
          <w:sz w:val="16"/>
        </w:rPr>
        <w:t>F. P</w:t>
      </w:r>
      <w:r>
        <w:rPr>
          <w:color w:val="231F20"/>
          <w:sz w:val="11"/>
        </w:rPr>
        <w:t>ANTALEÓN</w:t>
      </w:r>
      <w:r>
        <w:rPr>
          <w:color w:val="231F20"/>
          <w:sz w:val="16"/>
        </w:rPr>
        <w:t>, </w:t>
      </w:r>
      <w:r>
        <w:rPr>
          <w:rFonts w:ascii="Arial" w:hAnsi="Arial"/>
          <w:color w:val="231F20"/>
          <w:sz w:val="16"/>
        </w:rPr>
        <w:t>‘</w:t>
      </w:r>
      <w:r>
        <w:rPr>
          <w:color w:val="231F20"/>
          <w:sz w:val="16"/>
        </w:rPr>
        <w:t>De nuevo sobre la consecuencia jurídica de la declaración de abusividad de </w:t>
      </w:r>
      <w:r>
        <w:rPr>
          <w:color w:val="231F20"/>
          <w:sz w:val="16"/>
        </w:rPr>
        <w:t>una</w:t>
      </w:r>
      <w:r>
        <w:rPr>
          <w:color w:val="231F20"/>
          <w:spacing w:val="40"/>
          <w:sz w:val="16"/>
        </w:rPr>
        <w:t> </w:t>
      </w:r>
      <w:r>
        <w:rPr>
          <w:color w:val="231F20"/>
          <w:sz w:val="16"/>
        </w:rPr>
        <w:t>cláusula</w:t>
      </w:r>
      <w:r>
        <w:rPr>
          <w:color w:val="231F20"/>
          <w:spacing w:val="-3"/>
          <w:sz w:val="16"/>
        </w:rPr>
        <w:t> </w:t>
      </w:r>
      <w:r>
        <w:rPr>
          <w:color w:val="231F20"/>
          <w:sz w:val="16"/>
        </w:rPr>
        <w:t>no</w:t>
      </w:r>
      <w:r>
        <w:rPr>
          <w:color w:val="231F20"/>
          <w:spacing w:val="-2"/>
          <w:sz w:val="16"/>
        </w:rPr>
        <w:t> </w:t>
      </w:r>
      <w:r>
        <w:rPr>
          <w:color w:val="231F20"/>
          <w:sz w:val="16"/>
        </w:rPr>
        <w:t>negociada</w:t>
      </w:r>
      <w:r>
        <w:rPr>
          <w:color w:val="231F20"/>
          <w:spacing w:val="-2"/>
          <w:sz w:val="16"/>
        </w:rPr>
        <w:t> </w:t>
      </w:r>
      <w:r>
        <w:rPr>
          <w:color w:val="231F20"/>
          <w:sz w:val="16"/>
        </w:rPr>
        <w:t>individualmente</w:t>
      </w:r>
      <w:r>
        <w:rPr>
          <w:rFonts w:ascii="Arial" w:hAnsi="Arial"/>
          <w:color w:val="231F20"/>
          <w:sz w:val="16"/>
        </w:rPr>
        <w:t>’</w:t>
      </w:r>
      <w:r>
        <w:rPr>
          <w:color w:val="231F20"/>
          <w:sz w:val="16"/>
        </w:rPr>
        <w:t>,</w:t>
      </w:r>
      <w:r>
        <w:rPr>
          <w:color w:val="231F20"/>
          <w:spacing w:val="-2"/>
          <w:sz w:val="16"/>
        </w:rPr>
        <w:t> </w:t>
      </w:r>
      <w:r>
        <w:rPr>
          <w:i/>
          <w:color w:val="231F20"/>
          <w:sz w:val="16"/>
        </w:rPr>
        <w:t>Almacén</w:t>
      </w:r>
      <w:r>
        <w:rPr>
          <w:i/>
          <w:color w:val="231F20"/>
          <w:spacing w:val="-2"/>
          <w:sz w:val="16"/>
        </w:rPr>
        <w:t> </w:t>
      </w:r>
      <w:r>
        <w:rPr>
          <w:i/>
          <w:color w:val="231F20"/>
          <w:sz w:val="16"/>
        </w:rPr>
        <w:t>de</w:t>
      </w:r>
      <w:r>
        <w:rPr>
          <w:i/>
          <w:color w:val="231F20"/>
          <w:spacing w:val="-2"/>
          <w:sz w:val="16"/>
        </w:rPr>
        <w:t> </w:t>
      </w:r>
      <w:r>
        <w:rPr>
          <w:i/>
          <w:color w:val="231F20"/>
          <w:sz w:val="16"/>
        </w:rPr>
        <w:t>Derecho</w:t>
      </w:r>
      <w:r>
        <w:rPr>
          <w:i/>
          <w:color w:val="231F20"/>
          <w:spacing w:val="-2"/>
          <w:sz w:val="16"/>
        </w:rPr>
        <w:t> </w:t>
      </w:r>
      <w:r>
        <w:rPr>
          <w:color w:val="231F20"/>
          <w:sz w:val="16"/>
        </w:rPr>
        <w:t>22</w:t>
      </w:r>
      <w:r>
        <w:rPr>
          <w:color w:val="231F20"/>
          <w:spacing w:val="-2"/>
          <w:sz w:val="16"/>
        </w:rPr>
        <w:t> </w:t>
      </w:r>
      <w:r>
        <w:rPr>
          <w:color w:val="231F20"/>
          <w:sz w:val="16"/>
        </w:rPr>
        <w:t>Mar.</w:t>
      </w:r>
      <w:r>
        <w:rPr>
          <w:color w:val="231F20"/>
          <w:spacing w:val="-2"/>
          <w:sz w:val="16"/>
        </w:rPr>
        <w:t> </w:t>
      </w:r>
      <w:r>
        <w:rPr>
          <w:color w:val="231F20"/>
          <w:sz w:val="16"/>
        </w:rPr>
        <w:t>2020,</w:t>
      </w:r>
      <w:r>
        <w:rPr>
          <w:color w:val="231F20"/>
          <w:spacing w:val="-2"/>
          <w:sz w:val="16"/>
        </w:rPr>
        <w:t> </w:t>
      </w:r>
      <w:r>
        <w:rPr>
          <w:color w:val="231F20"/>
          <w:sz w:val="16"/>
        </w:rPr>
        <w:t>almacendederecho.</w:t>
      </w:r>
      <w:r>
        <w:rPr>
          <w:color w:val="231F20"/>
          <w:spacing w:val="40"/>
          <w:sz w:val="16"/>
        </w:rPr>
        <w:t> </w:t>
      </w:r>
      <w:r>
        <w:rPr>
          <w:color w:val="231F20"/>
          <w:spacing w:val="-4"/>
          <w:sz w:val="16"/>
        </w:rPr>
        <w:t>org/de-nuevo-sobre-la-consecuencia-juridica-de-la-declaracion-de-abusividad-de-una-clausula-no-</w:t>
      </w:r>
      <w:r>
        <w:rPr>
          <w:color w:val="231F20"/>
          <w:spacing w:val="40"/>
          <w:sz w:val="16"/>
        </w:rPr>
        <w:t> </w:t>
      </w:r>
      <w:r>
        <w:rPr>
          <w:color w:val="231F20"/>
          <w:spacing w:val="-2"/>
          <w:sz w:val="16"/>
        </w:rPr>
        <w:t>negociada-individualmente-i.</w:t>
      </w:r>
    </w:p>
    <w:p>
      <w:pPr>
        <w:pStyle w:val="ListParagraph"/>
        <w:numPr>
          <w:ilvl w:val="0"/>
          <w:numId w:val="3"/>
        </w:numPr>
        <w:tabs>
          <w:tab w:pos="866" w:val="left" w:leader="none"/>
        </w:tabs>
        <w:spacing w:line="290" w:lineRule="auto" w:before="0" w:after="0"/>
        <w:ind w:left="866" w:right="868" w:hanging="354"/>
        <w:jc w:val="both"/>
        <w:rPr>
          <w:sz w:val="16"/>
        </w:rPr>
      </w:pPr>
      <w:r>
        <w:rPr>
          <w:color w:val="231F20"/>
          <w:spacing w:val="-2"/>
          <w:sz w:val="16"/>
        </w:rPr>
        <w:t>ECJ</w:t>
      </w:r>
      <w:r>
        <w:rPr>
          <w:color w:val="231F20"/>
          <w:spacing w:val="-7"/>
          <w:sz w:val="16"/>
        </w:rPr>
        <w:t> </w:t>
      </w:r>
      <w:r>
        <w:rPr>
          <w:color w:val="231F20"/>
          <w:spacing w:val="-2"/>
          <w:sz w:val="16"/>
        </w:rPr>
        <w:t>26</w:t>
      </w:r>
      <w:r>
        <w:rPr>
          <w:color w:val="231F20"/>
          <w:spacing w:val="-8"/>
          <w:sz w:val="16"/>
        </w:rPr>
        <w:t> </w:t>
      </w:r>
      <w:r>
        <w:rPr>
          <w:color w:val="231F20"/>
          <w:spacing w:val="-2"/>
          <w:sz w:val="16"/>
        </w:rPr>
        <w:t>Oct.</w:t>
      </w:r>
      <w:r>
        <w:rPr>
          <w:color w:val="231F20"/>
          <w:spacing w:val="-6"/>
          <w:sz w:val="16"/>
        </w:rPr>
        <w:t> </w:t>
      </w:r>
      <w:r>
        <w:rPr>
          <w:color w:val="231F20"/>
          <w:spacing w:val="-2"/>
          <w:sz w:val="16"/>
        </w:rPr>
        <w:t>2006,</w:t>
      </w:r>
      <w:r>
        <w:rPr>
          <w:color w:val="231F20"/>
          <w:spacing w:val="-8"/>
          <w:sz w:val="16"/>
        </w:rPr>
        <w:t> </w:t>
      </w:r>
      <w:r>
        <w:rPr>
          <w:color w:val="231F20"/>
          <w:spacing w:val="-2"/>
          <w:sz w:val="16"/>
        </w:rPr>
        <w:t>ECLI:EU:C:2006:675,</w:t>
      </w:r>
      <w:r>
        <w:rPr>
          <w:color w:val="231F20"/>
          <w:spacing w:val="-7"/>
          <w:sz w:val="16"/>
        </w:rPr>
        <w:t> </w:t>
      </w:r>
      <w:r>
        <w:rPr>
          <w:i/>
          <w:color w:val="231F20"/>
          <w:spacing w:val="-2"/>
          <w:sz w:val="16"/>
        </w:rPr>
        <w:t>Elisa</w:t>
      </w:r>
      <w:r>
        <w:rPr>
          <w:i/>
          <w:color w:val="231F20"/>
          <w:spacing w:val="-8"/>
          <w:sz w:val="16"/>
        </w:rPr>
        <w:t> </w:t>
      </w:r>
      <w:r>
        <w:rPr>
          <w:i/>
          <w:color w:val="231F20"/>
          <w:spacing w:val="-2"/>
          <w:sz w:val="16"/>
        </w:rPr>
        <w:t>María</w:t>
      </w:r>
      <w:r>
        <w:rPr>
          <w:i/>
          <w:color w:val="231F20"/>
          <w:spacing w:val="-6"/>
          <w:sz w:val="16"/>
        </w:rPr>
        <w:t> </w:t>
      </w:r>
      <w:r>
        <w:rPr>
          <w:i/>
          <w:color w:val="231F20"/>
          <w:spacing w:val="-2"/>
          <w:sz w:val="16"/>
        </w:rPr>
        <w:t>Mostaza</w:t>
      </w:r>
      <w:r>
        <w:rPr>
          <w:i/>
          <w:color w:val="231F20"/>
          <w:spacing w:val="-8"/>
          <w:sz w:val="16"/>
        </w:rPr>
        <w:t> </w:t>
      </w:r>
      <w:r>
        <w:rPr>
          <w:i/>
          <w:color w:val="231F20"/>
          <w:spacing w:val="-2"/>
          <w:sz w:val="16"/>
        </w:rPr>
        <w:t>Claro</w:t>
      </w:r>
      <w:r>
        <w:rPr>
          <w:i/>
          <w:color w:val="231F20"/>
          <w:spacing w:val="-8"/>
          <w:sz w:val="16"/>
        </w:rPr>
        <w:t> </w:t>
      </w:r>
      <w:r>
        <w:rPr>
          <w:color w:val="231F20"/>
          <w:spacing w:val="-2"/>
          <w:sz w:val="16"/>
        </w:rPr>
        <w:t>v.</w:t>
      </w:r>
      <w:r>
        <w:rPr>
          <w:color w:val="231F20"/>
          <w:spacing w:val="-6"/>
          <w:sz w:val="16"/>
        </w:rPr>
        <w:t> </w:t>
      </w:r>
      <w:r>
        <w:rPr>
          <w:i/>
          <w:color w:val="231F20"/>
          <w:spacing w:val="-2"/>
          <w:sz w:val="16"/>
        </w:rPr>
        <w:t>Centro</w:t>
      </w:r>
      <w:r>
        <w:rPr>
          <w:i/>
          <w:color w:val="231F20"/>
          <w:spacing w:val="-7"/>
          <w:sz w:val="16"/>
        </w:rPr>
        <w:t> </w:t>
      </w:r>
      <w:r>
        <w:rPr>
          <w:i/>
          <w:color w:val="231F20"/>
          <w:spacing w:val="-2"/>
          <w:sz w:val="16"/>
        </w:rPr>
        <w:t>Móvil</w:t>
      </w:r>
      <w:r>
        <w:rPr>
          <w:i/>
          <w:color w:val="231F20"/>
          <w:spacing w:val="-7"/>
          <w:sz w:val="16"/>
        </w:rPr>
        <w:t> </w:t>
      </w:r>
      <w:r>
        <w:rPr>
          <w:i/>
          <w:color w:val="231F20"/>
          <w:spacing w:val="-2"/>
          <w:sz w:val="16"/>
        </w:rPr>
        <w:t>Milenium</w:t>
      </w:r>
      <w:r>
        <w:rPr>
          <w:i/>
          <w:color w:val="231F20"/>
          <w:spacing w:val="-7"/>
          <w:sz w:val="16"/>
        </w:rPr>
        <w:t> </w:t>
      </w:r>
      <w:r>
        <w:rPr>
          <w:i/>
          <w:color w:val="231F20"/>
          <w:spacing w:val="-2"/>
          <w:sz w:val="16"/>
        </w:rPr>
        <w:t>SL</w:t>
      </w:r>
      <w:r>
        <w:rPr>
          <w:color w:val="231F20"/>
          <w:spacing w:val="-2"/>
          <w:sz w:val="16"/>
        </w:rPr>
        <w:t>,</w:t>
      </w:r>
      <w:r>
        <w:rPr>
          <w:color w:val="231F20"/>
          <w:spacing w:val="40"/>
          <w:sz w:val="16"/>
        </w:rPr>
        <w:t> </w:t>
      </w:r>
      <w:r>
        <w:rPr>
          <w:color w:val="231F20"/>
          <w:sz w:val="16"/>
        </w:rPr>
        <w:t>curia.europa.eu/juris/liste.jsf?num=C-168/05,</w:t>
      </w:r>
      <w:r>
        <w:rPr>
          <w:color w:val="231F20"/>
          <w:spacing w:val="-6"/>
          <w:sz w:val="16"/>
        </w:rPr>
        <w:t> </w:t>
      </w:r>
      <w:r>
        <w:rPr>
          <w:color w:val="231F20"/>
          <w:sz w:val="16"/>
        </w:rPr>
        <w:t>para.</w:t>
      </w:r>
      <w:r>
        <w:rPr>
          <w:color w:val="231F20"/>
          <w:spacing w:val="-6"/>
          <w:sz w:val="16"/>
        </w:rPr>
        <w:t> </w:t>
      </w:r>
      <w:r>
        <w:rPr>
          <w:color w:val="231F20"/>
          <w:sz w:val="16"/>
        </w:rPr>
        <w:t>36;</w:t>
      </w:r>
      <w:r>
        <w:rPr>
          <w:color w:val="231F20"/>
          <w:spacing w:val="-6"/>
          <w:sz w:val="16"/>
        </w:rPr>
        <w:t> </w:t>
      </w:r>
      <w:r>
        <w:rPr>
          <w:color w:val="231F20"/>
          <w:sz w:val="16"/>
        </w:rPr>
        <w:t>ECJ</w:t>
      </w:r>
      <w:r>
        <w:rPr>
          <w:color w:val="231F20"/>
          <w:spacing w:val="-6"/>
          <w:sz w:val="16"/>
        </w:rPr>
        <w:t> </w:t>
      </w:r>
      <w:r>
        <w:rPr>
          <w:color w:val="231F20"/>
          <w:sz w:val="16"/>
        </w:rPr>
        <w:t>6</w:t>
      </w:r>
      <w:r>
        <w:rPr>
          <w:color w:val="231F20"/>
          <w:spacing w:val="-6"/>
          <w:sz w:val="16"/>
        </w:rPr>
        <w:t> </w:t>
      </w:r>
      <w:r>
        <w:rPr>
          <w:color w:val="231F20"/>
          <w:sz w:val="16"/>
        </w:rPr>
        <w:t>Oct.</w:t>
      </w:r>
      <w:r>
        <w:rPr>
          <w:color w:val="231F20"/>
          <w:spacing w:val="-6"/>
          <w:sz w:val="16"/>
        </w:rPr>
        <w:t> </w:t>
      </w:r>
      <w:r>
        <w:rPr>
          <w:color w:val="231F20"/>
          <w:sz w:val="16"/>
        </w:rPr>
        <w:t>2009,</w:t>
      </w:r>
      <w:r>
        <w:rPr>
          <w:color w:val="231F20"/>
          <w:spacing w:val="-6"/>
          <w:sz w:val="16"/>
        </w:rPr>
        <w:t> </w:t>
      </w:r>
      <w:r>
        <w:rPr>
          <w:color w:val="231F20"/>
          <w:sz w:val="16"/>
        </w:rPr>
        <w:t>ECLI:EU:C:2009:615,</w:t>
      </w:r>
      <w:r>
        <w:rPr>
          <w:color w:val="231F20"/>
          <w:spacing w:val="40"/>
          <w:sz w:val="16"/>
        </w:rPr>
        <w:t> </w:t>
      </w:r>
      <w:r>
        <w:rPr>
          <w:i/>
          <w:color w:val="231F20"/>
          <w:spacing w:val="-2"/>
          <w:sz w:val="16"/>
        </w:rPr>
        <w:t>Asturcom</w:t>
      </w:r>
      <w:r>
        <w:rPr>
          <w:i/>
          <w:color w:val="231F20"/>
          <w:spacing w:val="-2"/>
          <w:sz w:val="16"/>
        </w:rPr>
        <w:t> Telecomunicaciones</w:t>
      </w:r>
      <w:r>
        <w:rPr>
          <w:i/>
          <w:color w:val="231F20"/>
          <w:spacing w:val="-2"/>
          <w:sz w:val="16"/>
        </w:rPr>
        <w:t> SL</w:t>
      </w:r>
      <w:r>
        <w:rPr>
          <w:i/>
          <w:color w:val="231F20"/>
          <w:spacing w:val="-2"/>
          <w:sz w:val="16"/>
        </w:rPr>
        <w:t> </w:t>
      </w:r>
      <w:r>
        <w:rPr>
          <w:color w:val="231F20"/>
          <w:spacing w:val="-2"/>
          <w:sz w:val="16"/>
        </w:rPr>
        <w:t>v.</w:t>
      </w:r>
      <w:r>
        <w:rPr>
          <w:color w:val="231F20"/>
          <w:spacing w:val="-2"/>
          <w:sz w:val="16"/>
        </w:rPr>
        <w:t> </w:t>
      </w:r>
      <w:r>
        <w:rPr>
          <w:i/>
          <w:color w:val="231F20"/>
          <w:spacing w:val="-2"/>
          <w:sz w:val="16"/>
        </w:rPr>
        <w:t>Cristina</w:t>
      </w:r>
      <w:r>
        <w:rPr>
          <w:i/>
          <w:color w:val="231F20"/>
          <w:spacing w:val="-2"/>
          <w:sz w:val="16"/>
        </w:rPr>
        <w:t> Rodríguez</w:t>
      </w:r>
      <w:r>
        <w:rPr>
          <w:i/>
          <w:color w:val="231F20"/>
          <w:spacing w:val="-2"/>
          <w:sz w:val="16"/>
        </w:rPr>
        <w:t> Nogueira</w:t>
      </w:r>
      <w:r>
        <w:rPr>
          <w:color w:val="231F20"/>
          <w:spacing w:val="-2"/>
          <w:sz w:val="16"/>
        </w:rPr>
        <w:t>,</w:t>
      </w:r>
      <w:r>
        <w:rPr>
          <w:color w:val="231F20"/>
          <w:spacing w:val="-2"/>
          <w:sz w:val="16"/>
        </w:rPr>
        <w:t> curia.europa.eu/juris/liste.jsf?</w:t>
      </w:r>
      <w:r>
        <w:rPr>
          <w:color w:val="231F20"/>
          <w:spacing w:val="40"/>
          <w:sz w:val="16"/>
        </w:rPr>
        <w:t> </w:t>
      </w:r>
      <w:r>
        <w:rPr>
          <w:color w:val="231F20"/>
          <w:sz w:val="16"/>
        </w:rPr>
        <w:t>num=C-40/08,</w:t>
      </w:r>
      <w:r>
        <w:rPr>
          <w:color w:val="231F20"/>
          <w:spacing w:val="-4"/>
          <w:sz w:val="16"/>
        </w:rPr>
        <w:t> </w:t>
      </w:r>
      <w:r>
        <w:rPr>
          <w:color w:val="231F20"/>
          <w:sz w:val="16"/>
        </w:rPr>
        <w:t>para.</w:t>
      </w:r>
      <w:r>
        <w:rPr>
          <w:color w:val="231F20"/>
          <w:spacing w:val="-4"/>
          <w:sz w:val="16"/>
        </w:rPr>
        <w:t> </w:t>
      </w:r>
      <w:r>
        <w:rPr>
          <w:color w:val="231F20"/>
          <w:sz w:val="16"/>
        </w:rPr>
        <w:t>30;</w:t>
      </w:r>
      <w:r>
        <w:rPr>
          <w:color w:val="231F20"/>
          <w:spacing w:val="-4"/>
          <w:sz w:val="16"/>
        </w:rPr>
        <w:t> </w:t>
      </w:r>
      <w:r>
        <w:rPr>
          <w:color w:val="231F20"/>
          <w:sz w:val="16"/>
        </w:rPr>
        <w:t>ECJ</w:t>
      </w:r>
      <w:r>
        <w:rPr>
          <w:color w:val="231F20"/>
          <w:spacing w:val="-4"/>
          <w:sz w:val="16"/>
        </w:rPr>
        <w:t> </w:t>
      </w:r>
      <w:r>
        <w:rPr>
          <w:color w:val="231F20"/>
          <w:sz w:val="16"/>
        </w:rPr>
        <w:t>14</w:t>
      </w:r>
      <w:r>
        <w:rPr>
          <w:color w:val="231F20"/>
          <w:spacing w:val="-3"/>
          <w:sz w:val="16"/>
        </w:rPr>
        <w:t> </w:t>
      </w:r>
      <w:r>
        <w:rPr>
          <w:color w:val="231F20"/>
          <w:sz w:val="16"/>
        </w:rPr>
        <w:t>Jun.</w:t>
      </w:r>
      <w:r>
        <w:rPr>
          <w:color w:val="231F20"/>
          <w:spacing w:val="-3"/>
          <w:sz w:val="16"/>
        </w:rPr>
        <w:t> </w:t>
      </w:r>
      <w:r>
        <w:rPr>
          <w:color w:val="231F20"/>
          <w:sz w:val="16"/>
        </w:rPr>
        <w:t>2012,</w:t>
      </w:r>
      <w:r>
        <w:rPr>
          <w:color w:val="231F20"/>
          <w:spacing w:val="-4"/>
          <w:sz w:val="16"/>
        </w:rPr>
        <w:t> </w:t>
      </w:r>
      <w:r>
        <w:rPr>
          <w:color w:val="231F20"/>
          <w:sz w:val="16"/>
        </w:rPr>
        <w:t>ECLI:EU:C:2012:349,</w:t>
      </w:r>
      <w:r>
        <w:rPr>
          <w:color w:val="231F20"/>
          <w:spacing w:val="-4"/>
          <w:sz w:val="16"/>
        </w:rPr>
        <w:t> </w:t>
      </w:r>
      <w:r>
        <w:rPr>
          <w:i/>
          <w:color w:val="231F20"/>
          <w:sz w:val="16"/>
        </w:rPr>
        <w:t>Banco</w:t>
      </w:r>
      <w:r>
        <w:rPr>
          <w:i/>
          <w:color w:val="231F20"/>
          <w:spacing w:val="-4"/>
          <w:sz w:val="16"/>
        </w:rPr>
        <w:t> </w:t>
      </w:r>
      <w:r>
        <w:rPr>
          <w:i/>
          <w:color w:val="231F20"/>
          <w:sz w:val="16"/>
        </w:rPr>
        <w:t>Español</w:t>
      </w:r>
      <w:r>
        <w:rPr>
          <w:color w:val="231F20"/>
          <w:sz w:val="16"/>
        </w:rPr>
        <w:t>,</w:t>
      </w:r>
      <w:r>
        <w:rPr>
          <w:color w:val="231F20"/>
          <w:spacing w:val="-3"/>
          <w:sz w:val="16"/>
        </w:rPr>
        <w:t> </w:t>
      </w:r>
      <w:r>
        <w:rPr>
          <w:color w:val="231F20"/>
          <w:sz w:val="16"/>
        </w:rPr>
        <w:t>para.</w:t>
      </w:r>
      <w:r>
        <w:rPr>
          <w:color w:val="231F20"/>
          <w:spacing w:val="-4"/>
          <w:sz w:val="16"/>
        </w:rPr>
        <w:t> </w:t>
      </w:r>
      <w:r>
        <w:rPr>
          <w:color w:val="231F20"/>
          <w:sz w:val="16"/>
        </w:rPr>
        <w:t>40;</w:t>
      </w:r>
      <w:r>
        <w:rPr>
          <w:color w:val="231F20"/>
          <w:spacing w:val="-3"/>
          <w:sz w:val="16"/>
        </w:rPr>
        <w:t> </w:t>
      </w:r>
      <w:r>
        <w:rPr>
          <w:color w:val="231F20"/>
          <w:sz w:val="16"/>
        </w:rPr>
        <w:t>ECJ</w:t>
      </w:r>
    </w:p>
    <w:p>
      <w:pPr>
        <w:spacing w:after="0" w:line="290" w:lineRule="auto"/>
        <w:jc w:val="both"/>
        <w:rPr>
          <w:sz w:val="16"/>
        </w:rPr>
        <w:sectPr>
          <w:pgSz w:w="11910" w:h="16840"/>
          <w:pgMar w:header="0" w:footer="2585" w:top="1920" w:bottom="2780" w:left="1680" w:right="1680"/>
        </w:sectPr>
      </w:pPr>
    </w:p>
    <w:p>
      <w:pPr>
        <w:pStyle w:val="BodyText"/>
      </w:pPr>
    </w:p>
    <w:p>
      <w:pPr>
        <w:pStyle w:val="BodyText"/>
        <w:spacing w:before="162"/>
      </w:pPr>
    </w:p>
    <w:p>
      <w:pPr>
        <w:pStyle w:val="BodyText"/>
        <w:spacing w:line="285" w:lineRule="auto"/>
        <w:ind w:left="871" w:right="869"/>
        <w:jc w:val="both"/>
      </w:pPr>
      <w:r>
        <w:rPr>
          <w:color w:val="231F20"/>
        </w:rPr>
        <w:t>correction</w:t>
      </w:r>
      <w:r>
        <w:rPr>
          <w:color w:val="231F20"/>
          <w:spacing w:val="-5"/>
        </w:rPr>
        <w:t> </w:t>
      </w:r>
      <w:r>
        <w:rPr>
          <w:color w:val="231F20"/>
        </w:rPr>
        <w:t>of</w:t>
      </w:r>
      <w:r>
        <w:rPr>
          <w:color w:val="231F20"/>
          <w:spacing w:val="-4"/>
        </w:rPr>
        <w:t> </w:t>
      </w:r>
      <w:r>
        <w:rPr>
          <w:color w:val="231F20"/>
        </w:rPr>
        <w:t>that</w:t>
      </w:r>
      <w:r>
        <w:rPr>
          <w:color w:val="231F20"/>
          <w:spacing w:val="-5"/>
        </w:rPr>
        <w:t> </w:t>
      </w:r>
      <w:r>
        <w:rPr>
          <w:color w:val="231F20"/>
        </w:rPr>
        <w:t>imbalance</w:t>
      </w:r>
      <w:r>
        <w:rPr>
          <w:color w:val="231F20"/>
          <w:spacing w:val="-7"/>
        </w:rPr>
        <w:t> </w:t>
      </w:r>
      <w:r>
        <w:rPr>
          <w:color w:val="231F20"/>
        </w:rPr>
        <w:t>requires</w:t>
      </w:r>
      <w:r>
        <w:rPr>
          <w:color w:val="231F20"/>
          <w:spacing w:val="-6"/>
        </w:rPr>
        <w:t> </w:t>
      </w:r>
      <w:r>
        <w:rPr>
          <w:color w:val="231F20"/>
        </w:rPr>
        <w:t>a</w:t>
      </w:r>
      <w:r>
        <w:rPr>
          <w:color w:val="231F20"/>
          <w:spacing w:val="-5"/>
        </w:rPr>
        <w:t> </w:t>
      </w:r>
      <w:r>
        <w:rPr>
          <w:rFonts w:ascii="Arial" w:hAnsi="Arial"/>
          <w:color w:val="231F20"/>
        </w:rPr>
        <w:t>‘</w:t>
      </w:r>
      <w:r>
        <w:rPr>
          <w:color w:val="231F20"/>
        </w:rPr>
        <w:t>positive</w:t>
      </w:r>
      <w:r>
        <w:rPr>
          <w:color w:val="231F20"/>
          <w:spacing w:val="-7"/>
        </w:rPr>
        <w:t> </w:t>
      </w:r>
      <w:r>
        <w:rPr>
          <w:color w:val="231F20"/>
        </w:rPr>
        <w:t>action</w:t>
      </w:r>
      <w:r>
        <w:rPr>
          <w:color w:val="231F20"/>
          <w:spacing w:val="-6"/>
        </w:rPr>
        <w:t> </w:t>
      </w:r>
      <w:r>
        <w:rPr>
          <w:color w:val="231F20"/>
        </w:rPr>
        <w:t>unconnected</w:t>
      </w:r>
      <w:r>
        <w:rPr>
          <w:color w:val="231F20"/>
          <w:spacing w:val="-6"/>
        </w:rPr>
        <w:t> </w:t>
      </w:r>
      <w:r>
        <w:rPr>
          <w:color w:val="231F20"/>
        </w:rPr>
        <w:t>to</w:t>
      </w:r>
      <w:r>
        <w:rPr>
          <w:color w:val="231F20"/>
          <w:spacing w:val="-5"/>
        </w:rPr>
        <w:t> </w:t>
      </w:r>
      <w:r>
        <w:rPr>
          <w:color w:val="231F20"/>
        </w:rPr>
        <w:t>the</w:t>
      </w:r>
      <w:r>
        <w:rPr>
          <w:color w:val="231F20"/>
          <w:spacing w:val="-6"/>
        </w:rPr>
        <w:t> </w:t>
      </w:r>
      <w:r>
        <w:rPr>
          <w:color w:val="231F20"/>
        </w:rPr>
        <w:t>parties to the contract</w:t>
      </w:r>
      <w:r>
        <w:rPr>
          <w:rFonts w:ascii="Arial" w:hAnsi="Arial"/>
          <w:color w:val="231F20"/>
        </w:rPr>
        <w:t>’</w:t>
      </w:r>
      <w:r>
        <w:rPr>
          <w:color w:val="231F20"/>
        </w:rPr>
        <w:t>.</w:t>
      </w:r>
      <w:r>
        <w:rPr>
          <w:color w:val="231F20"/>
          <w:vertAlign w:val="superscript"/>
        </w:rPr>
        <w:t>14</w:t>
      </w:r>
      <w:r>
        <w:rPr>
          <w:color w:val="231F20"/>
          <w:vertAlign w:val="baseline"/>
        </w:rPr>
        <w:t> This mandates Member States to implement adequate </w:t>
      </w:r>
      <w:r>
        <w:rPr>
          <w:color w:val="231F20"/>
          <w:vertAlign w:val="baseline"/>
        </w:rPr>
        <w:t>and effective means to prevent the continued use of unfair terms (Art. 7(1) UCTD).</w:t>
      </w:r>
      <w:r>
        <w:rPr>
          <w:color w:val="231F20"/>
          <w:vertAlign w:val="superscript"/>
        </w:rPr>
        <w:t>15</w:t>
      </w:r>
      <w:r>
        <w:rPr>
          <w:color w:val="231F20"/>
          <w:spacing w:val="40"/>
          <w:vertAlign w:val="baseline"/>
        </w:rPr>
        <w:t> </w:t>
      </w:r>
      <w:r>
        <w:rPr>
          <w:color w:val="231F20"/>
          <w:vertAlign w:val="baseline"/>
        </w:rPr>
        <w:t>It also refers to the dissuasive function of Article 6(1) UCTD.</w:t>
      </w:r>
      <w:r>
        <w:rPr>
          <w:color w:val="231F20"/>
          <w:vertAlign w:val="superscript"/>
        </w:rPr>
        <w:t>16</w:t>
      </w:r>
    </w:p>
    <w:p>
      <w:pPr>
        <w:pStyle w:val="ListParagraph"/>
        <w:numPr>
          <w:ilvl w:val="0"/>
          <w:numId w:val="4"/>
        </w:numPr>
        <w:tabs>
          <w:tab w:pos="1324" w:val="left" w:leader="none"/>
        </w:tabs>
        <w:spacing w:line="288" w:lineRule="auto" w:before="123" w:after="0"/>
        <w:ind w:left="871" w:right="867" w:firstLine="0"/>
        <w:jc w:val="both"/>
        <w:rPr>
          <w:sz w:val="19"/>
        </w:rPr>
      </w:pPr>
      <w:r>
        <w:rPr>
          <w:color w:val="231F20"/>
          <w:spacing w:val="-2"/>
          <w:sz w:val="19"/>
        </w:rPr>
        <w:t>It</w:t>
      </w:r>
      <w:r>
        <w:rPr>
          <w:color w:val="231F20"/>
          <w:spacing w:val="-5"/>
          <w:sz w:val="19"/>
        </w:rPr>
        <w:t> </w:t>
      </w:r>
      <w:r>
        <w:rPr>
          <w:color w:val="231F20"/>
          <w:spacing w:val="-2"/>
          <w:sz w:val="19"/>
        </w:rPr>
        <w:t>was</w:t>
      </w:r>
      <w:r>
        <w:rPr>
          <w:color w:val="231F20"/>
          <w:spacing w:val="-6"/>
          <w:sz w:val="19"/>
        </w:rPr>
        <w:t> </w:t>
      </w:r>
      <w:r>
        <w:rPr>
          <w:color w:val="231F20"/>
          <w:spacing w:val="-2"/>
          <w:sz w:val="19"/>
        </w:rPr>
        <w:t>soon</w:t>
      </w:r>
      <w:r>
        <w:rPr>
          <w:color w:val="231F20"/>
          <w:spacing w:val="-4"/>
          <w:sz w:val="19"/>
        </w:rPr>
        <w:t> </w:t>
      </w:r>
      <w:r>
        <w:rPr>
          <w:color w:val="231F20"/>
          <w:spacing w:val="-2"/>
          <w:sz w:val="19"/>
        </w:rPr>
        <w:t>added</w:t>
      </w:r>
      <w:r>
        <w:rPr>
          <w:color w:val="231F20"/>
          <w:spacing w:val="-5"/>
          <w:sz w:val="19"/>
        </w:rPr>
        <w:t> </w:t>
      </w:r>
      <w:r>
        <w:rPr>
          <w:color w:val="231F20"/>
          <w:spacing w:val="-2"/>
          <w:sz w:val="19"/>
        </w:rPr>
        <w:t>that</w:t>
      </w:r>
      <w:r>
        <w:rPr>
          <w:color w:val="231F20"/>
          <w:spacing w:val="-5"/>
          <w:sz w:val="19"/>
        </w:rPr>
        <w:t> </w:t>
      </w:r>
      <w:r>
        <w:rPr>
          <w:color w:val="231F20"/>
          <w:spacing w:val="-2"/>
          <w:sz w:val="19"/>
        </w:rPr>
        <w:t>Article</w:t>
      </w:r>
      <w:r>
        <w:rPr>
          <w:color w:val="231F20"/>
          <w:spacing w:val="-5"/>
          <w:sz w:val="19"/>
        </w:rPr>
        <w:t> </w:t>
      </w:r>
      <w:r>
        <w:rPr>
          <w:color w:val="231F20"/>
          <w:spacing w:val="-2"/>
          <w:sz w:val="19"/>
        </w:rPr>
        <w:t>6(1)</w:t>
      </w:r>
      <w:r>
        <w:rPr>
          <w:color w:val="231F20"/>
          <w:spacing w:val="-5"/>
          <w:sz w:val="19"/>
        </w:rPr>
        <w:t> </w:t>
      </w:r>
      <w:r>
        <w:rPr>
          <w:color w:val="231F20"/>
          <w:spacing w:val="-2"/>
          <w:sz w:val="19"/>
        </w:rPr>
        <w:t>UCTD</w:t>
      </w:r>
      <w:r>
        <w:rPr>
          <w:color w:val="231F20"/>
          <w:spacing w:val="-4"/>
          <w:sz w:val="19"/>
        </w:rPr>
        <w:t> </w:t>
      </w:r>
      <w:r>
        <w:rPr>
          <w:color w:val="231F20"/>
          <w:spacing w:val="-2"/>
          <w:sz w:val="19"/>
        </w:rPr>
        <w:t>should</w:t>
      </w:r>
      <w:r>
        <w:rPr>
          <w:color w:val="231F20"/>
          <w:spacing w:val="-6"/>
          <w:sz w:val="19"/>
        </w:rPr>
        <w:t> </w:t>
      </w:r>
      <w:r>
        <w:rPr>
          <w:color w:val="231F20"/>
          <w:spacing w:val="-2"/>
          <w:sz w:val="19"/>
        </w:rPr>
        <w:t>be</w:t>
      </w:r>
      <w:r>
        <w:rPr>
          <w:color w:val="231F20"/>
          <w:spacing w:val="-4"/>
          <w:sz w:val="19"/>
        </w:rPr>
        <w:t> </w:t>
      </w:r>
      <w:r>
        <w:rPr>
          <w:color w:val="231F20"/>
          <w:spacing w:val="-2"/>
          <w:sz w:val="19"/>
        </w:rPr>
        <w:t>regarded</w:t>
      </w:r>
      <w:r>
        <w:rPr>
          <w:color w:val="231F20"/>
          <w:spacing w:val="-5"/>
          <w:sz w:val="19"/>
        </w:rPr>
        <w:t> </w:t>
      </w:r>
      <w:r>
        <w:rPr>
          <w:color w:val="231F20"/>
          <w:spacing w:val="-2"/>
          <w:sz w:val="19"/>
        </w:rPr>
        <w:t>as</w:t>
      </w:r>
      <w:r>
        <w:rPr>
          <w:color w:val="231F20"/>
          <w:spacing w:val="-5"/>
          <w:sz w:val="19"/>
        </w:rPr>
        <w:t> </w:t>
      </w:r>
      <w:r>
        <w:rPr>
          <w:color w:val="231F20"/>
          <w:spacing w:val="-2"/>
          <w:sz w:val="19"/>
        </w:rPr>
        <w:t>a</w:t>
      </w:r>
      <w:r>
        <w:rPr>
          <w:color w:val="231F20"/>
          <w:spacing w:val="-5"/>
          <w:sz w:val="19"/>
        </w:rPr>
        <w:t> </w:t>
      </w:r>
      <w:r>
        <w:rPr>
          <w:color w:val="231F20"/>
          <w:spacing w:val="-2"/>
          <w:sz w:val="19"/>
        </w:rPr>
        <w:t>provision</w:t>
      </w:r>
      <w:r>
        <w:rPr>
          <w:color w:val="231F20"/>
          <w:spacing w:val="-7"/>
          <w:sz w:val="19"/>
        </w:rPr>
        <w:t> </w:t>
      </w:r>
      <w:r>
        <w:rPr>
          <w:color w:val="231F20"/>
          <w:spacing w:val="-2"/>
          <w:sz w:val="19"/>
        </w:rPr>
        <w:t>of </w:t>
      </w:r>
      <w:r>
        <w:rPr>
          <w:color w:val="231F20"/>
          <w:sz w:val="19"/>
        </w:rPr>
        <w:t>equal</w:t>
      </w:r>
      <w:r>
        <w:rPr>
          <w:color w:val="231F20"/>
          <w:spacing w:val="-12"/>
          <w:sz w:val="19"/>
        </w:rPr>
        <w:t> </w:t>
      </w:r>
      <w:r>
        <w:rPr>
          <w:color w:val="231F20"/>
          <w:sz w:val="19"/>
        </w:rPr>
        <w:t>standing</w:t>
      </w:r>
      <w:r>
        <w:rPr>
          <w:color w:val="231F20"/>
          <w:spacing w:val="-11"/>
          <w:sz w:val="19"/>
        </w:rPr>
        <w:t> </w:t>
      </w:r>
      <w:r>
        <w:rPr>
          <w:color w:val="231F20"/>
          <w:sz w:val="19"/>
        </w:rPr>
        <w:t>to</w:t>
      </w:r>
      <w:r>
        <w:rPr>
          <w:color w:val="231F20"/>
          <w:spacing w:val="-12"/>
          <w:sz w:val="19"/>
        </w:rPr>
        <w:t> </w:t>
      </w:r>
      <w:r>
        <w:rPr>
          <w:color w:val="231F20"/>
          <w:sz w:val="19"/>
        </w:rPr>
        <w:t>national</w:t>
      </w:r>
      <w:r>
        <w:rPr>
          <w:color w:val="231F20"/>
          <w:spacing w:val="-11"/>
          <w:sz w:val="19"/>
        </w:rPr>
        <w:t> </w:t>
      </w:r>
      <w:r>
        <w:rPr>
          <w:color w:val="231F20"/>
          <w:sz w:val="19"/>
        </w:rPr>
        <w:t>rules</w:t>
      </w:r>
      <w:r>
        <w:rPr>
          <w:color w:val="231F20"/>
          <w:spacing w:val="-12"/>
          <w:sz w:val="19"/>
        </w:rPr>
        <w:t> </w:t>
      </w:r>
      <w:r>
        <w:rPr>
          <w:color w:val="231F20"/>
          <w:sz w:val="19"/>
        </w:rPr>
        <w:t>that</w:t>
      </w:r>
      <w:r>
        <w:rPr>
          <w:color w:val="231F20"/>
          <w:spacing w:val="-11"/>
          <w:sz w:val="19"/>
        </w:rPr>
        <w:t> </w:t>
      </w:r>
      <w:r>
        <w:rPr>
          <w:color w:val="231F20"/>
          <w:sz w:val="19"/>
        </w:rPr>
        <w:t>rank</w:t>
      </w:r>
      <w:r>
        <w:rPr>
          <w:color w:val="231F20"/>
          <w:spacing w:val="-12"/>
          <w:sz w:val="19"/>
        </w:rPr>
        <w:t> </w:t>
      </w:r>
      <w:r>
        <w:rPr>
          <w:color w:val="231F20"/>
          <w:sz w:val="19"/>
        </w:rPr>
        <w:t>as</w:t>
      </w:r>
      <w:r>
        <w:rPr>
          <w:color w:val="231F20"/>
          <w:spacing w:val="-11"/>
          <w:sz w:val="19"/>
        </w:rPr>
        <w:t> </w:t>
      </w:r>
      <w:r>
        <w:rPr>
          <w:color w:val="231F20"/>
          <w:sz w:val="19"/>
        </w:rPr>
        <w:t>rules</w:t>
      </w:r>
      <w:r>
        <w:rPr>
          <w:color w:val="231F20"/>
          <w:spacing w:val="-11"/>
          <w:sz w:val="19"/>
        </w:rPr>
        <w:t> </w:t>
      </w:r>
      <w:r>
        <w:rPr>
          <w:color w:val="231F20"/>
          <w:sz w:val="19"/>
        </w:rPr>
        <w:t>of</w:t>
      </w:r>
      <w:r>
        <w:rPr>
          <w:color w:val="231F20"/>
          <w:spacing w:val="-12"/>
          <w:sz w:val="19"/>
        </w:rPr>
        <w:t> </w:t>
      </w:r>
      <w:r>
        <w:rPr>
          <w:color w:val="231F20"/>
          <w:sz w:val="19"/>
        </w:rPr>
        <w:t>public</w:t>
      </w:r>
      <w:r>
        <w:rPr>
          <w:color w:val="231F20"/>
          <w:spacing w:val="-11"/>
          <w:sz w:val="19"/>
        </w:rPr>
        <w:t> </w:t>
      </w:r>
      <w:r>
        <w:rPr>
          <w:color w:val="231F20"/>
          <w:sz w:val="19"/>
        </w:rPr>
        <w:t>policy</w:t>
      </w:r>
      <w:r>
        <w:rPr>
          <w:color w:val="231F20"/>
          <w:spacing w:val="-12"/>
          <w:sz w:val="19"/>
        </w:rPr>
        <w:t> </w:t>
      </w:r>
      <w:r>
        <w:rPr>
          <w:color w:val="231F20"/>
          <w:sz w:val="19"/>
        </w:rPr>
        <w:t>in</w:t>
      </w:r>
      <w:r>
        <w:rPr>
          <w:color w:val="231F20"/>
          <w:spacing w:val="-11"/>
          <w:sz w:val="19"/>
        </w:rPr>
        <w:t> </w:t>
      </w:r>
      <w:r>
        <w:rPr>
          <w:color w:val="231F20"/>
          <w:sz w:val="19"/>
        </w:rPr>
        <w:t>domestic</w:t>
      </w:r>
      <w:r>
        <w:rPr>
          <w:color w:val="231F20"/>
          <w:spacing w:val="-11"/>
          <w:sz w:val="19"/>
        </w:rPr>
        <w:t> </w:t>
      </w:r>
      <w:r>
        <w:rPr>
          <w:color w:val="231F20"/>
          <w:sz w:val="19"/>
        </w:rPr>
        <w:t>legal systems.</w:t>
      </w:r>
      <w:r>
        <w:rPr>
          <w:color w:val="231F20"/>
          <w:sz w:val="19"/>
          <w:vertAlign w:val="superscript"/>
        </w:rPr>
        <w:t>17</w:t>
      </w:r>
      <w:r>
        <w:rPr>
          <w:color w:val="231F20"/>
          <w:sz w:val="19"/>
          <w:vertAlign w:val="baseline"/>
        </w:rPr>
        <w:t> The Court considered that the protection granted by the UCTD </w:t>
      </w:r>
      <w:r>
        <w:rPr>
          <w:color w:val="231F20"/>
          <w:sz w:val="19"/>
          <w:vertAlign w:val="baseline"/>
        </w:rPr>
        <w:t>to consumers corresponds to a public interest entrusted to the EU, which has on occasion been referred to as raising the standard of living and the quality of life throughout the Union.</w:t>
      </w:r>
      <w:r>
        <w:rPr>
          <w:color w:val="231F20"/>
          <w:sz w:val="19"/>
          <w:vertAlign w:val="superscript"/>
        </w:rPr>
        <w:t>18</w:t>
      </w:r>
    </w:p>
    <w:p>
      <w:pPr>
        <w:pStyle w:val="ListParagraph"/>
        <w:numPr>
          <w:ilvl w:val="0"/>
          <w:numId w:val="4"/>
        </w:numPr>
        <w:tabs>
          <w:tab w:pos="1324" w:val="left" w:leader="none"/>
        </w:tabs>
        <w:spacing w:line="288" w:lineRule="auto" w:before="119" w:after="0"/>
        <w:ind w:left="871" w:right="867" w:firstLine="0"/>
        <w:jc w:val="both"/>
        <w:rPr>
          <w:sz w:val="19"/>
        </w:rPr>
      </w:pPr>
      <w:r>
        <w:rPr>
          <w:color w:val="231F20"/>
          <w:sz w:val="19"/>
        </w:rPr>
        <w:t>However, despite this advancement over procedural autonomy, more meat was needed on the bone to further define the mandatory nature of Article 6(1) UCTD.</w:t>
      </w:r>
      <w:r>
        <w:rPr>
          <w:color w:val="231F20"/>
          <w:spacing w:val="-12"/>
          <w:sz w:val="19"/>
        </w:rPr>
        <w:t> </w:t>
      </w:r>
      <w:r>
        <w:rPr>
          <w:color w:val="231F20"/>
          <w:sz w:val="19"/>
        </w:rPr>
        <w:t>On</w:t>
      </w:r>
      <w:r>
        <w:rPr>
          <w:color w:val="231F20"/>
          <w:spacing w:val="-11"/>
          <w:sz w:val="19"/>
        </w:rPr>
        <w:t> </w:t>
      </w:r>
      <w:r>
        <w:rPr>
          <w:color w:val="231F20"/>
          <w:sz w:val="19"/>
        </w:rPr>
        <w:t>this,</w:t>
      </w:r>
      <w:r>
        <w:rPr>
          <w:color w:val="231F20"/>
          <w:spacing w:val="-12"/>
          <w:sz w:val="19"/>
        </w:rPr>
        <w:t> </w:t>
      </w:r>
      <w:r>
        <w:rPr>
          <w:color w:val="231F20"/>
          <w:sz w:val="19"/>
        </w:rPr>
        <w:t>the</w:t>
      </w:r>
      <w:r>
        <w:rPr>
          <w:color w:val="231F20"/>
          <w:spacing w:val="-11"/>
          <w:sz w:val="19"/>
        </w:rPr>
        <w:t> </w:t>
      </w:r>
      <w:r>
        <w:rPr>
          <w:color w:val="231F20"/>
          <w:sz w:val="19"/>
        </w:rPr>
        <w:t>ECJ</w:t>
      </w:r>
      <w:r>
        <w:rPr>
          <w:color w:val="231F20"/>
          <w:spacing w:val="-12"/>
          <w:sz w:val="19"/>
        </w:rPr>
        <w:t> </w:t>
      </w:r>
      <w:r>
        <w:rPr>
          <w:color w:val="231F20"/>
          <w:sz w:val="19"/>
        </w:rPr>
        <w:t>considered</w:t>
      </w:r>
      <w:r>
        <w:rPr>
          <w:color w:val="231F20"/>
          <w:spacing w:val="-11"/>
          <w:sz w:val="19"/>
        </w:rPr>
        <w:t> </w:t>
      </w:r>
      <w:r>
        <w:rPr>
          <w:color w:val="231F20"/>
          <w:sz w:val="19"/>
        </w:rPr>
        <w:t>that</w:t>
      </w:r>
      <w:r>
        <w:rPr>
          <w:color w:val="231F20"/>
          <w:spacing w:val="-12"/>
          <w:sz w:val="19"/>
        </w:rPr>
        <w:t> </w:t>
      </w:r>
      <w:r>
        <w:rPr>
          <w:color w:val="231F20"/>
          <w:sz w:val="19"/>
        </w:rPr>
        <w:t>national</w:t>
      </w:r>
      <w:r>
        <w:rPr>
          <w:color w:val="231F20"/>
          <w:spacing w:val="-11"/>
          <w:sz w:val="19"/>
        </w:rPr>
        <w:t> </w:t>
      </w:r>
      <w:r>
        <w:rPr>
          <w:color w:val="231F20"/>
          <w:sz w:val="19"/>
        </w:rPr>
        <w:t>courts</w:t>
      </w:r>
      <w:r>
        <w:rPr>
          <w:color w:val="231F20"/>
          <w:spacing w:val="-12"/>
          <w:sz w:val="19"/>
        </w:rPr>
        <w:t> </w:t>
      </w:r>
      <w:r>
        <w:rPr>
          <w:color w:val="231F20"/>
          <w:sz w:val="19"/>
        </w:rPr>
        <w:t>should</w:t>
      </w:r>
      <w:r>
        <w:rPr>
          <w:color w:val="231F20"/>
          <w:spacing w:val="-11"/>
          <w:sz w:val="19"/>
        </w:rPr>
        <w:t> </w:t>
      </w:r>
      <w:r>
        <w:rPr>
          <w:color w:val="231F20"/>
          <w:sz w:val="19"/>
        </w:rPr>
        <w:t>assess,</w:t>
      </w:r>
      <w:r>
        <w:rPr>
          <w:color w:val="231F20"/>
          <w:spacing w:val="-12"/>
          <w:sz w:val="19"/>
        </w:rPr>
        <w:t> </w:t>
      </w:r>
      <w:r>
        <w:rPr>
          <w:color w:val="231F20"/>
          <w:sz w:val="19"/>
        </w:rPr>
        <w:t>of</w:t>
      </w:r>
      <w:r>
        <w:rPr>
          <w:color w:val="231F20"/>
          <w:spacing w:val="-11"/>
          <w:sz w:val="19"/>
        </w:rPr>
        <w:t> </w:t>
      </w:r>
      <w:r>
        <w:rPr>
          <w:color w:val="231F20"/>
          <w:sz w:val="19"/>
        </w:rPr>
        <w:t>their</w:t>
      </w:r>
      <w:r>
        <w:rPr>
          <w:color w:val="231F20"/>
          <w:spacing w:val="-11"/>
          <w:sz w:val="19"/>
        </w:rPr>
        <w:t> </w:t>
      </w:r>
      <w:r>
        <w:rPr>
          <w:color w:val="231F20"/>
          <w:sz w:val="19"/>
        </w:rPr>
        <w:t>own motion, the</w:t>
      </w:r>
      <w:r>
        <w:rPr>
          <w:color w:val="231F20"/>
          <w:spacing w:val="-1"/>
          <w:sz w:val="19"/>
        </w:rPr>
        <w:t> </w:t>
      </w:r>
      <w:r>
        <w:rPr>
          <w:color w:val="231F20"/>
          <w:sz w:val="19"/>
        </w:rPr>
        <w:t>unfairness of terms when they have</w:t>
      </w:r>
      <w:r>
        <w:rPr>
          <w:color w:val="231F20"/>
          <w:spacing w:val="-2"/>
          <w:sz w:val="19"/>
        </w:rPr>
        <w:t> </w:t>
      </w:r>
      <w:r>
        <w:rPr>
          <w:color w:val="231F20"/>
          <w:sz w:val="19"/>
        </w:rPr>
        <w:t>all the</w:t>
      </w:r>
      <w:r>
        <w:rPr>
          <w:color w:val="231F20"/>
          <w:spacing w:val="-1"/>
          <w:sz w:val="19"/>
        </w:rPr>
        <w:t> </w:t>
      </w:r>
      <w:r>
        <w:rPr>
          <w:color w:val="231F20"/>
          <w:sz w:val="19"/>
        </w:rPr>
        <w:t>factual and</w:t>
      </w:r>
      <w:r>
        <w:rPr>
          <w:color w:val="231F20"/>
          <w:spacing w:val="-1"/>
          <w:sz w:val="19"/>
        </w:rPr>
        <w:t> </w:t>
      </w:r>
      <w:r>
        <w:rPr>
          <w:color w:val="231F20"/>
          <w:sz w:val="19"/>
        </w:rPr>
        <w:t>legal elements that</w:t>
      </w:r>
      <w:r>
        <w:rPr>
          <w:color w:val="231F20"/>
          <w:spacing w:val="-1"/>
          <w:sz w:val="19"/>
        </w:rPr>
        <w:t> </w:t>
      </w:r>
      <w:r>
        <w:rPr>
          <w:color w:val="231F20"/>
          <w:sz w:val="19"/>
        </w:rPr>
        <w:t>are</w:t>
      </w:r>
      <w:r>
        <w:rPr>
          <w:color w:val="231F20"/>
          <w:spacing w:val="-4"/>
          <w:sz w:val="19"/>
        </w:rPr>
        <w:t> </w:t>
      </w:r>
      <w:r>
        <w:rPr>
          <w:color w:val="231F20"/>
          <w:sz w:val="19"/>
        </w:rPr>
        <w:t>necessary</w:t>
      </w:r>
      <w:r>
        <w:rPr>
          <w:color w:val="231F20"/>
          <w:spacing w:val="-4"/>
          <w:sz w:val="19"/>
        </w:rPr>
        <w:t> </w:t>
      </w:r>
      <w:r>
        <w:rPr>
          <w:color w:val="231F20"/>
          <w:sz w:val="19"/>
        </w:rPr>
        <w:t>for</w:t>
      </w:r>
      <w:r>
        <w:rPr>
          <w:color w:val="231F20"/>
          <w:spacing w:val="-6"/>
          <w:sz w:val="19"/>
        </w:rPr>
        <w:t> </w:t>
      </w:r>
      <w:r>
        <w:rPr>
          <w:color w:val="231F20"/>
          <w:sz w:val="19"/>
        </w:rPr>
        <w:t>that</w:t>
      </w:r>
      <w:r>
        <w:rPr>
          <w:color w:val="231F20"/>
          <w:spacing w:val="-4"/>
          <w:sz w:val="19"/>
        </w:rPr>
        <w:t> </w:t>
      </w:r>
      <w:r>
        <w:rPr>
          <w:color w:val="231F20"/>
          <w:sz w:val="19"/>
        </w:rPr>
        <w:t>task.</w:t>
      </w:r>
      <w:r>
        <w:rPr>
          <w:color w:val="231F20"/>
          <w:sz w:val="19"/>
          <w:vertAlign w:val="superscript"/>
        </w:rPr>
        <w:t>19</w:t>
      </w:r>
      <w:r>
        <w:rPr>
          <w:color w:val="231F20"/>
          <w:spacing w:val="-4"/>
          <w:sz w:val="19"/>
          <w:vertAlign w:val="baseline"/>
        </w:rPr>
        <w:t> </w:t>
      </w:r>
      <w:r>
        <w:rPr>
          <w:color w:val="231F20"/>
          <w:sz w:val="19"/>
          <w:vertAlign w:val="baseline"/>
        </w:rPr>
        <w:t>Following</w:t>
      </w:r>
      <w:r>
        <w:rPr>
          <w:color w:val="231F20"/>
          <w:spacing w:val="-4"/>
          <w:sz w:val="19"/>
          <w:vertAlign w:val="baseline"/>
        </w:rPr>
        <w:t> </w:t>
      </w:r>
      <w:r>
        <w:rPr>
          <w:color w:val="231F20"/>
          <w:sz w:val="19"/>
          <w:vertAlign w:val="baseline"/>
        </w:rPr>
        <w:t>that</w:t>
      </w:r>
      <w:r>
        <w:rPr>
          <w:color w:val="231F20"/>
          <w:spacing w:val="-1"/>
          <w:sz w:val="19"/>
          <w:vertAlign w:val="baseline"/>
        </w:rPr>
        <w:t> </w:t>
      </w:r>
      <w:r>
        <w:rPr>
          <w:color w:val="231F20"/>
          <w:sz w:val="19"/>
          <w:vertAlign w:val="baseline"/>
        </w:rPr>
        <w:t>assessment,</w:t>
      </w:r>
      <w:r>
        <w:rPr>
          <w:color w:val="231F20"/>
          <w:spacing w:val="-4"/>
          <w:sz w:val="19"/>
          <w:vertAlign w:val="baseline"/>
        </w:rPr>
        <w:t> </w:t>
      </w:r>
      <w:r>
        <w:rPr>
          <w:color w:val="231F20"/>
          <w:sz w:val="19"/>
          <w:vertAlign w:val="baseline"/>
        </w:rPr>
        <w:t>courts</w:t>
      </w:r>
      <w:r>
        <w:rPr>
          <w:color w:val="231F20"/>
          <w:spacing w:val="-4"/>
          <w:sz w:val="19"/>
          <w:vertAlign w:val="baseline"/>
        </w:rPr>
        <w:t> </w:t>
      </w:r>
      <w:r>
        <w:rPr>
          <w:color w:val="231F20"/>
          <w:sz w:val="19"/>
          <w:vertAlign w:val="baseline"/>
        </w:rPr>
        <w:t>are</w:t>
      </w:r>
      <w:r>
        <w:rPr>
          <w:color w:val="231F20"/>
          <w:spacing w:val="-4"/>
          <w:sz w:val="19"/>
          <w:vertAlign w:val="baseline"/>
        </w:rPr>
        <w:t> </w:t>
      </w:r>
      <w:r>
        <w:rPr>
          <w:color w:val="231F20"/>
          <w:sz w:val="19"/>
          <w:vertAlign w:val="baseline"/>
        </w:rPr>
        <w:t>obliged</w:t>
      </w:r>
      <w:r>
        <w:rPr>
          <w:color w:val="231F20"/>
          <w:spacing w:val="-4"/>
          <w:sz w:val="19"/>
          <w:vertAlign w:val="baseline"/>
        </w:rPr>
        <w:t> </w:t>
      </w:r>
      <w:r>
        <w:rPr>
          <w:color w:val="231F20"/>
          <w:sz w:val="19"/>
          <w:vertAlign w:val="baseline"/>
        </w:rPr>
        <w:t>to disapply any unfair term.</w:t>
      </w:r>
      <w:r>
        <w:rPr>
          <w:color w:val="231F20"/>
          <w:sz w:val="19"/>
          <w:vertAlign w:val="superscript"/>
        </w:rPr>
        <w:t>20</w:t>
      </w:r>
      <w:r>
        <w:rPr>
          <w:color w:val="231F20"/>
          <w:sz w:val="19"/>
          <w:vertAlign w:val="baseline"/>
        </w:rPr>
        <w:t> To require an ex officio control of unfairness, even where the</w:t>
      </w:r>
      <w:r>
        <w:rPr>
          <w:color w:val="231F20"/>
          <w:spacing w:val="-1"/>
          <w:sz w:val="19"/>
          <w:vertAlign w:val="baseline"/>
        </w:rPr>
        <w:t> </w:t>
      </w:r>
      <w:r>
        <w:rPr>
          <w:color w:val="231F20"/>
          <w:sz w:val="19"/>
          <w:vertAlign w:val="baseline"/>
        </w:rPr>
        <w:t>consumer does not challenge</w:t>
      </w:r>
      <w:r>
        <w:rPr>
          <w:color w:val="231F20"/>
          <w:spacing w:val="-1"/>
          <w:sz w:val="19"/>
          <w:vertAlign w:val="baseline"/>
        </w:rPr>
        <w:t> </w:t>
      </w:r>
      <w:r>
        <w:rPr>
          <w:color w:val="231F20"/>
          <w:sz w:val="19"/>
          <w:vertAlign w:val="baseline"/>
        </w:rPr>
        <w:t>the term, creates a rule</w:t>
      </w:r>
      <w:r>
        <w:rPr>
          <w:color w:val="231F20"/>
          <w:spacing w:val="-1"/>
          <w:sz w:val="19"/>
          <w:vertAlign w:val="baseline"/>
        </w:rPr>
        <w:t> </w:t>
      </w:r>
      <w:r>
        <w:rPr>
          <w:color w:val="231F20"/>
          <w:sz w:val="19"/>
          <w:vertAlign w:val="baseline"/>
        </w:rPr>
        <w:t>that limits proce- dural autonomy. The justification lies in the importance of the public interest underlying the protection that the UCTD confers.</w:t>
      </w:r>
      <w:r>
        <w:rPr>
          <w:color w:val="231F20"/>
          <w:sz w:val="19"/>
          <w:vertAlign w:val="superscript"/>
        </w:rPr>
        <w:t>21</w:t>
      </w:r>
    </w:p>
    <w:p>
      <w:pPr>
        <w:pStyle w:val="ListParagraph"/>
        <w:numPr>
          <w:ilvl w:val="0"/>
          <w:numId w:val="4"/>
        </w:numPr>
        <w:tabs>
          <w:tab w:pos="1324" w:val="left" w:leader="none"/>
        </w:tabs>
        <w:spacing w:line="288" w:lineRule="auto" w:before="120" w:after="0"/>
        <w:ind w:left="871" w:right="868" w:firstLine="0"/>
        <w:jc w:val="both"/>
        <w:rPr>
          <w:sz w:val="19"/>
        </w:rPr>
      </w:pPr>
      <w:r>
        <w:rPr>
          <w:color w:val="231F20"/>
          <w:sz w:val="19"/>
        </w:rPr>
        <w:t>Therefore, to date, Article 6(1) UCTD is a mandatory provision of equal standing to national rules of public policy. The (EU) public interest requires </w:t>
      </w:r>
      <w:r>
        <w:rPr>
          <w:color w:val="231F20"/>
          <w:sz w:val="19"/>
        </w:rPr>
        <w:t>ex officio control, which leads to the term not being binding on the consumer.</w:t>
      </w:r>
    </w:p>
    <w:p>
      <w:pPr>
        <w:pStyle w:val="BodyText"/>
        <w:rPr>
          <w:sz w:val="20"/>
        </w:rPr>
      </w:pPr>
    </w:p>
    <w:p>
      <w:pPr>
        <w:pStyle w:val="BodyText"/>
        <w:spacing w:before="4"/>
        <w:rPr>
          <w:sz w:val="20"/>
        </w:rPr>
      </w:pPr>
      <w:r>
        <w:rPr/>
        <mc:AlternateContent>
          <mc:Choice Requires="wps">
            <w:drawing>
              <wp:anchor distT="0" distB="0" distL="0" distR="0" allowOverlap="1" layoutInCell="1" locked="0" behindDoc="1" simplePos="0" relativeHeight="487590912">
                <wp:simplePos x="0" y="0"/>
                <wp:positionH relativeFrom="page">
                  <wp:posOffset>1979993</wp:posOffset>
                </wp:positionH>
                <wp:positionV relativeFrom="paragraph">
                  <wp:posOffset>162598</wp:posOffset>
                </wp:positionV>
                <wp:extent cx="1656080" cy="4445"/>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2.803021pt;width:130.394pt;height:.34018pt;mso-position-horizontal-relative:page;mso-position-vertical-relative:paragraph;z-index:-15725568;mso-wrap-distance-left:0;mso-wrap-distance-right:0" id="docshape9" filled="true" fillcolor="#000000" stroked="false">
                <v:fill type="solid"/>
                <w10:wrap type="topAndBottom"/>
              </v:rect>
            </w:pict>
          </mc:Fallback>
        </mc:AlternateContent>
      </w:r>
    </w:p>
    <w:p>
      <w:pPr>
        <w:pStyle w:val="BodyText"/>
        <w:spacing w:before="76"/>
        <w:rPr>
          <w:sz w:val="16"/>
        </w:rPr>
      </w:pPr>
    </w:p>
    <w:p>
      <w:pPr>
        <w:spacing w:before="0"/>
        <w:ind w:left="866" w:right="0" w:firstLine="0"/>
        <w:jc w:val="both"/>
        <w:rPr>
          <w:i/>
          <w:sz w:val="16"/>
        </w:rPr>
      </w:pPr>
      <w:r>
        <w:rPr>
          <w:color w:val="231F20"/>
          <w:spacing w:val="-2"/>
          <w:sz w:val="16"/>
        </w:rPr>
        <w:t>30</w:t>
      </w:r>
      <w:r>
        <w:rPr>
          <w:color w:val="231F20"/>
          <w:spacing w:val="4"/>
          <w:sz w:val="16"/>
        </w:rPr>
        <w:t> </w:t>
      </w:r>
      <w:r>
        <w:rPr>
          <w:color w:val="231F20"/>
          <w:spacing w:val="-2"/>
          <w:sz w:val="16"/>
        </w:rPr>
        <w:t>May</w:t>
      </w:r>
      <w:r>
        <w:rPr>
          <w:color w:val="231F20"/>
          <w:spacing w:val="5"/>
          <w:sz w:val="16"/>
        </w:rPr>
        <w:t> </w:t>
      </w:r>
      <w:r>
        <w:rPr>
          <w:color w:val="231F20"/>
          <w:spacing w:val="-2"/>
          <w:sz w:val="16"/>
        </w:rPr>
        <w:t>2013,</w:t>
      </w:r>
      <w:r>
        <w:rPr>
          <w:color w:val="231F20"/>
          <w:spacing w:val="6"/>
          <w:sz w:val="16"/>
        </w:rPr>
        <w:t> </w:t>
      </w:r>
      <w:r>
        <w:rPr>
          <w:color w:val="231F20"/>
          <w:spacing w:val="-2"/>
          <w:sz w:val="16"/>
        </w:rPr>
        <w:t>ECLI:EU:C:2013:341,</w:t>
      </w:r>
      <w:r>
        <w:rPr>
          <w:color w:val="231F20"/>
          <w:spacing w:val="5"/>
          <w:sz w:val="16"/>
        </w:rPr>
        <w:t> </w:t>
      </w:r>
      <w:r>
        <w:rPr>
          <w:i/>
          <w:color w:val="231F20"/>
          <w:spacing w:val="-2"/>
          <w:sz w:val="16"/>
        </w:rPr>
        <w:t>Dirk</w:t>
      </w:r>
      <w:r>
        <w:rPr>
          <w:i/>
          <w:color w:val="231F20"/>
          <w:spacing w:val="5"/>
          <w:sz w:val="16"/>
        </w:rPr>
        <w:t> </w:t>
      </w:r>
      <w:r>
        <w:rPr>
          <w:i/>
          <w:color w:val="231F20"/>
          <w:spacing w:val="-2"/>
          <w:sz w:val="16"/>
        </w:rPr>
        <w:t>Frederik</w:t>
      </w:r>
      <w:r>
        <w:rPr>
          <w:i/>
          <w:color w:val="231F20"/>
          <w:spacing w:val="4"/>
          <w:sz w:val="16"/>
        </w:rPr>
        <w:t> </w:t>
      </w:r>
      <w:r>
        <w:rPr>
          <w:i/>
          <w:color w:val="231F20"/>
          <w:spacing w:val="-2"/>
          <w:sz w:val="16"/>
        </w:rPr>
        <w:t>Asbeek</w:t>
      </w:r>
      <w:r>
        <w:rPr>
          <w:i/>
          <w:color w:val="231F20"/>
          <w:spacing w:val="5"/>
          <w:sz w:val="16"/>
        </w:rPr>
        <w:t> </w:t>
      </w:r>
      <w:r>
        <w:rPr>
          <w:i/>
          <w:color w:val="231F20"/>
          <w:spacing w:val="-2"/>
          <w:sz w:val="16"/>
        </w:rPr>
        <w:t>Brusse</w:t>
      </w:r>
      <w:r>
        <w:rPr>
          <w:i/>
          <w:color w:val="231F20"/>
          <w:spacing w:val="5"/>
          <w:sz w:val="16"/>
        </w:rPr>
        <w:t> </w:t>
      </w:r>
      <w:r>
        <w:rPr>
          <w:i/>
          <w:color w:val="231F20"/>
          <w:spacing w:val="-2"/>
          <w:sz w:val="16"/>
        </w:rPr>
        <w:t>and</w:t>
      </w:r>
      <w:r>
        <w:rPr>
          <w:i/>
          <w:color w:val="231F20"/>
          <w:spacing w:val="5"/>
          <w:sz w:val="16"/>
        </w:rPr>
        <w:t> </w:t>
      </w:r>
      <w:r>
        <w:rPr>
          <w:i/>
          <w:color w:val="231F20"/>
          <w:spacing w:val="-2"/>
          <w:sz w:val="16"/>
        </w:rPr>
        <w:t>Katarina</w:t>
      </w:r>
      <w:r>
        <w:rPr>
          <w:i/>
          <w:color w:val="231F20"/>
          <w:spacing w:val="7"/>
          <w:sz w:val="16"/>
        </w:rPr>
        <w:t> </w:t>
      </w:r>
      <w:r>
        <w:rPr>
          <w:i/>
          <w:color w:val="231F20"/>
          <w:spacing w:val="-2"/>
          <w:sz w:val="16"/>
        </w:rPr>
        <w:t>de</w:t>
      </w:r>
      <w:r>
        <w:rPr>
          <w:i/>
          <w:color w:val="231F20"/>
          <w:spacing w:val="4"/>
          <w:sz w:val="16"/>
        </w:rPr>
        <w:t> </w:t>
      </w:r>
      <w:r>
        <w:rPr>
          <w:i/>
          <w:color w:val="231F20"/>
          <w:spacing w:val="-2"/>
          <w:sz w:val="16"/>
        </w:rPr>
        <w:t>Man</w:t>
      </w:r>
      <w:r>
        <w:rPr>
          <w:i/>
          <w:color w:val="231F20"/>
          <w:spacing w:val="6"/>
          <w:sz w:val="16"/>
        </w:rPr>
        <w:t> </w:t>
      </w:r>
      <w:r>
        <w:rPr>
          <w:i/>
          <w:color w:val="231F20"/>
          <w:spacing w:val="-2"/>
          <w:sz w:val="16"/>
        </w:rPr>
        <w:t>Garabito</w:t>
      </w:r>
    </w:p>
    <w:p>
      <w:pPr>
        <w:spacing w:line="288" w:lineRule="auto" w:before="38"/>
        <w:ind w:left="866" w:right="868" w:firstLine="0"/>
        <w:jc w:val="both"/>
        <w:rPr>
          <w:sz w:val="16"/>
        </w:rPr>
      </w:pPr>
      <w:r>
        <w:rPr>
          <w:color w:val="231F20"/>
          <w:sz w:val="16"/>
        </w:rPr>
        <w:t>v. </w:t>
      </w:r>
      <w:r>
        <w:rPr>
          <w:i/>
          <w:color w:val="231F20"/>
          <w:sz w:val="16"/>
        </w:rPr>
        <w:t>Jahani BV</w:t>
      </w:r>
      <w:r>
        <w:rPr>
          <w:color w:val="231F20"/>
          <w:sz w:val="16"/>
        </w:rPr>
        <w:t>, curia.europa.eu/juris/liste.jsf?num=C-488/11, para. 44; ECJ 14 Mar. 2013, </w:t>
      </w:r>
      <w:r>
        <w:rPr>
          <w:color w:val="231F20"/>
          <w:sz w:val="16"/>
        </w:rPr>
        <w:t>ECLI:</w:t>
      </w:r>
      <w:r>
        <w:rPr>
          <w:color w:val="231F20"/>
          <w:spacing w:val="40"/>
          <w:sz w:val="16"/>
        </w:rPr>
        <w:t> </w:t>
      </w:r>
      <w:r>
        <w:rPr>
          <w:color w:val="231F20"/>
          <w:sz w:val="16"/>
        </w:rPr>
        <w:t>EU:C:2013:164, </w:t>
      </w:r>
      <w:r>
        <w:rPr>
          <w:i/>
          <w:color w:val="231F20"/>
          <w:sz w:val="16"/>
        </w:rPr>
        <w:t>Mohamed Aziz </w:t>
      </w:r>
      <w:r>
        <w:rPr>
          <w:color w:val="231F20"/>
          <w:sz w:val="16"/>
        </w:rPr>
        <w:t>v. </w:t>
      </w:r>
      <w:r>
        <w:rPr>
          <w:i/>
          <w:color w:val="231F20"/>
          <w:sz w:val="16"/>
        </w:rPr>
        <w:t>Caixa d´Estalvis de Catalunya, Tarragona i Manresa</w:t>
      </w:r>
      <w:r>
        <w:rPr>
          <w:i/>
          <w:color w:val="231F20"/>
          <w:spacing w:val="40"/>
          <w:sz w:val="16"/>
        </w:rPr>
        <w:t> </w:t>
      </w:r>
      <w:r>
        <w:rPr>
          <w:i/>
          <w:color w:val="231F20"/>
          <w:sz w:val="16"/>
        </w:rPr>
        <w:t>(Catalunyacaixa)</w:t>
      </w:r>
      <w:r>
        <w:rPr>
          <w:color w:val="231F20"/>
          <w:sz w:val="16"/>
        </w:rPr>
        <w:t>, curia.europa.eu/juris/liste.jsf?num=C-415/11, para. 45.</w:t>
      </w:r>
    </w:p>
    <w:p>
      <w:pPr>
        <w:pStyle w:val="ListParagraph"/>
        <w:numPr>
          <w:ilvl w:val="0"/>
          <w:numId w:val="3"/>
        </w:numPr>
        <w:tabs>
          <w:tab w:pos="865" w:val="left" w:leader="none"/>
        </w:tabs>
        <w:spacing w:line="240" w:lineRule="auto" w:before="2" w:after="0"/>
        <w:ind w:left="865" w:right="0" w:hanging="353"/>
        <w:jc w:val="both"/>
        <w:rPr>
          <w:sz w:val="16"/>
        </w:rPr>
      </w:pPr>
      <w:r>
        <w:rPr>
          <w:color w:val="231F20"/>
          <w:spacing w:val="-2"/>
          <w:sz w:val="16"/>
        </w:rPr>
        <w:t>ECJ</w:t>
      </w:r>
      <w:r>
        <w:rPr>
          <w:color w:val="231F20"/>
          <w:spacing w:val="5"/>
          <w:sz w:val="16"/>
        </w:rPr>
        <w:t> </w:t>
      </w:r>
      <w:r>
        <w:rPr>
          <w:color w:val="231F20"/>
          <w:spacing w:val="-2"/>
          <w:sz w:val="16"/>
        </w:rPr>
        <w:t>6</w:t>
      </w:r>
      <w:r>
        <w:rPr>
          <w:color w:val="231F20"/>
          <w:spacing w:val="6"/>
          <w:sz w:val="16"/>
        </w:rPr>
        <w:t> </w:t>
      </w:r>
      <w:r>
        <w:rPr>
          <w:color w:val="231F20"/>
          <w:spacing w:val="-2"/>
          <w:sz w:val="16"/>
        </w:rPr>
        <w:t>Oct.</w:t>
      </w:r>
      <w:r>
        <w:rPr>
          <w:color w:val="231F20"/>
          <w:spacing w:val="7"/>
          <w:sz w:val="16"/>
        </w:rPr>
        <w:t> </w:t>
      </w:r>
      <w:r>
        <w:rPr>
          <w:color w:val="231F20"/>
          <w:spacing w:val="-2"/>
          <w:sz w:val="16"/>
        </w:rPr>
        <w:t>2009,</w:t>
      </w:r>
      <w:r>
        <w:rPr>
          <w:color w:val="231F20"/>
          <w:spacing w:val="6"/>
          <w:sz w:val="16"/>
        </w:rPr>
        <w:t> </w:t>
      </w:r>
      <w:r>
        <w:rPr>
          <w:color w:val="231F20"/>
          <w:spacing w:val="-2"/>
          <w:sz w:val="16"/>
        </w:rPr>
        <w:t>ECLI:EU:C:2009:615,</w:t>
      </w:r>
      <w:r>
        <w:rPr>
          <w:color w:val="231F20"/>
          <w:spacing w:val="7"/>
          <w:sz w:val="16"/>
        </w:rPr>
        <w:t> </w:t>
      </w:r>
      <w:r>
        <w:rPr>
          <w:i/>
          <w:color w:val="231F20"/>
          <w:spacing w:val="-2"/>
          <w:sz w:val="16"/>
        </w:rPr>
        <w:t>Asturcom</w:t>
      </w:r>
      <w:r>
        <w:rPr>
          <w:color w:val="231F20"/>
          <w:spacing w:val="-2"/>
          <w:sz w:val="16"/>
        </w:rPr>
        <w:t>,</w:t>
      </w:r>
      <w:r>
        <w:rPr>
          <w:color w:val="231F20"/>
          <w:spacing w:val="6"/>
          <w:sz w:val="16"/>
        </w:rPr>
        <w:t> </w:t>
      </w:r>
      <w:r>
        <w:rPr>
          <w:color w:val="231F20"/>
          <w:spacing w:val="-2"/>
          <w:sz w:val="16"/>
        </w:rPr>
        <w:t>para.</w:t>
      </w:r>
      <w:r>
        <w:rPr>
          <w:color w:val="231F20"/>
          <w:spacing w:val="6"/>
          <w:sz w:val="16"/>
        </w:rPr>
        <w:t> </w:t>
      </w:r>
      <w:r>
        <w:rPr>
          <w:color w:val="231F20"/>
          <w:spacing w:val="-5"/>
          <w:sz w:val="16"/>
        </w:rPr>
        <w:t>31.</w:t>
      </w:r>
    </w:p>
    <w:p>
      <w:pPr>
        <w:pStyle w:val="ListParagraph"/>
        <w:numPr>
          <w:ilvl w:val="0"/>
          <w:numId w:val="3"/>
        </w:numPr>
        <w:tabs>
          <w:tab w:pos="866" w:val="left" w:leader="none"/>
        </w:tabs>
        <w:spacing w:line="290" w:lineRule="auto" w:before="37" w:after="0"/>
        <w:ind w:left="866" w:right="868" w:hanging="354"/>
        <w:jc w:val="both"/>
        <w:rPr>
          <w:sz w:val="16"/>
        </w:rPr>
      </w:pPr>
      <w:r>
        <w:rPr>
          <w:color w:val="231F20"/>
          <w:spacing w:val="-2"/>
          <w:sz w:val="16"/>
        </w:rPr>
        <w:t>ECJ</w:t>
      </w:r>
      <w:r>
        <w:rPr>
          <w:color w:val="231F20"/>
          <w:spacing w:val="-4"/>
          <w:sz w:val="16"/>
        </w:rPr>
        <w:t> </w:t>
      </w:r>
      <w:r>
        <w:rPr>
          <w:color w:val="231F20"/>
          <w:spacing w:val="-2"/>
          <w:sz w:val="16"/>
        </w:rPr>
        <w:t>27</w:t>
      </w:r>
      <w:r>
        <w:rPr>
          <w:color w:val="231F20"/>
          <w:spacing w:val="-4"/>
          <w:sz w:val="16"/>
        </w:rPr>
        <w:t> </w:t>
      </w:r>
      <w:r>
        <w:rPr>
          <w:color w:val="231F20"/>
          <w:spacing w:val="-2"/>
          <w:sz w:val="16"/>
        </w:rPr>
        <w:t>Jun.</w:t>
      </w:r>
      <w:r>
        <w:rPr>
          <w:color w:val="231F20"/>
          <w:spacing w:val="-4"/>
          <w:sz w:val="16"/>
        </w:rPr>
        <w:t> </w:t>
      </w:r>
      <w:r>
        <w:rPr>
          <w:color w:val="231F20"/>
          <w:spacing w:val="-2"/>
          <w:sz w:val="16"/>
        </w:rPr>
        <w:t>2000,</w:t>
      </w:r>
      <w:r>
        <w:rPr>
          <w:color w:val="231F20"/>
          <w:spacing w:val="-3"/>
          <w:sz w:val="16"/>
        </w:rPr>
        <w:t> </w:t>
      </w:r>
      <w:r>
        <w:rPr>
          <w:color w:val="231F20"/>
          <w:spacing w:val="-2"/>
          <w:sz w:val="16"/>
        </w:rPr>
        <w:t>ECLI:EU:C:2000:346,</w:t>
      </w:r>
      <w:r>
        <w:rPr>
          <w:color w:val="231F20"/>
          <w:spacing w:val="-4"/>
          <w:sz w:val="16"/>
        </w:rPr>
        <w:t> </w:t>
      </w:r>
      <w:r>
        <w:rPr>
          <w:i/>
          <w:color w:val="231F20"/>
          <w:spacing w:val="-2"/>
          <w:sz w:val="16"/>
        </w:rPr>
        <w:t>Océano</w:t>
      </w:r>
      <w:r>
        <w:rPr>
          <w:i/>
          <w:color w:val="231F20"/>
          <w:spacing w:val="-4"/>
          <w:sz w:val="16"/>
        </w:rPr>
        <w:t> </w:t>
      </w:r>
      <w:r>
        <w:rPr>
          <w:i/>
          <w:color w:val="231F20"/>
          <w:spacing w:val="-2"/>
          <w:sz w:val="16"/>
        </w:rPr>
        <w:t>Grupo</w:t>
      </w:r>
      <w:r>
        <w:rPr>
          <w:i/>
          <w:color w:val="231F20"/>
          <w:spacing w:val="-4"/>
          <w:sz w:val="16"/>
        </w:rPr>
        <w:t> </w:t>
      </w:r>
      <w:r>
        <w:rPr>
          <w:i/>
          <w:color w:val="231F20"/>
          <w:spacing w:val="-2"/>
          <w:sz w:val="16"/>
        </w:rPr>
        <w:t>Editorial</w:t>
      </w:r>
      <w:r>
        <w:rPr>
          <w:i/>
          <w:color w:val="231F20"/>
          <w:spacing w:val="-4"/>
          <w:sz w:val="16"/>
        </w:rPr>
        <w:t> </w:t>
      </w:r>
      <w:r>
        <w:rPr>
          <w:i/>
          <w:color w:val="231F20"/>
          <w:spacing w:val="-2"/>
          <w:sz w:val="16"/>
        </w:rPr>
        <w:t>SA</w:t>
      </w:r>
      <w:r>
        <w:rPr>
          <w:i/>
          <w:color w:val="231F20"/>
          <w:spacing w:val="-4"/>
          <w:sz w:val="16"/>
        </w:rPr>
        <w:t> </w:t>
      </w:r>
      <w:r>
        <w:rPr>
          <w:color w:val="231F20"/>
          <w:spacing w:val="-2"/>
          <w:sz w:val="16"/>
        </w:rPr>
        <w:t>v.</w:t>
      </w:r>
      <w:r>
        <w:rPr>
          <w:color w:val="231F20"/>
          <w:spacing w:val="-3"/>
          <w:sz w:val="16"/>
        </w:rPr>
        <w:t> </w:t>
      </w:r>
      <w:r>
        <w:rPr>
          <w:i/>
          <w:color w:val="231F20"/>
          <w:spacing w:val="-2"/>
          <w:sz w:val="16"/>
        </w:rPr>
        <w:t>Rocío</w:t>
      </w:r>
      <w:r>
        <w:rPr>
          <w:i/>
          <w:color w:val="231F20"/>
          <w:spacing w:val="-3"/>
          <w:sz w:val="16"/>
        </w:rPr>
        <w:t> </w:t>
      </w:r>
      <w:r>
        <w:rPr>
          <w:i/>
          <w:color w:val="231F20"/>
          <w:spacing w:val="-2"/>
          <w:sz w:val="16"/>
        </w:rPr>
        <w:t>Murciano</w:t>
      </w:r>
      <w:r>
        <w:rPr>
          <w:i/>
          <w:color w:val="231F20"/>
          <w:spacing w:val="-3"/>
          <w:sz w:val="16"/>
        </w:rPr>
        <w:t> </w:t>
      </w:r>
      <w:r>
        <w:rPr>
          <w:i/>
          <w:color w:val="231F20"/>
          <w:spacing w:val="-2"/>
          <w:sz w:val="16"/>
        </w:rPr>
        <w:t>Quintero</w:t>
      </w:r>
      <w:r>
        <w:rPr>
          <w:i/>
          <w:color w:val="231F20"/>
          <w:spacing w:val="40"/>
          <w:sz w:val="16"/>
        </w:rPr>
        <w:t> </w:t>
      </w:r>
      <w:r>
        <w:rPr>
          <w:i/>
          <w:color w:val="231F20"/>
          <w:spacing w:val="-2"/>
          <w:sz w:val="16"/>
        </w:rPr>
        <w:t>(C-240/98)</w:t>
      </w:r>
      <w:r>
        <w:rPr>
          <w:i/>
          <w:color w:val="231F20"/>
          <w:spacing w:val="-7"/>
          <w:sz w:val="16"/>
        </w:rPr>
        <w:t> </w:t>
      </w:r>
      <w:r>
        <w:rPr>
          <w:i/>
          <w:color w:val="231F20"/>
          <w:spacing w:val="-2"/>
          <w:sz w:val="16"/>
        </w:rPr>
        <w:t>and</w:t>
      </w:r>
      <w:r>
        <w:rPr>
          <w:i/>
          <w:color w:val="231F20"/>
          <w:spacing w:val="-7"/>
          <w:sz w:val="16"/>
        </w:rPr>
        <w:t> </w:t>
      </w:r>
      <w:r>
        <w:rPr>
          <w:i/>
          <w:color w:val="231F20"/>
          <w:spacing w:val="-2"/>
          <w:sz w:val="16"/>
        </w:rPr>
        <w:t>Salvat</w:t>
      </w:r>
      <w:r>
        <w:rPr>
          <w:i/>
          <w:color w:val="231F20"/>
          <w:spacing w:val="-7"/>
          <w:sz w:val="16"/>
        </w:rPr>
        <w:t> </w:t>
      </w:r>
      <w:r>
        <w:rPr>
          <w:i/>
          <w:color w:val="231F20"/>
          <w:spacing w:val="-2"/>
          <w:sz w:val="16"/>
        </w:rPr>
        <w:t>Editores</w:t>
      </w:r>
      <w:r>
        <w:rPr>
          <w:i/>
          <w:color w:val="231F20"/>
          <w:spacing w:val="-7"/>
          <w:sz w:val="16"/>
        </w:rPr>
        <w:t> </w:t>
      </w:r>
      <w:r>
        <w:rPr>
          <w:i/>
          <w:color w:val="231F20"/>
          <w:spacing w:val="-2"/>
          <w:sz w:val="16"/>
        </w:rPr>
        <w:t>SA</w:t>
      </w:r>
      <w:r>
        <w:rPr>
          <w:i/>
          <w:color w:val="231F20"/>
          <w:spacing w:val="-7"/>
          <w:sz w:val="16"/>
        </w:rPr>
        <w:t> </w:t>
      </w:r>
      <w:r>
        <w:rPr>
          <w:color w:val="231F20"/>
          <w:spacing w:val="-2"/>
          <w:sz w:val="16"/>
        </w:rPr>
        <w:t>v.</w:t>
      </w:r>
      <w:r>
        <w:rPr>
          <w:color w:val="231F20"/>
          <w:spacing w:val="-7"/>
          <w:sz w:val="16"/>
        </w:rPr>
        <w:t> </w:t>
      </w:r>
      <w:r>
        <w:rPr>
          <w:i/>
          <w:color w:val="231F20"/>
          <w:spacing w:val="-2"/>
          <w:sz w:val="16"/>
        </w:rPr>
        <w:t>José</w:t>
      </w:r>
      <w:r>
        <w:rPr>
          <w:i/>
          <w:color w:val="231F20"/>
          <w:spacing w:val="-6"/>
          <w:sz w:val="16"/>
        </w:rPr>
        <w:t> </w:t>
      </w:r>
      <w:r>
        <w:rPr>
          <w:i/>
          <w:color w:val="231F20"/>
          <w:spacing w:val="-2"/>
          <w:sz w:val="16"/>
        </w:rPr>
        <w:t>M.</w:t>
      </w:r>
      <w:r>
        <w:rPr>
          <w:i/>
          <w:color w:val="231F20"/>
          <w:spacing w:val="-7"/>
          <w:sz w:val="16"/>
        </w:rPr>
        <w:t> </w:t>
      </w:r>
      <w:r>
        <w:rPr>
          <w:i/>
          <w:color w:val="231F20"/>
          <w:spacing w:val="-2"/>
          <w:sz w:val="16"/>
        </w:rPr>
        <w:t>Sánchez</w:t>
      </w:r>
      <w:r>
        <w:rPr>
          <w:i/>
          <w:color w:val="231F20"/>
          <w:spacing w:val="-7"/>
          <w:sz w:val="16"/>
        </w:rPr>
        <w:t> </w:t>
      </w:r>
      <w:r>
        <w:rPr>
          <w:i/>
          <w:color w:val="231F20"/>
          <w:spacing w:val="-2"/>
          <w:sz w:val="16"/>
        </w:rPr>
        <w:t>Alcón</w:t>
      </w:r>
      <w:r>
        <w:rPr>
          <w:i/>
          <w:color w:val="231F20"/>
          <w:spacing w:val="-8"/>
          <w:sz w:val="16"/>
        </w:rPr>
        <w:t> </w:t>
      </w:r>
      <w:r>
        <w:rPr>
          <w:i/>
          <w:color w:val="231F20"/>
          <w:spacing w:val="-2"/>
          <w:sz w:val="16"/>
        </w:rPr>
        <w:t>Prades</w:t>
      </w:r>
      <w:r>
        <w:rPr>
          <w:i/>
          <w:color w:val="231F20"/>
          <w:spacing w:val="-7"/>
          <w:sz w:val="16"/>
        </w:rPr>
        <w:t> </w:t>
      </w:r>
      <w:r>
        <w:rPr>
          <w:i/>
          <w:color w:val="231F20"/>
          <w:spacing w:val="-2"/>
          <w:sz w:val="16"/>
        </w:rPr>
        <w:t>(C-241/98),</w:t>
      </w:r>
      <w:r>
        <w:rPr>
          <w:i/>
          <w:color w:val="231F20"/>
          <w:spacing w:val="-7"/>
          <w:sz w:val="16"/>
        </w:rPr>
        <w:t> </w:t>
      </w:r>
      <w:r>
        <w:rPr>
          <w:i/>
          <w:color w:val="231F20"/>
          <w:spacing w:val="-2"/>
          <w:sz w:val="16"/>
        </w:rPr>
        <w:t>José</w:t>
      </w:r>
      <w:r>
        <w:rPr>
          <w:i/>
          <w:color w:val="231F20"/>
          <w:spacing w:val="-7"/>
          <w:sz w:val="16"/>
        </w:rPr>
        <w:t> </w:t>
      </w:r>
      <w:r>
        <w:rPr>
          <w:i/>
          <w:color w:val="231F20"/>
          <w:spacing w:val="-2"/>
          <w:sz w:val="16"/>
        </w:rPr>
        <w:t>Luis</w:t>
      </w:r>
      <w:r>
        <w:rPr>
          <w:i/>
          <w:color w:val="231F20"/>
          <w:spacing w:val="-7"/>
          <w:sz w:val="16"/>
        </w:rPr>
        <w:t> </w:t>
      </w:r>
      <w:r>
        <w:rPr>
          <w:i/>
          <w:color w:val="231F20"/>
          <w:spacing w:val="-2"/>
          <w:sz w:val="16"/>
        </w:rPr>
        <w:t>Copano</w:t>
      </w:r>
      <w:r>
        <w:rPr>
          <w:i/>
          <w:color w:val="231F20"/>
          <w:spacing w:val="40"/>
          <w:sz w:val="16"/>
        </w:rPr>
        <w:t> </w:t>
      </w:r>
      <w:r>
        <w:rPr>
          <w:i/>
          <w:color w:val="231F20"/>
          <w:sz w:val="16"/>
        </w:rPr>
        <w:t>Badillo</w:t>
      </w:r>
      <w:r>
        <w:rPr>
          <w:i/>
          <w:color w:val="231F20"/>
          <w:spacing w:val="-10"/>
          <w:sz w:val="16"/>
        </w:rPr>
        <w:t> </w:t>
      </w:r>
      <w:r>
        <w:rPr>
          <w:i/>
          <w:color w:val="231F20"/>
          <w:sz w:val="16"/>
        </w:rPr>
        <w:t>(C-242/98),</w:t>
      </w:r>
      <w:r>
        <w:rPr>
          <w:i/>
          <w:color w:val="231F20"/>
          <w:spacing w:val="-10"/>
          <w:sz w:val="16"/>
        </w:rPr>
        <w:t> </w:t>
      </w:r>
      <w:r>
        <w:rPr>
          <w:i/>
          <w:color w:val="231F20"/>
          <w:sz w:val="16"/>
        </w:rPr>
        <w:t>Mohammed</w:t>
      </w:r>
      <w:r>
        <w:rPr>
          <w:i/>
          <w:color w:val="231F20"/>
          <w:spacing w:val="-9"/>
          <w:sz w:val="16"/>
        </w:rPr>
        <w:t> </w:t>
      </w:r>
      <w:r>
        <w:rPr>
          <w:i/>
          <w:color w:val="231F20"/>
          <w:sz w:val="16"/>
        </w:rPr>
        <w:t>Berroane</w:t>
      </w:r>
      <w:r>
        <w:rPr>
          <w:i/>
          <w:color w:val="231F20"/>
          <w:spacing w:val="-10"/>
          <w:sz w:val="16"/>
        </w:rPr>
        <w:t> </w:t>
      </w:r>
      <w:r>
        <w:rPr>
          <w:i/>
          <w:color w:val="231F20"/>
          <w:sz w:val="16"/>
        </w:rPr>
        <w:t>(C-243/98)</w:t>
      </w:r>
      <w:r>
        <w:rPr>
          <w:i/>
          <w:color w:val="231F20"/>
          <w:spacing w:val="-10"/>
          <w:sz w:val="16"/>
        </w:rPr>
        <w:t> </w:t>
      </w:r>
      <w:r>
        <w:rPr>
          <w:i/>
          <w:color w:val="231F20"/>
          <w:sz w:val="16"/>
        </w:rPr>
        <w:t>and</w:t>
      </w:r>
      <w:r>
        <w:rPr>
          <w:i/>
          <w:color w:val="231F20"/>
          <w:spacing w:val="-9"/>
          <w:sz w:val="16"/>
        </w:rPr>
        <w:t> </w:t>
      </w:r>
      <w:r>
        <w:rPr>
          <w:i/>
          <w:color w:val="231F20"/>
          <w:sz w:val="16"/>
        </w:rPr>
        <w:t>Emilio</w:t>
      </w:r>
      <w:r>
        <w:rPr>
          <w:i/>
          <w:color w:val="231F20"/>
          <w:spacing w:val="-10"/>
          <w:sz w:val="16"/>
        </w:rPr>
        <w:t> </w:t>
      </w:r>
      <w:r>
        <w:rPr>
          <w:i/>
          <w:color w:val="231F20"/>
          <w:sz w:val="16"/>
        </w:rPr>
        <w:t>Viñas</w:t>
      </w:r>
      <w:r>
        <w:rPr>
          <w:i/>
          <w:color w:val="231F20"/>
          <w:spacing w:val="-10"/>
          <w:sz w:val="16"/>
        </w:rPr>
        <w:t> </w:t>
      </w:r>
      <w:r>
        <w:rPr>
          <w:i/>
          <w:color w:val="231F20"/>
          <w:sz w:val="16"/>
        </w:rPr>
        <w:t>Feliú</w:t>
      </w:r>
      <w:r>
        <w:rPr>
          <w:i/>
          <w:color w:val="231F20"/>
          <w:spacing w:val="-9"/>
          <w:sz w:val="16"/>
        </w:rPr>
        <w:t> </w:t>
      </w:r>
      <w:r>
        <w:rPr>
          <w:i/>
          <w:color w:val="231F20"/>
          <w:sz w:val="16"/>
        </w:rPr>
        <w:t>(C-244/98)</w:t>
      </w:r>
      <w:r>
        <w:rPr>
          <w:color w:val="231F20"/>
          <w:sz w:val="16"/>
        </w:rPr>
        <w:t>,</w:t>
      </w:r>
      <w:r>
        <w:rPr>
          <w:color w:val="231F20"/>
          <w:spacing w:val="-10"/>
          <w:sz w:val="16"/>
        </w:rPr>
        <w:t> </w:t>
      </w:r>
      <w:r>
        <w:rPr>
          <w:color w:val="231F20"/>
          <w:sz w:val="16"/>
        </w:rPr>
        <w:t>curia.</w:t>
      </w:r>
      <w:r>
        <w:rPr>
          <w:color w:val="231F20"/>
          <w:spacing w:val="40"/>
          <w:sz w:val="16"/>
        </w:rPr>
        <w:t> </w:t>
      </w:r>
      <w:r>
        <w:rPr>
          <w:color w:val="231F20"/>
          <w:sz w:val="16"/>
        </w:rPr>
        <w:t>europa.eu/juris/liste.jsf?num=C-240/98, para. 27.</w:t>
      </w:r>
    </w:p>
    <w:p>
      <w:pPr>
        <w:pStyle w:val="ListParagraph"/>
        <w:numPr>
          <w:ilvl w:val="0"/>
          <w:numId w:val="3"/>
        </w:numPr>
        <w:tabs>
          <w:tab w:pos="865" w:val="left" w:leader="none"/>
        </w:tabs>
        <w:spacing w:line="178" w:lineRule="exact" w:before="0" w:after="0"/>
        <w:ind w:left="865" w:right="0" w:hanging="353"/>
        <w:jc w:val="both"/>
        <w:rPr>
          <w:sz w:val="16"/>
        </w:rPr>
      </w:pPr>
      <w:r>
        <w:rPr>
          <w:color w:val="231F20"/>
          <w:sz w:val="16"/>
        </w:rPr>
        <w:t>ECJ</w:t>
      </w:r>
      <w:r>
        <w:rPr>
          <w:color w:val="231F20"/>
          <w:spacing w:val="13"/>
          <w:sz w:val="16"/>
        </w:rPr>
        <w:t> </w:t>
      </w:r>
      <w:r>
        <w:rPr>
          <w:color w:val="231F20"/>
          <w:sz w:val="16"/>
        </w:rPr>
        <w:t>21</w:t>
      </w:r>
      <w:r>
        <w:rPr>
          <w:color w:val="231F20"/>
          <w:spacing w:val="14"/>
          <w:sz w:val="16"/>
        </w:rPr>
        <w:t> </w:t>
      </w:r>
      <w:r>
        <w:rPr>
          <w:color w:val="231F20"/>
          <w:sz w:val="16"/>
        </w:rPr>
        <w:t>Dec.</w:t>
      </w:r>
      <w:r>
        <w:rPr>
          <w:color w:val="231F20"/>
          <w:spacing w:val="13"/>
          <w:sz w:val="16"/>
        </w:rPr>
        <w:t> </w:t>
      </w:r>
      <w:r>
        <w:rPr>
          <w:color w:val="231F20"/>
          <w:sz w:val="16"/>
        </w:rPr>
        <w:t>2016,</w:t>
      </w:r>
      <w:r>
        <w:rPr>
          <w:color w:val="231F20"/>
          <w:spacing w:val="14"/>
          <w:sz w:val="16"/>
        </w:rPr>
        <w:t> </w:t>
      </w:r>
      <w:r>
        <w:rPr>
          <w:color w:val="231F20"/>
          <w:sz w:val="16"/>
        </w:rPr>
        <w:t>ECLI:EU:C:2016:980</w:t>
      </w:r>
      <w:r>
        <w:rPr>
          <w:i/>
          <w:color w:val="231F20"/>
          <w:sz w:val="16"/>
        </w:rPr>
        <w:t>,</w:t>
      </w:r>
      <w:r>
        <w:rPr>
          <w:i/>
          <w:color w:val="231F20"/>
          <w:spacing w:val="14"/>
          <w:sz w:val="16"/>
        </w:rPr>
        <w:t> </w:t>
      </w:r>
      <w:r>
        <w:rPr>
          <w:i/>
          <w:color w:val="231F20"/>
          <w:sz w:val="16"/>
        </w:rPr>
        <w:t>Gutiérrez</w:t>
      </w:r>
      <w:r>
        <w:rPr>
          <w:i/>
          <w:color w:val="231F20"/>
          <w:spacing w:val="13"/>
          <w:sz w:val="16"/>
        </w:rPr>
        <w:t> </w:t>
      </w:r>
      <w:r>
        <w:rPr>
          <w:i/>
          <w:color w:val="231F20"/>
          <w:sz w:val="16"/>
        </w:rPr>
        <w:t>Naranjo</w:t>
      </w:r>
      <w:r>
        <w:rPr>
          <w:color w:val="231F20"/>
          <w:sz w:val="16"/>
        </w:rPr>
        <w:t>,</w:t>
      </w:r>
      <w:r>
        <w:rPr>
          <w:color w:val="231F20"/>
          <w:spacing w:val="14"/>
          <w:sz w:val="16"/>
        </w:rPr>
        <w:t> </w:t>
      </w:r>
      <w:r>
        <w:rPr>
          <w:color w:val="231F20"/>
          <w:sz w:val="16"/>
        </w:rPr>
        <w:t>paras</w:t>
      </w:r>
      <w:r>
        <w:rPr>
          <w:color w:val="231F20"/>
          <w:spacing w:val="14"/>
          <w:sz w:val="16"/>
        </w:rPr>
        <w:t> </w:t>
      </w:r>
      <w:r>
        <w:rPr>
          <w:color w:val="231F20"/>
          <w:sz w:val="16"/>
        </w:rPr>
        <w:t>60</w:t>
      </w:r>
      <w:r>
        <w:rPr>
          <w:rFonts w:ascii="Arial" w:hAnsi="Arial"/>
          <w:color w:val="231F20"/>
          <w:sz w:val="16"/>
        </w:rPr>
        <w:t>–</w:t>
      </w:r>
      <w:r>
        <w:rPr>
          <w:color w:val="231F20"/>
          <w:sz w:val="16"/>
        </w:rPr>
        <w:t>63.</w:t>
      </w:r>
      <w:r>
        <w:rPr>
          <w:color w:val="231F20"/>
          <w:spacing w:val="14"/>
          <w:sz w:val="16"/>
        </w:rPr>
        <w:t> </w:t>
      </w:r>
      <w:r>
        <w:rPr>
          <w:color w:val="231F20"/>
          <w:sz w:val="16"/>
        </w:rPr>
        <w:t>ECJ</w:t>
      </w:r>
      <w:r>
        <w:rPr>
          <w:color w:val="231F20"/>
          <w:spacing w:val="13"/>
          <w:sz w:val="16"/>
        </w:rPr>
        <w:t> </w:t>
      </w:r>
      <w:r>
        <w:rPr>
          <w:color w:val="231F20"/>
          <w:sz w:val="16"/>
        </w:rPr>
        <w:t>25</w:t>
      </w:r>
      <w:r>
        <w:rPr>
          <w:color w:val="231F20"/>
          <w:spacing w:val="15"/>
          <w:sz w:val="16"/>
        </w:rPr>
        <w:t> </w:t>
      </w:r>
      <w:r>
        <w:rPr>
          <w:color w:val="231F20"/>
          <w:sz w:val="16"/>
        </w:rPr>
        <w:t>Nov.</w:t>
      </w:r>
      <w:r>
        <w:rPr>
          <w:color w:val="231F20"/>
          <w:spacing w:val="14"/>
          <w:sz w:val="16"/>
        </w:rPr>
        <w:t> </w:t>
      </w:r>
      <w:r>
        <w:rPr>
          <w:color w:val="231F20"/>
          <w:spacing w:val="-2"/>
          <w:sz w:val="16"/>
        </w:rPr>
        <w:t>2020,</w:t>
      </w:r>
    </w:p>
    <w:p>
      <w:pPr>
        <w:spacing w:line="290" w:lineRule="auto" w:before="37"/>
        <w:ind w:left="866" w:right="869" w:firstLine="0"/>
        <w:jc w:val="both"/>
        <w:rPr>
          <w:sz w:val="16"/>
        </w:rPr>
      </w:pPr>
      <w:r>
        <w:rPr>
          <w:color w:val="231F20"/>
          <w:spacing w:val="-2"/>
          <w:sz w:val="16"/>
        </w:rPr>
        <w:t>ECLI:EU:C:2020:954, </w:t>
      </w:r>
      <w:r>
        <w:rPr>
          <w:i/>
          <w:color w:val="231F20"/>
          <w:spacing w:val="-2"/>
          <w:sz w:val="16"/>
        </w:rPr>
        <w:t>Banca B. SA </w:t>
      </w:r>
      <w:r>
        <w:rPr>
          <w:color w:val="231F20"/>
          <w:spacing w:val="-2"/>
          <w:sz w:val="16"/>
        </w:rPr>
        <w:t>v. </w:t>
      </w:r>
      <w:r>
        <w:rPr>
          <w:i/>
          <w:color w:val="231F20"/>
          <w:spacing w:val="-2"/>
          <w:sz w:val="16"/>
        </w:rPr>
        <w:t>A.A.A.</w:t>
      </w:r>
      <w:r>
        <w:rPr>
          <w:color w:val="231F20"/>
          <w:spacing w:val="-2"/>
          <w:sz w:val="16"/>
        </w:rPr>
        <w:t>, curia.europa.eu/juris/liste.jsf?num=C-269/19, </w:t>
      </w:r>
      <w:r>
        <w:rPr>
          <w:color w:val="231F20"/>
          <w:spacing w:val="-2"/>
          <w:sz w:val="16"/>
        </w:rPr>
        <w:t>para.</w:t>
      </w:r>
      <w:r>
        <w:rPr>
          <w:color w:val="231F20"/>
          <w:spacing w:val="40"/>
          <w:sz w:val="16"/>
        </w:rPr>
        <w:t> </w:t>
      </w:r>
      <w:r>
        <w:rPr>
          <w:color w:val="231F20"/>
          <w:spacing w:val="-4"/>
          <w:sz w:val="16"/>
        </w:rPr>
        <w:t>37.</w:t>
      </w:r>
    </w:p>
    <w:p>
      <w:pPr>
        <w:pStyle w:val="ListParagraph"/>
        <w:numPr>
          <w:ilvl w:val="0"/>
          <w:numId w:val="3"/>
        </w:numPr>
        <w:tabs>
          <w:tab w:pos="865" w:val="left" w:leader="none"/>
        </w:tabs>
        <w:spacing w:line="180" w:lineRule="exact" w:before="0" w:after="0"/>
        <w:ind w:left="865" w:right="0" w:hanging="353"/>
        <w:jc w:val="both"/>
        <w:rPr>
          <w:sz w:val="16"/>
        </w:rPr>
      </w:pPr>
      <w:r>
        <w:rPr>
          <w:color w:val="231F20"/>
          <w:sz w:val="16"/>
        </w:rPr>
        <w:t>ECJ 30 May</w:t>
      </w:r>
      <w:r>
        <w:rPr>
          <w:color w:val="231F20"/>
          <w:spacing w:val="2"/>
          <w:sz w:val="16"/>
        </w:rPr>
        <w:t> </w:t>
      </w:r>
      <w:r>
        <w:rPr>
          <w:color w:val="231F20"/>
          <w:sz w:val="16"/>
        </w:rPr>
        <w:t>2013, ECLI:EU:C:2013:341,</w:t>
      </w:r>
      <w:r>
        <w:rPr>
          <w:color w:val="231F20"/>
          <w:spacing w:val="1"/>
          <w:sz w:val="16"/>
        </w:rPr>
        <w:t> </w:t>
      </w:r>
      <w:r>
        <w:rPr>
          <w:i/>
          <w:color w:val="231F20"/>
          <w:sz w:val="16"/>
        </w:rPr>
        <w:t>Asbeek</w:t>
      </w:r>
      <w:r>
        <w:rPr>
          <w:color w:val="231F20"/>
          <w:sz w:val="16"/>
        </w:rPr>
        <w:t>,</w:t>
      </w:r>
      <w:r>
        <w:rPr>
          <w:color w:val="231F20"/>
          <w:spacing w:val="1"/>
          <w:sz w:val="16"/>
        </w:rPr>
        <w:t> </w:t>
      </w:r>
      <w:r>
        <w:rPr>
          <w:color w:val="231F20"/>
          <w:sz w:val="16"/>
        </w:rPr>
        <w:t>para. </w:t>
      </w:r>
      <w:r>
        <w:rPr>
          <w:color w:val="231F20"/>
          <w:spacing w:val="-5"/>
          <w:sz w:val="16"/>
        </w:rPr>
        <w:t>43.</w:t>
      </w:r>
    </w:p>
    <w:p>
      <w:pPr>
        <w:pStyle w:val="ListParagraph"/>
        <w:numPr>
          <w:ilvl w:val="0"/>
          <w:numId w:val="3"/>
        </w:numPr>
        <w:tabs>
          <w:tab w:pos="866" w:val="left" w:leader="none"/>
        </w:tabs>
        <w:spacing w:line="288" w:lineRule="auto" w:before="34" w:after="0"/>
        <w:ind w:left="866" w:right="868" w:hanging="354"/>
        <w:jc w:val="both"/>
        <w:rPr>
          <w:i/>
          <w:sz w:val="16"/>
        </w:rPr>
      </w:pPr>
      <w:r>
        <w:rPr>
          <w:color w:val="231F20"/>
          <w:sz w:val="16"/>
        </w:rPr>
        <w:t>ECJ</w:t>
      </w:r>
      <w:r>
        <w:rPr>
          <w:color w:val="231F20"/>
          <w:spacing w:val="-7"/>
          <w:sz w:val="16"/>
        </w:rPr>
        <w:t> </w:t>
      </w:r>
      <w:r>
        <w:rPr>
          <w:color w:val="231F20"/>
          <w:sz w:val="16"/>
        </w:rPr>
        <w:t>4</w:t>
      </w:r>
      <w:r>
        <w:rPr>
          <w:color w:val="231F20"/>
          <w:spacing w:val="-7"/>
          <w:sz w:val="16"/>
        </w:rPr>
        <w:t> </w:t>
      </w:r>
      <w:r>
        <w:rPr>
          <w:color w:val="231F20"/>
          <w:sz w:val="16"/>
        </w:rPr>
        <w:t>Jun.</w:t>
      </w:r>
      <w:r>
        <w:rPr>
          <w:color w:val="231F20"/>
          <w:spacing w:val="-7"/>
          <w:sz w:val="16"/>
        </w:rPr>
        <w:t> </w:t>
      </w:r>
      <w:r>
        <w:rPr>
          <w:color w:val="231F20"/>
          <w:sz w:val="16"/>
        </w:rPr>
        <w:t>2009,</w:t>
      </w:r>
      <w:r>
        <w:rPr>
          <w:color w:val="231F20"/>
          <w:spacing w:val="-7"/>
          <w:sz w:val="16"/>
        </w:rPr>
        <w:t> </w:t>
      </w:r>
      <w:r>
        <w:rPr>
          <w:color w:val="231F20"/>
          <w:sz w:val="16"/>
        </w:rPr>
        <w:t>ECLI:C:2009:350,</w:t>
      </w:r>
      <w:r>
        <w:rPr>
          <w:color w:val="231F20"/>
          <w:spacing w:val="-7"/>
          <w:sz w:val="16"/>
        </w:rPr>
        <w:t> </w:t>
      </w:r>
      <w:r>
        <w:rPr>
          <w:i/>
          <w:color w:val="231F20"/>
          <w:sz w:val="16"/>
        </w:rPr>
        <w:t>Pannon</w:t>
      </w:r>
      <w:r>
        <w:rPr>
          <w:i/>
          <w:color w:val="231F20"/>
          <w:spacing w:val="-7"/>
          <w:sz w:val="16"/>
        </w:rPr>
        <w:t> </w:t>
      </w:r>
      <w:r>
        <w:rPr>
          <w:i/>
          <w:color w:val="231F20"/>
          <w:sz w:val="16"/>
        </w:rPr>
        <w:t>GSM</w:t>
      </w:r>
      <w:r>
        <w:rPr>
          <w:i/>
          <w:color w:val="231F20"/>
          <w:spacing w:val="-7"/>
          <w:sz w:val="16"/>
        </w:rPr>
        <w:t> </w:t>
      </w:r>
      <w:r>
        <w:rPr>
          <w:i/>
          <w:color w:val="231F20"/>
          <w:sz w:val="16"/>
        </w:rPr>
        <w:t>Zrt.</w:t>
      </w:r>
      <w:r>
        <w:rPr>
          <w:i/>
          <w:color w:val="231F20"/>
          <w:spacing w:val="-7"/>
          <w:sz w:val="16"/>
        </w:rPr>
        <w:t> </w:t>
      </w:r>
      <w:r>
        <w:rPr>
          <w:color w:val="231F20"/>
          <w:sz w:val="16"/>
        </w:rPr>
        <w:t>v.</w:t>
      </w:r>
      <w:r>
        <w:rPr>
          <w:color w:val="231F20"/>
          <w:spacing w:val="-7"/>
          <w:sz w:val="16"/>
        </w:rPr>
        <w:t> </w:t>
      </w:r>
      <w:r>
        <w:rPr>
          <w:i/>
          <w:color w:val="231F20"/>
          <w:sz w:val="16"/>
        </w:rPr>
        <w:t>Erzsébet</w:t>
      </w:r>
      <w:r>
        <w:rPr>
          <w:i/>
          <w:color w:val="231F20"/>
          <w:spacing w:val="-7"/>
          <w:sz w:val="16"/>
        </w:rPr>
        <w:t> </w:t>
      </w:r>
      <w:r>
        <w:rPr>
          <w:i/>
          <w:color w:val="231F20"/>
          <w:sz w:val="16"/>
        </w:rPr>
        <w:t>Sustikné</w:t>
      </w:r>
      <w:r>
        <w:rPr>
          <w:i/>
          <w:color w:val="231F20"/>
          <w:spacing w:val="-7"/>
          <w:sz w:val="16"/>
        </w:rPr>
        <w:t> </w:t>
      </w:r>
      <w:r>
        <w:rPr>
          <w:i/>
          <w:color w:val="231F20"/>
          <w:sz w:val="16"/>
        </w:rPr>
        <w:t>Gy</w:t>
      </w:r>
      <w:r>
        <w:rPr>
          <w:rFonts w:ascii="Trebuchet MS" w:hAnsi="Trebuchet MS"/>
          <w:color w:val="231F20"/>
          <w:sz w:val="16"/>
        </w:rPr>
        <w:t>ő</w:t>
      </w:r>
      <w:r>
        <w:rPr>
          <w:i/>
          <w:color w:val="231F20"/>
          <w:sz w:val="16"/>
        </w:rPr>
        <w:t>rfi</w:t>
      </w:r>
      <w:r>
        <w:rPr>
          <w:color w:val="231F20"/>
          <w:sz w:val="16"/>
        </w:rPr>
        <w:t>,</w:t>
      </w:r>
      <w:r>
        <w:rPr>
          <w:color w:val="231F20"/>
          <w:spacing w:val="-7"/>
          <w:sz w:val="16"/>
        </w:rPr>
        <w:t> </w:t>
      </w:r>
      <w:r>
        <w:rPr>
          <w:color w:val="231F20"/>
          <w:sz w:val="16"/>
        </w:rPr>
        <w:t>curia.europa.</w:t>
      </w:r>
      <w:r>
        <w:rPr>
          <w:color w:val="231F20"/>
          <w:spacing w:val="40"/>
          <w:sz w:val="16"/>
        </w:rPr>
        <w:t> </w:t>
      </w:r>
      <w:r>
        <w:rPr>
          <w:color w:val="231F20"/>
          <w:sz w:val="16"/>
        </w:rPr>
        <w:t>eu/juris/liste.jsf?num=C-243/08,</w:t>
      </w:r>
      <w:r>
        <w:rPr>
          <w:color w:val="231F20"/>
          <w:spacing w:val="40"/>
          <w:sz w:val="16"/>
        </w:rPr>
        <w:t> </w:t>
      </w:r>
      <w:r>
        <w:rPr>
          <w:color w:val="231F20"/>
          <w:sz w:val="16"/>
        </w:rPr>
        <w:t>para.</w:t>
      </w:r>
      <w:r>
        <w:rPr>
          <w:color w:val="231F20"/>
          <w:spacing w:val="40"/>
          <w:sz w:val="16"/>
        </w:rPr>
        <w:t> </w:t>
      </w:r>
      <w:r>
        <w:rPr>
          <w:color w:val="231F20"/>
          <w:sz w:val="16"/>
        </w:rPr>
        <w:t>26;</w:t>
      </w:r>
      <w:r>
        <w:rPr>
          <w:color w:val="231F20"/>
          <w:spacing w:val="40"/>
          <w:sz w:val="16"/>
        </w:rPr>
        <w:t> </w:t>
      </w:r>
      <w:r>
        <w:rPr>
          <w:color w:val="231F20"/>
          <w:sz w:val="16"/>
        </w:rPr>
        <w:t>ECJ</w:t>
      </w:r>
      <w:r>
        <w:rPr>
          <w:color w:val="231F20"/>
          <w:spacing w:val="40"/>
          <w:sz w:val="16"/>
        </w:rPr>
        <w:t> </w:t>
      </w:r>
      <w:r>
        <w:rPr>
          <w:color w:val="231F20"/>
          <w:sz w:val="16"/>
        </w:rPr>
        <w:t>14</w:t>
      </w:r>
      <w:r>
        <w:rPr>
          <w:color w:val="231F20"/>
          <w:spacing w:val="40"/>
          <w:sz w:val="16"/>
        </w:rPr>
        <w:t> </w:t>
      </w:r>
      <w:r>
        <w:rPr>
          <w:color w:val="231F20"/>
          <w:sz w:val="16"/>
        </w:rPr>
        <w:t>Jun.</w:t>
      </w:r>
      <w:r>
        <w:rPr>
          <w:color w:val="231F20"/>
          <w:spacing w:val="40"/>
          <w:sz w:val="16"/>
        </w:rPr>
        <w:t> </w:t>
      </w:r>
      <w:r>
        <w:rPr>
          <w:color w:val="231F20"/>
          <w:sz w:val="16"/>
        </w:rPr>
        <w:t>2012,</w:t>
      </w:r>
      <w:r>
        <w:rPr>
          <w:color w:val="231F20"/>
          <w:spacing w:val="40"/>
          <w:sz w:val="16"/>
        </w:rPr>
        <w:t> </w:t>
      </w:r>
      <w:r>
        <w:rPr>
          <w:color w:val="231F20"/>
          <w:sz w:val="16"/>
        </w:rPr>
        <w:t>ECLI:EU:C:2012:349,</w:t>
      </w:r>
      <w:r>
        <w:rPr>
          <w:color w:val="231F20"/>
          <w:spacing w:val="40"/>
          <w:sz w:val="16"/>
        </w:rPr>
        <w:t> </w:t>
      </w:r>
      <w:r>
        <w:rPr>
          <w:i/>
          <w:color w:val="231F20"/>
          <w:sz w:val="16"/>
        </w:rPr>
        <w:t>Banco</w:t>
      </w:r>
    </w:p>
    <w:p>
      <w:pPr>
        <w:spacing w:before="1"/>
        <w:ind w:left="866" w:right="0" w:firstLine="0"/>
        <w:jc w:val="both"/>
        <w:rPr>
          <w:sz w:val="16"/>
        </w:rPr>
      </w:pPr>
      <w:r>
        <w:rPr>
          <w:i/>
          <w:color w:val="231F20"/>
          <w:sz w:val="16"/>
        </w:rPr>
        <w:t>Español</w:t>
      </w:r>
      <w:r>
        <w:rPr>
          <w:color w:val="231F20"/>
          <w:sz w:val="16"/>
        </w:rPr>
        <w:t>, para.</w:t>
      </w:r>
      <w:r>
        <w:rPr>
          <w:color w:val="231F20"/>
          <w:spacing w:val="1"/>
          <w:sz w:val="16"/>
        </w:rPr>
        <w:t> </w:t>
      </w:r>
      <w:r>
        <w:rPr>
          <w:color w:val="231F20"/>
          <w:sz w:val="16"/>
        </w:rPr>
        <w:t>67;</w:t>
      </w:r>
      <w:r>
        <w:rPr>
          <w:color w:val="231F20"/>
          <w:spacing w:val="1"/>
          <w:sz w:val="16"/>
        </w:rPr>
        <w:t> </w:t>
      </w:r>
      <w:r>
        <w:rPr>
          <w:color w:val="231F20"/>
          <w:sz w:val="16"/>
        </w:rPr>
        <w:t>ECJ 30</w:t>
      </w:r>
      <w:r>
        <w:rPr>
          <w:color w:val="231F20"/>
          <w:spacing w:val="1"/>
          <w:sz w:val="16"/>
        </w:rPr>
        <w:t> </w:t>
      </w:r>
      <w:r>
        <w:rPr>
          <w:color w:val="231F20"/>
          <w:sz w:val="16"/>
        </w:rPr>
        <w:t>May</w:t>
      </w:r>
      <w:r>
        <w:rPr>
          <w:color w:val="231F20"/>
          <w:spacing w:val="1"/>
          <w:sz w:val="16"/>
        </w:rPr>
        <w:t> </w:t>
      </w:r>
      <w:r>
        <w:rPr>
          <w:color w:val="231F20"/>
          <w:sz w:val="16"/>
        </w:rPr>
        <w:t>2013,</w:t>
      </w:r>
      <w:r>
        <w:rPr>
          <w:color w:val="231F20"/>
          <w:spacing w:val="1"/>
          <w:sz w:val="16"/>
        </w:rPr>
        <w:t> </w:t>
      </w:r>
      <w:r>
        <w:rPr>
          <w:color w:val="231F20"/>
          <w:sz w:val="16"/>
        </w:rPr>
        <w:t>ECLI:EU:C:2013:341,</w:t>
      </w:r>
      <w:r>
        <w:rPr>
          <w:color w:val="231F20"/>
          <w:spacing w:val="1"/>
          <w:sz w:val="16"/>
        </w:rPr>
        <w:t> </w:t>
      </w:r>
      <w:r>
        <w:rPr>
          <w:i/>
          <w:color w:val="231F20"/>
          <w:sz w:val="16"/>
        </w:rPr>
        <w:t>Asbeek</w:t>
      </w:r>
      <w:r>
        <w:rPr>
          <w:color w:val="231F20"/>
          <w:sz w:val="16"/>
        </w:rPr>
        <w:t>,</w:t>
      </w:r>
      <w:r>
        <w:rPr>
          <w:color w:val="231F20"/>
          <w:spacing w:val="1"/>
          <w:sz w:val="16"/>
        </w:rPr>
        <w:t> </w:t>
      </w:r>
      <w:r>
        <w:rPr>
          <w:color w:val="231F20"/>
          <w:sz w:val="16"/>
        </w:rPr>
        <w:t>para. </w:t>
      </w:r>
      <w:r>
        <w:rPr>
          <w:color w:val="231F20"/>
          <w:spacing w:val="-5"/>
          <w:sz w:val="16"/>
        </w:rPr>
        <w:t>44.</w:t>
      </w:r>
    </w:p>
    <w:p>
      <w:pPr>
        <w:pStyle w:val="ListParagraph"/>
        <w:numPr>
          <w:ilvl w:val="0"/>
          <w:numId w:val="3"/>
        </w:numPr>
        <w:tabs>
          <w:tab w:pos="866" w:val="left" w:leader="none"/>
        </w:tabs>
        <w:spacing w:line="283" w:lineRule="auto" w:before="34" w:after="0"/>
        <w:ind w:left="866" w:right="869" w:hanging="354"/>
        <w:jc w:val="left"/>
        <w:rPr>
          <w:sz w:val="16"/>
        </w:rPr>
      </w:pPr>
      <w:r>
        <w:rPr>
          <w:color w:val="231F20"/>
          <w:sz w:val="16"/>
        </w:rPr>
        <w:t>ECJ</w:t>
      </w:r>
      <w:r>
        <w:rPr>
          <w:color w:val="231F20"/>
          <w:spacing w:val="16"/>
          <w:sz w:val="16"/>
        </w:rPr>
        <w:t> </w:t>
      </w:r>
      <w:r>
        <w:rPr>
          <w:color w:val="231F20"/>
          <w:sz w:val="16"/>
        </w:rPr>
        <w:t>30</w:t>
      </w:r>
      <w:r>
        <w:rPr>
          <w:color w:val="231F20"/>
          <w:spacing w:val="15"/>
          <w:sz w:val="16"/>
        </w:rPr>
        <w:t> </w:t>
      </w:r>
      <w:r>
        <w:rPr>
          <w:color w:val="231F20"/>
          <w:sz w:val="16"/>
        </w:rPr>
        <w:t>May</w:t>
      </w:r>
      <w:r>
        <w:rPr>
          <w:color w:val="231F20"/>
          <w:spacing w:val="16"/>
          <w:sz w:val="16"/>
        </w:rPr>
        <w:t> </w:t>
      </w:r>
      <w:r>
        <w:rPr>
          <w:color w:val="231F20"/>
          <w:sz w:val="16"/>
        </w:rPr>
        <w:t>2013,</w:t>
      </w:r>
      <w:r>
        <w:rPr>
          <w:color w:val="231F20"/>
          <w:spacing w:val="16"/>
          <w:sz w:val="16"/>
        </w:rPr>
        <w:t> </w:t>
      </w:r>
      <w:r>
        <w:rPr>
          <w:color w:val="231F20"/>
          <w:sz w:val="16"/>
        </w:rPr>
        <w:t>ECLI:EU:C:2013:341,</w:t>
      </w:r>
      <w:r>
        <w:rPr>
          <w:color w:val="231F20"/>
          <w:spacing w:val="16"/>
          <w:sz w:val="16"/>
        </w:rPr>
        <w:t> </w:t>
      </w:r>
      <w:r>
        <w:rPr>
          <w:i/>
          <w:color w:val="231F20"/>
          <w:sz w:val="16"/>
        </w:rPr>
        <w:t>Asbeek</w:t>
      </w:r>
      <w:r>
        <w:rPr>
          <w:color w:val="231F20"/>
          <w:sz w:val="16"/>
        </w:rPr>
        <w:t>,</w:t>
      </w:r>
      <w:r>
        <w:rPr>
          <w:color w:val="231F20"/>
          <w:spacing w:val="16"/>
          <w:sz w:val="16"/>
        </w:rPr>
        <w:t> </w:t>
      </w:r>
      <w:r>
        <w:rPr>
          <w:color w:val="231F20"/>
          <w:sz w:val="16"/>
        </w:rPr>
        <w:t>para.</w:t>
      </w:r>
      <w:r>
        <w:rPr>
          <w:color w:val="231F20"/>
          <w:spacing w:val="16"/>
          <w:sz w:val="16"/>
        </w:rPr>
        <w:t> </w:t>
      </w:r>
      <w:r>
        <w:rPr>
          <w:color w:val="231F20"/>
          <w:sz w:val="16"/>
        </w:rPr>
        <w:t>41.</w:t>
      </w:r>
      <w:r>
        <w:rPr>
          <w:color w:val="231F20"/>
          <w:spacing w:val="15"/>
          <w:sz w:val="16"/>
        </w:rPr>
        <w:t> </w:t>
      </w:r>
      <w:r>
        <w:rPr>
          <w:color w:val="231F20"/>
          <w:sz w:val="16"/>
        </w:rPr>
        <w:t>See</w:t>
      </w:r>
      <w:r>
        <w:rPr>
          <w:color w:val="231F20"/>
          <w:spacing w:val="16"/>
          <w:sz w:val="16"/>
        </w:rPr>
        <w:t> </w:t>
      </w:r>
      <w:r>
        <w:rPr>
          <w:color w:val="231F20"/>
          <w:sz w:val="16"/>
        </w:rPr>
        <w:t>C.</w:t>
      </w:r>
      <w:r>
        <w:rPr>
          <w:color w:val="231F20"/>
          <w:spacing w:val="16"/>
          <w:sz w:val="16"/>
        </w:rPr>
        <w:t> </w:t>
      </w:r>
      <w:r>
        <w:rPr>
          <w:color w:val="231F20"/>
          <w:sz w:val="16"/>
        </w:rPr>
        <w:t>P</w:t>
      </w:r>
      <w:r>
        <w:rPr>
          <w:color w:val="231F20"/>
          <w:sz w:val="11"/>
        </w:rPr>
        <w:t>AVILLON</w:t>
      </w:r>
      <w:r>
        <w:rPr>
          <w:color w:val="231F20"/>
          <w:sz w:val="16"/>
        </w:rPr>
        <w:t>,</w:t>
      </w:r>
      <w:r>
        <w:rPr>
          <w:color w:val="231F20"/>
          <w:spacing w:val="15"/>
          <w:sz w:val="16"/>
        </w:rPr>
        <w:t> </w:t>
      </w:r>
      <w:r>
        <w:rPr>
          <w:rFonts w:ascii="Arial" w:hAnsi="Arial"/>
          <w:color w:val="231F20"/>
          <w:sz w:val="16"/>
        </w:rPr>
        <w:t>‘</w:t>
      </w:r>
      <w:r>
        <w:rPr>
          <w:color w:val="231F20"/>
          <w:sz w:val="16"/>
        </w:rPr>
        <w:t>Ignorance</w:t>
      </w:r>
      <w:r>
        <w:rPr>
          <w:color w:val="231F20"/>
          <w:spacing w:val="17"/>
          <w:sz w:val="16"/>
        </w:rPr>
        <w:t> </w:t>
      </w:r>
      <w:r>
        <w:rPr>
          <w:color w:val="231F20"/>
          <w:sz w:val="16"/>
        </w:rPr>
        <w:t>is</w:t>
      </w:r>
      <w:r>
        <w:rPr>
          <w:color w:val="231F20"/>
          <w:spacing w:val="15"/>
          <w:sz w:val="16"/>
        </w:rPr>
        <w:t> </w:t>
      </w:r>
      <w:r>
        <w:rPr>
          <w:color w:val="231F20"/>
          <w:sz w:val="16"/>
        </w:rPr>
        <w:t>bliss.</w:t>
      </w:r>
      <w:r>
        <w:rPr>
          <w:color w:val="231F20"/>
          <w:spacing w:val="40"/>
          <w:sz w:val="16"/>
        </w:rPr>
        <w:t> </w:t>
      </w:r>
      <w:r>
        <w:rPr>
          <w:color w:val="231F20"/>
          <w:sz w:val="16"/>
        </w:rPr>
        <w:t>How ex officio control became the raison d</w:t>
      </w:r>
      <w:r>
        <w:rPr>
          <w:rFonts w:ascii="Arial" w:hAnsi="Arial"/>
          <w:color w:val="231F20"/>
          <w:sz w:val="16"/>
        </w:rPr>
        <w:t>’</w:t>
      </w:r>
      <w:r>
        <w:rPr>
          <w:color w:val="231F20"/>
          <w:sz w:val="16"/>
        </w:rPr>
        <w:t>être of the UCTD</w:t>
      </w:r>
      <w:r>
        <w:rPr>
          <w:rFonts w:ascii="Arial" w:hAnsi="Arial"/>
          <w:color w:val="231F20"/>
          <w:sz w:val="16"/>
        </w:rPr>
        <w:t>’</w:t>
      </w:r>
      <w:r>
        <w:rPr>
          <w:color w:val="231F20"/>
          <w:sz w:val="16"/>
        </w:rPr>
        <w:t>, in this issue.</w:t>
      </w:r>
    </w:p>
    <w:p>
      <w:pPr>
        <w:pStyle w:val="ListParagraph"/>
        <w:numPr>
          <w:ilvl w:val="0"/>
          <w:numId w:val="3"/>
        </w:numPr>
        <w:tabs>
          <w:tab w:pos="865" w:val="left" w:leader="none"/>
        </w:tabs>
        <w:spacing w:line="240" w:lineRule="auto" w:before="1" w:after="0"/>
        <w:ind w:left="865" w:right="0" w:hanging="353"/>
        <w:jc w:val="left"/>
        <w:rPr>
          <w:sz w:val="16"/>
        </w:rPr>
      </w:pPr>
      <w:r>
        <w:rPr>
          <w:color w:val="231F20"/>
          <w:spacing w:val="-2"/>
          <w:sz w:val="16"/>
        </w:rPr>
        <w:t>ECJ</w:t>
      </w:r>
      <w:r>
        <w:rPr>
          <w:color w:val="231F20"/>
          <w:spacing w:val="1"/>
          <w:sz w:val="16"/>
        </w:rPr>
        <w:t> </w:t>
      </w:r>
      <w:r>
        <w:rPr>
          <w:color w:val="231F20"/>
          <w:spacing w:val="-2"/>
          <w:sz w:val="16"/>
        </w:rPr>
        <w:t>4</w:t>
      </w:r>
      <w:r>
        <w:rPr>
          <w:color w:val="231F20"/>
          <w:spacing w:val="2"/>
          <w:sz w:val="16"/>
        </w:rPr>
        <w:t> </w:t>
      </w:r>
      <w:r>
        <w:rPr>
          <w:color w:val="231F20"/>
          <w:spacing w:val="-2"/>
          <w:sz w:val="16"/>
        </w:rPr>
        <w:t>Jun.</w:t>
      </w:r>
      <w:r>
        <w:rPr>
          <w:color w:val="231F20"/>
          <w:spacing w:val="3"/>
          <w:sz w:val="16"/>
        </w:rPr>
        <w:t> </w:t>
      </w:r>
      <w:r>
        <w:rPr>
          <w:color w:val="231F20"/>
          <w:spacing w:val="-2"/>
          <w:sz w:val="16"/>
        </w:rPr>
        <w:t>2009,</w:t>
      </w:r>
      <w:r>
        <w:rPr>
          <w:color w:val="231F20"/>
          <w:spacing w:val="2"/>
          <w:sz w:val="16"/>
        </w:rPr>
        <w:t> </w:t>
      </w:r>
      <w:r>
        <w:rPr>
          <w:color w:val="231F20"/>
          <w:spacing w:val="-2"/>
          <w:sz w:val="16"/>
        </w:rPr>
        <w:t>ECLI:C:2009:350,</w:t>
      </w:r>
      <w:r>
        <w:rPr>
          <w:color w:val="231F20"/>
          <w:spacing w:val="2"/>
          <w:sz w:val="16"/>
        </w:rPr>
        <w:t> </w:t>
      </w:r>
      <w:r>
        <w:rPr>
          <w:i/>
          <w:color w:val="231F20"/>
          <w:spacing w:val="-2"/>
          <w:sz w:val="16"/>
        </w:rPr>
        <w:t>Pannon</w:t>
      </w:r>
      <w:r>
        <w:rPr>
          <w:color w:val="231F20"/>
          <w:spacing w:val="-2"/>
          <w:sz w:val="16"/>
        </w:rPr>
        <w:t>,</w:t>
      </w:r>
      <w:r>
        <w:rPr>
          <w:color w:val="231F20"/>
          <w:spacing w:val="2"/>
          <w:sz w:val="16"/>
        </w:rPr>
        <w:t> </w:t>
      </w:r>
      <w:r>
        <w:rPr>
          <w:color w:val="231F20"/>
          <w:spacing w:val="-2"/>
          <w:sz w:val="16"/>
        </w:rPr>
        <w:t>paras</w:t>
      </w:r>
      <w:r>
        <w:rPr>
          <w:color w:val="231F20"/>
          <w:spacing w:val="3"/>
          <w:sz w:val="16"/>
        </w:rPr>
        <w:t> </w:t>
      </w:r>
      <w:r>
        <w:rPr>
          <w:color w:val="231F20"/>
          <w:spacing w:val="-2"/>
          <w:sz w:val="16"/>
        </w:rPr>
        <w:t>24</w:t>
      </w:r>
      <w:r>
        <w:rPr>
          <w:rFonts w:ascii="Arial" w:hAnsi="Arial"/>
          <w:color w:val="231F20"/>
          <w:spacing w:val="-2"/>
          <w:sz w:val="16"/>
        </w:rPr>
        <w:t>–</w:t>
      </w:r>
      <w:r>
        <w:rPr>
          <w:color w:val="231F20"/>
          <w:spacing w:val="-2"/>
          <w:sz w:val="16"/>
        </w:rPr>
        <w:t>28.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ECJ</w:t>
      </w:r>
      <w:r>
        <w:rPr>
          <w:color w:val="231F20"/>
          <w:spacing w:val="7"/>
          <w:sz w:val="16"/>
        </w:rPr>
        <w:t> </w:t>
      </w:r>
      <w:r>
        <w:rPr>
          <w:color w:val="231F20"/>
          <w:spacing w:val="-2"/>
          <w:sz w:val="16"/>
        </w:rPr>
        <w:t>26</w:t>
      </w:r>
      <w:r>
        <w:rPr>
          <w:color w:val="231F20"/>
          <w:spacing w:val="7"/>
          <w:sz w:val="16"/>
        </w:rPr>
        <w:t> </w:t>
      </w:r>
      <w:r>
        <w:rPr>
          <w:color w:val="231F20"/>
          <w:spacing w:val="-2"/>
          <w:sz w:val="16"/>
        </w:rPr>
        <w:t>Oct.</w:t>
      </w:r>
      <w:r>
        <w:rPr>
          <w:color w:val="231F20"/>
          <w:spacing w:val="8"/>
          <w:sz w:val="16"/>
        </w:rPr>
        <w:t> </w:t>
      </w:r>
      <w:r>
        <w:rPr>
          <w:color w:val="231F20"/>
          <w:spacing w:val="-2"/>
          <w:sz w:val="16"/>
        </w:rPr>
        <w:t>2006,</w:t>
      </w:r>
      <w:r>
        <w:rPr>
          <w:color w:val="231F20"/>
          <w:spacing w:val="7"/>
          <w:sz w:val="16"/>
        </w:rPr>
        <w:t> </w:t>
      </w:r>
      <w:r>
        <w:rPr>
          <w:color w:val="231F20"/>
          <w:spacing w:val="-2"/>
          <w:sz w:val="16"/>
        </w:rPr>
        <w:t>ECLI:EU:C:2006:675,</w:t>
      </w:r>
      <w:r>
        <w:rPr>
          <w:color w:val="231F20"/>
          <w:spacing w:val="8"/>
          <w:sz w:val="16"/>
        </w:rPr>
        <w:t> </w:t>
      </w:r>
      <w:r>
        <w:rPr>
          <w:i/>
          <w:color w:val="231F20"/>
          <w:spacing w:val="-2"/>
          <w:sz w:val="16"/>
        </w:rPr>
        <w:t>Mostaza</w:t>
      </w:r>
      <w:r>
        <w:rPr>
          <w:i/>
          <w:color w:val="231F20"/>
          <w:spacing w:val="8"/>
          <w:sz w:val="16"/>
        </w:rPr>
        <w:t> </w:t>
      </w:r>
      <w:r>
        <w:rPr>
          <w:i/>
          <w:color w:val="231F20"/>
          <w:spacing w:val="-2"/>
          <w:sz w:val="16"/>
        </w:rPr>
        <w:t>Claro</w:t>
      </w:r>
      <w:r>
        <w:rPr>
          <w:color w:val="231F20"/>
          <w:spacing w:val="-2"/>
          <w:sz w:val="16"/>
        </w:rPr>
        <w:t>,</w:t>
      </w:r>
      <w:r>
        <w:rPr>
          <w:color w:val="231F20"/>
          <w:spacing w:val="7"/>
          <w:sz w:val="16"/>
        </w:rPr>
        <w:t> </w:t>
      </w:r>
      <w:r>
        <w:rPr>
          <w:color w:val="231F20"/>
          <w:spacing w:val="-2"/>
          <w:sz w:val="16"/>
        </w:rPr>
        <w:t>para.</w:t>
      </w:r>
      <w:r>
        <w:rPr>
          <w:color w:val="231F20"/>
          <w:spacing w:val="8"/>
          <w:sz w:val="16"/>
        </w:rPr>
        <w:t> </w:t>
      </w:r>
      <w:r>
        <w:rPr>
          <w:color w:val="231F20"/>
          <w:spacing w:val="-5"/>
          <w:sz w:val="16"/>
        </w:rPr>
        <w:t>38.</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2"/>
      </w:pPr>
    </w:p>
    <w:p>
      <w:pPr>
        <w:pStyle w:val="ListParagraph"/>
        <w:numPr>
          <w:ilvl w:val="0"/>
          <w:numId w:val="4"/>
        </w:numPr>
        <w:tabs>
          <w:tab w:pos="1324" w:val="left" w:leader="none"/>
        </w:tabs>
        <w:spacing w:line="285" w:lineRule="auto" w:before="0" w:after="0"/>
        <w:ind w:left="871" w:right="869" w:firstLine="0"/>
        <w:jc w:val="both"/>
        <w:rPr>
          <w:sz w:val="19"/>
        </w:rPr>
      </w:pPr>
      <w:r>
        <w:rPr>
          <w:color w:val="231F20"/>
          <w:sz w:val="19"/>
        </w:rPr>
        <w:t>From</w:t>
      </w:r>
      <w:r>
        <w:rPr>
          <w:color w:val="231F20"/>
          <w:spacing w:val="-7"/>
          <w:sz w:val="19"/>
        </w:rPr>
        <w:t> </w:t>
      </w:r>
      <w:r>
        <w:rPr>
          <w:color w:val="231F20"/>
          <w:sz w:val="19"/>
        </w:rPr>
        <w:t>the</w:t>
      </w:r>
      <w:r>
        <w:rPr>
          <w:color w:val="231F20"/>
          <w:spacing w:val="-6"/>
          <w:sz w:val="19"/>
        </w:rPr>
        <w:t> </w:t>
      </w:r>
      <w:r>
        <w:rPr>
          <w:color w:val="231F20"/>
          <w:sz w:val="19"/>
        </w:rPr>
        <w:t>perspective</w:t>
      </w:r>
      <w:r>
        <w:rPr>
          <w:color w:val="231F20"/>
          <w:spacing w:val="-6"/>
          <w:sz w:val="19"/>
        </w:rPr>
        <w:t> </w:t>
      </w:r>
      <w:r>
        <w:rPr>
          <w:color w:val="231F20"/>
          <w:sz w:val="19"/>
        </w:rPr>
        <w:t>of</w:t>
      </w:r>
      <w:r>
        <w:rPr>
          <w:color w:val="231F20"/>
          <w:spacing w:val="-4"/>
          <w:sz w:val="19"/>
        </w:rPr>
        <w:t> </w:t>
      </w:r>
      <w:r>
        <w:rPr>
          <w:color w:val="231F20"/>
          <w:sz w:val="19"/>
        </w:rPr>
        <w:t>the</w:t>
      </w:r>
      <w:r>
        <w:rPr>
          <w:color w:val="231F20"/>
          <w:spacing w:val="-7"/>
          <w:sz w:val="19"/>
        </w:rPr>
        <w:t> </w:t>
      </w:r>
      <w:r>
        <w:rPr>
          <w:color w:val="231F20"/>
          <w:sz w:val="19"/>
        </w:rPr>
        <w:t>Member</w:t>
      </w:r>
      <w:r>
        <w:rPr>
          <w:color w:val="231F20"/>
          <w:spacing w:val="-7"/>
          <w:sz w:val="19"/>
        </w:rPr>
        <w:t> </w:t>
      </w:r>
      <w:r>
        <w:rPr>
          <w:color w:val="231F20"/>
          <w:sz w:val="19"/>
        </w:rPr>
        <w:t>States,</w:t>
      </w:r>
      <w:r>
        <w:rPr>
          <w:color w:val="231F20"/>
          <w:spacing w:val="-7"/>
          <w:sz w:val="19"/>
        </w:rPr>
        <w:t> </w:t>
      </w:r>
      <w:r>
        <w:rPr>
          <w:color w:val="231F20"/>
          <w:sz w:val="19"/>
        </w:rPr>
        <w:t>which</w:t>
      </w:r>
      <w:r>
        <w:rPr>
          <w:color w:val="231F20"/>
          <w:spacing w:val="-7"/>
          <w:sz w:val="19"/>
        </w:rPr>
        <w:t> </w:t>
      </w:r>
      <w:r>
        <w:rPr>
          <w:color w:val="231F20"/>
          <w:sz w:val="19"/>
        </w:rPr>
        <w:t>retain</w:t>
      </w:r>
      <w:r>
        <w:rPr>
          <w:color w:val="231F20"/>
          <w:spacing w:val="-7"/>
          <w:sz w:val="19"/>
        </w:rPr>
        <w:t> </w:t>
      </w:r>
      <w:r>
        <w:rPr>
          <w:rFonts w:ascii="Arial" w:hAnsi="Arial"/>
          <w:color w:val="231F20"/>
          <w:sz w:val="19"/>
        </w:rPr>
        <w:t>‘</w:t>
      </w:r>
      <w:r>
        <w:rPr>
          <w:color w:val="231F20"/>
          <w:sz w:val="19"/>
        </w:rPr>
        <w:t>a</w:t>
      </w:r>
      <w:r>
        <w:rPr>
          <w:color w:val="231F20"/>
          <w:spacing w:val="-6"/>
          <w:sz w:val="19"/>
        </w:rPr>
        <w:t> </w:t>
      </w:r>
      <w:r>
        <w:rPr>
          <w:color w:val="231F20"/>
          <w:sz w:val="19"/>
        </w:rPr>
        <w:t>certain</w:t>
      </w:r>
      <w:r>
        <w:rPr>
          <w:color w:val="231F20"/>
          <w:spacing w:val="-7"/>
          <w:sz w:val="19"/>
        </w:rPr>
        <w:t> </w:t>
      </w:r>
      <w:r>
        <w:rPr>
          <w:color w:val="231F20"/>
          <w:sz w:val="19"/>
        </w:rPr>
        <w:t>degree</w:t>
      </w:r>
      <w:r>
        <w:rPr>
          <w:color w:val="231F20"/>
          <w:spacing w:val="-6"/>
          <w:sz w:val="19"/>
        </w:rPr>
        <w:t> </w:t>
      </w:r>
      <w:r>
        <w:rPr>
          <w:color w:val="231F20"/>
          <w:sz w:val="19"/>
        </w:rPr>
        <w:t>of </w:t>
      </w:r>
      <w:r>
        <w:rPr>
          <w:color w:val="231F20"/>
          <w:spacing w:val="-4"/>
          <w:sz w:val="19"/>
        </w:rPr>
        <w:t>autonomy</w:t>
      </w:r>
      <w:r>
        <w:rPr>
          <w:rFonts w:ascii="Arial" w:hAnsi="Arial"/>
          <w:color w:val="231F20"/>
          <w:spacing w:val="-4"/>
          <w:sz w:val="19"/>
        </w:rPr>
        <w:t>’</w:t>
      </w:r>
      <w:r>
        <w:rPr>
          <w:color w:val="231F20"/>
          <w:spacing w:val="-4"/>
          <w:sz w:val="19"/>
          <w:vertAlign w:val="superscript"/>
        </w:rPr>
        <w:t>22</w:t>
      </w:r>
      <w:r>
        <w:rPr>
          <w:color w:val="231F20"/>
          <w:spacing w:val="-8"/>
          <w:sz w:val="19"/>
          <w:vertAlign w:val="baseline"/>
        </w:rPr>
        <w:t> </w:t>
      </w:r>
      <w:r>
        <w:rPr>
          <w:color w:val="231F20"/>
          <w:spacing w:val="-4"/>
          <w:sz w:val="19"/>
          <w:vertAlign w:val="baseline"/>
        </w:rPr>
        <w:t>in</w:t>
      </w:r>
      <w:r>
        <w:rPr>
          <w:color w:val="231F20"/>
          <w:spacing w:val="-7"/>
          <w:sz w:val="19"/>
          <w:vertAlign w:val="baseline"/>
        </w:rPr>
        <w:t> </w:t>
      </w:r>
      <w:r>
        <w:rPr>
          <w:color w:val="231F20"/>
          <w:spacing w:val="-4"/>
          <w:sz w:val="19"/>
          <w:vertAlign w:val="baseline"/>
        </w:rPr>
        <w:t>regulating</w:t>
      </w:r>
      <w:r>
        <w:rPr>
          <w:color w:val="231F20"/>
          <w:spacing w:val="-7"/>
          <w:sz w:val="19"/>
          <w:vertAlign w:val="baseline"/>
        </w:rPr>
        <w:t> </w:t>
      </w:r>
      <w:r>
        <w:rPr>
          <w:color w:val="231F20"/>
          <w:spacing w:val="-4"/>
          <w:sz w:val="19"/>
          <w:vertAlign w:val="baseline"/>
        </w:rPr>
        <w:t>the</w:t>
      </w:r>
      <w:r>
        <w:rPr>
          <w:color w:val="231F20"/>
          <w:spacing w:val="-8"/>
          <w:sz w:val="19"/>
          <w:vertAlign w:val="baseline"/>
        </w:rPr>
        <w:t> </w:t>
      </w:r>
      <w:r>
        <w:rPr>
          <w:color w:val="231F20"/>
          <w:spacing w:val="-4"/>
          <w:sz w:val="19"/>
          <w:vertAlign w:val="baseline"/>
        </w:rPr>
        <w:t>consequences</w:t>
      </w:r>
      <w:r>
        <w:rPr>
          <w:color w:val="231F20"/>
          <w:spacing w:val="-7"/>
          <w:sz w:val="19"/>
          <w:vertAlign w:val="baseline"/>
        </w:rPr>
        <w:t> </w:t>
      </w:r>
      <w:r>
        <w:rPr>
          <w:color w:val="231F20"/>
          <w:spacing w:val="-4"/>
          <w:sz w:val="19"/>
          <w:vertAlign w:val="baseline"/>
        </w:rPr>
        <w:t>for</w:t>
      </w:r>
      <w:r>
        <w:rPr>
          <w:color w:val="231F20"/>
          <w:spacing w:val="-8"/>
          <w:sz w:val="19"/>
          <w:vertAlign w:val="baseline"/>
        </w:rPr>
        <w:t> </w:t>
      </w:r>
      <w:r>
        <w:rPr>
          <w:color w:val="231F20"/>
          <w:spacing w:val="-4"/>
          <w:sz w:val="19"/>
          <w:vertAlign w:val="baseline"/>
        </w:rPr>
        <w:t>unfair</w:t>
      </w:r>
      <w:r>
        <w:rPr>
          <w:color w:val="231F20"/>
          <w:spacing w:val="-7"/>
          <w:sz w:val="19"/>
          <w:vertAlign w:val="baseline"/>
        </w:rPr>
        <w:t> </w:t>
      </w:r>
      <w:r>
        <w:rPr>
          <w:color w:val="231F20"/>
          <w:spacing w:val="-4"/>
          <w:sz w:val="19"/>
          <w:vertAlign w:val="baseline"/>
        </w:rPr>
        <w:t>terms,</w:t>
      </w:r>
      <w:r>
        <w:rPr>
          <w:color w:val="231F20"/>
          <w:spacing w:val="-8"/>
          <w:sz w:val="19"/>
          <w:vertAlign w:val="baseline"/>
        </w:rPr>
        <w:t> </w:t>
      </w:r>
      <w:r>
        <w:rPr>
          <w:color w:val="231F20"/>
          <w:spacing w:val="-4"/>
          <w:sz w:val="19"/>
          <w:vertAlign w:val="baseline"/>
        </w:rPr>
        <w:t>the</w:t>
      </w:r>
      <w:r>
        <w:rPr>
          <w:color w:val="231F20"/>
          <w:spacing w:val="-7"/>
          <w:sz w:val="19"/>
          <w:vertAlign w:val="baseline"/>
        </w:rPr>
        <w:t> </w:t>
      </w:r>
      <w:r>
        <w:rPr>
          <w:color w:val="231F20"/>
          <w:spacing w:val="-4"/>
          <w:sz w:val="19"/>
          <w:vertAlign w:val="baseline"/>
        </w:rPr>
        <w:t>interpretation</w:t>
      </w:r>
      <w:r>
        <w:rPr>
          <w:color w:val="231F20"/>
          <w:spacing w:val="-7"/>
          <w:sz w:val="19"/>
          <w:vertAlign w:val="baseline"/>
        </w:rPr>
        <w:t> </w:t>
      </w:r>
      <w:r>
        <w:rPr>
          <w:color w:val="231F20"/>
          <w:spacing w:val="-4"/>
          <w:sz w:val="19"/>
          <w:vertAlign w:val="baseline"/>
        </w:rPr>
        <w:t>of</w:t>
      </w:r>
      <w:r>
        <w:rPr>
          <w:color w:val="231F20"/>
          <w:spacing w:val="-5"/>
          <w:sz w:val="19"/>
          <w:vertAlign w:val="baseline"/>
        </w:rPr>
        <w:t> </w:t>
      </w:r>
      <w:r>
        <w:rPr>
          <w:color w:val="231F20"/>
          <w:spacing w:val="-4"/>
          <w:sz w:val="19"/>
          <w:vertAlign w:val="baseline"/>
        </w:rPr>
        <w:t>the </w:t>
      </w:r>
      <w:r>
        <w:rPr>
          <w:color w:val="231F20"/>
          <w:sz w:val="19"/>
          <w:vertAlign w:val="baseline"/>
        </w:rPr>
        <w:t>ECJ</w:t>
      </w:r>
      <w:r>
        <w:rPr>
          <w:color w:val="231F20"/>
          <w:spacing w:val="-2"/>
          <w:sz w:val="19"/>
          <w:vertAlign w:val="baseline"/>
        </w:rPr>
        <w:t> </w:t>
      </w:r>
      <w:r>
        <w:rPr>
          <w:color w:val="231F20"/>
          <w:sz w:val="19"/>
          <w:vertAlign w:val="baseline"/>
        </w:rPr>
        <w:t>seems</w:t>
      </w:r>
      <w:r>
        <w:rPr>
          <w:color w:val="231F20"/>
          <w:spacing w:val="-2"/>
          <w:sz w:val="19"/>
          <w:vertAlign w:val="baseline"/>
        </w:rPr>
        <w:t> </w:t>
      </w:r>
      <w:r>
        <w:rPr>
          <w:color w:val="231F20"/>
          <w:sz w:val="19"/>
          <w:vertAlign w:val="baseline"/>
        </w:rPr>
        <w:t>to</w:t>
      </w:r>
      <w:r>
        <w:rPr>
          <w:color w:val="231F20"/>
          <w:spacing w:val="-2"/>
          <w:sz w:val="19"/>
          <w:vertAlign w:val="baseline"/>
        </w:rPr>
        <w:t> </w:t>
      </w:r>
      <w:r>
        <w:rPr>
          <w:color w:val="231F20"/>
          <w:sz w:val="19"/>
          <w:vertAlign w:val="baseline"/>
        </w:rPr>
        <w:t>discard</w:t>
      </w:r>
      <w:r>
        <w:rPr>
          <w:color w:val="231F20"/>
          <w:spacing w:val="-2"/>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remedy</w:t>
      </w:r>
      <w:r>
        <w:rPr>
          <w:color w:val="231F20"/>
          <w:spacing w:val="-3"/>
          <w:sz w:val="19"/>
          <w:vertAlign w:val="baseline"/>
        </w:rPr>
        <w:t> </w:t>
      </w:r>
      <w:r>
        <w:rPr>
          <w:color w:val="231F20"/>
          <w:sz w:val="19"/>
          <w:vertAlign w:val="baseline"/>
        </w:rPr>
        <w:t>of</w:t>
      </w:r>
      <w:r>
        <w:rPr>
          <w:color w:val="231F20"/>
          <w:spacing w:val="-2"/>
          <w:sz w:val="19"/>
          <w:vertAlign w:val="baseline"/>
        </w:rPr>
        <w:t> </w:t>
      </w:r>
      <w:r>
        <w:rPr>
          <w:color w:val="231F20"/>
          <w:sz w:val="19"/>
          <w:vertAlign w:val="baseline"/>
        </w:rPr>
        <w:t>relative</w:t>
      </w:r>
      <w:r>
        <w:rPr>
          <w:color w:val="231F20"/>
          <w:spacing w:val="-1"/>
          <w:sz w:val="19"/>
          <w:vertAlign w:val="baseline"/>
        </w:rPr>
        <w:t> </w:t>
      </w:r>
      <w:r>
        <w:rPr>
          <w:color w:val="231F20"/>
          <w:sz w:val="19"/>
          <w:vertAlign w:val="baseline"/>
        </w:rPr>
        <w:t>invalidity</w:t>
      </w:r>
      <w:r>
        <w:rPr>
          <w:color w:val="231F20"/>
          <w:sz w:val="19"/>
          <w:vertAlign w:val="superscript"/>
        </w:rPr>
        <w:t>23</w:t>
      </w:r>
      <w:r>
        <w:rPr>
          <w:color w:val="231F20"/>
          <w:spacing w:val="-1"/>
          <w:sz w:val="19"/>
          <w:vertAlign w:val="baseline"/>
        </w:rPr>
        <w:t> </w:t>
      </w:r>
      <w:r>
        <w:rPr>
          <w:color w:val="231F20"/>
          <w:sz w:val="19"/>
          <w:vertAlign w:val="baseline"/>
        </w:rPr>
        <w:t>that</w:t>
      </w:r>
      <w:r>
        <w:rPr>
          <w:color w:val="231F20"/>
          <w:spacing w:val="-1"/>
          <w:sz w:val="19"/>
          <w:vertAlign w:val="baseline"/>
        </w:rPr>
        <w:t> </w:t>
      </w:r>
      <w:r>
        <w:rPr>
          <w:color w:val="231F20"/>
          <w:sz w:val="19"/>
          <w:vertAlign w:val="baseline"/>
        </w:rPr>
        <w:t>was</w:t>
      </w:r>
      <w:r>
        <w:rPr>
          <w:color w:val="231F20"/>
          <w:spacing w:val="-2"/>
          <w:sz w:val="19"/>
          <w:vertAlign w:val="baseline"/>
        </w:rPr>
        <w:t> </w:t>
      </w:r>
      <w:r>
        <w:rPr>
          <w:color w:val="231F20"/>
          <w:sz w:val="19"/>
          <w:vertAlign w:val="baseline"/>
        </w:rPr>
        <w:t>on</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menu</w:t>
      </w:r>
      <w:r>
        <w:rPr>
          <w:color w:val="231F20"/>
          <w:spacing w:val="-1"/>
          <w:sz w:val="19"/>
          <w:vertAlign w:val="baseline"/>
        </w:rPr>
        <w:t> </w:t>
      </w:r>
      <w:r>
        <w:rPr>
          <w:color w:val="231F20"/>
          <w:sz w:val="19"/>
          <w:vertAlign w:val="baseline"/>
        </w:rPr>
        <w:t>the </w:t>
      </w:r>
      <w:r>
        <w:rPr>
          <w:color w:val="231F20"/>
          <w:spacing w:val="-4"/>
          <w:sz w:val="19"/>
          <w:vertAlign w:val="baseline"/>
        </w:rPr>
        <w:t>Commission</w:t>
      </w:r>
      <w:r>
        <w:rPr>
          <w:color w:val="231F20"/>
          <w:spacing w:val="-8"/>
          <w:sz w:val="19"/>
          <w:vertAlign w:val="baseline"/>
        </w:rPr>
        <w:t> </w:t>
      </w:r>
      <w:r>
        <w:rPr>
          <w:color w:val="231F20"/>
          <w:spacing w:val="-4"/>
          <w:sz w:val="19"/>
          <w:vertAlign w:val="baseline"/>
        </w:rPr>
        <w:t>initially</w:t>
      </w:r>
      <w:r>
        <w:rPr>
          <w:color w:val="231F20"/>
          <w:spacing w:val="-7"/>
          <w:sz w:val="19"/>
          <w:vertAlign w:val="baseline"/>
        </w:rPr>
        <w:t> </w:t>
      </w:r>
      <w:r>
        <w:rPr>
          <w:color w:val="231F20"/>
          <w:spacing w:val="-4"/>
          <w:sz w:val="19"/>
          <w:vertAlign w:val="baseline"/>
        </w:rPr>
        <w:t>considered</w:t>
      </w:r>
      <w:r>
        <w:rPr>
          <w:color w:val="231F20"/>
          <w:spacing w:val="-8"/>
          <w:sz w:val="19"/>
          <w:vertAlign w:val="baseline"/>
        </w:rPr>
        <w:t> </w:t>
      </w:r>
      <w:r>
        <w:rPr>
          <w:color w:val="231F20"/>
          <w:spacing w:val="-4"/>
          <w:sz w:val="19"/>
          <w:vertAlign w:val="baseline"/>
        </w:rPr>
        <w:t>plausible.</w:t>
      </w:r>
      <w:r>
        <w:rPr>
          <w:color w:val="231F20"/>
          <w:spacing w:val="-7"/>
          <w:sz w:val="19"/>
          <w:vertAlign w:val="baseline"/>
        </w:rPr>
        <w:t> </w:t>
      </w:r>
      <w:r>
        <w:rPr>
          <w:color w:val="231F20"/>
          <w:spacing w:val="-4"/>
          <w:sz w:val="19"/>
          <w:vertAlign w:val="baseline"/>
        </w:rPr>
        <w:t>In</w:t>
      </w:r>
      <w:r>
        <w:rPr>
          <w:color w:val="231F20"/>
          <w:spacing w:val="-8"/>
          <w:sz w:val="19"/>
          <w:vertAlign w:val="baseline"/>
        </w:rPr>
        <w:t> </w:t>
      </w:r>
      <w:r>
        <w:rPr>
          <w:color w:val="231F20"/>
          <w:spacing w:val="-4"/>
          <w:sz w:val="19"/>
          <w:vertAlign w:val="baseline"/>
        </w:rPr>
        <w:t>many</w:t>
      </w:r>
      <w:r>
        <w:rPr>
          <w:color w:val="231F20"/>
          <w:spacing w:val="-7"/>
          <w:sz w:val="19"/>
          <w:vertAlign w:val="baseline"/>
        </w:rPr>
        <w:t> </w:t>
      </w:r>
      <w:r>
        <w:rPr>
          <w:color w:val="231F20"/>
          <w:spacing w:val="-4"/>
          <w:sz w:val="19"/>
          <w:vertAlign w:val="baseline"/>
        </w:rPr>
        <w:t>national</w:t>
      </w:r>
      <w:r>
        <w:rPr>
          <w:color w:val="231F20"/>
          <w:spacing w:val="-8"/>
          <w:sz w:val="19"/>
          <w:vertAlign w:val="baseline"/>
        </w:rPr>
        <w:t> </w:t>
      </w:r>
      <w:r>
        <w:rPr>
          <w:color w:val="231F20"/>
          <w:spacing w:val="-4"/>
          <w:sz w:val="19"/>
          <w:vertAlign w:val="baseline"/>
        </w:rPr>
        <w:t>laws,</w:t>
      </w:r>
      <w:r>
        <w:rPr>
          <w:color w:val="231F20"/>
          <w:spacing w:val="-4"/>
          <w:sz w:val="19"/>
          <w:vertAlign w:val="superscript"/>
        </w:rPr>
        <w:t>24</w:t>
      </w:r>
      <w:r>
        <w:rPr>
          <w:color w:val="231F20"/>
          <w:spacing w:val="-7"/>
          <w:sz w:val="19"/>
          <w:vertAlign w:val="baseline"/>
        </w:rPr>
        <w:t> </w:t>
      </w:r>
      <w:r>
        <w:rPr>
          <w:color w:val="231F20"/>
          <w:spacing w:val="-4"/>
          <w:sz w:val="19"/>
          <w:vertAlign w:val="baseline"/>
        </w:rPr>
        <w:t>relative</w:t>
      </w:r>
      <w:r>
        <w:rPr>
          <w:color w:val="231F20"/>
          <w:spacing w:val="-8"/>
          <w:sz w:val="19"/>
          <w:vertAlign w:val="baseline"/>
        </w:rPr>
        <w:t> </w:t>
      </w:r>
      <w:r>
        <w:rPr>
          <w:color w:val="231F20"/>
          <w:spacing w:val="-4"/>
          <w:sz w:val="19"/>
          <w:vertAlign w:val="baseline"/>
        </w:rPr>
        <w:t>invalidity </w:t>
      </w:r>
      <w:r>
        <w:rPr>
          <w:color w:val="231F20"/>
          <w:sz w:val="19"/>
          <w:vertAlign w:val="baseline"/>
        </w:rPr>
        <w:t>must</w:t>
      </w:r>
      <w:r>
        <w:rPr>
          <w:color w:val="231F20"/>
          <w:spacing w:val="-6"/>
          <w:sz w:val="19"/>
          <w:vertAlign w:val="baseline"/>
        </w:rPr>
        <w:t> </w:t>
      </w:r>
      <w:r>
        <w:rPr>
          <w:color w:val="231F20"/>
          <w:sz w:val="19"/>
          <w:vertAlign w:val="baseline"/>
        </w:rPr>
        <w:t>be</w:t>
      </w:r>
      <w:r>
        <w:rPr>
          <w:color w:val="231F20"/>
          <w:spacing w:val="-5"/>
          <w:sz w:val="19"/>
          <w:vertAlign w:val="baseline"/>
        </w:rPr>
        <w:t> </w:t>
      </w:r>
      <w:r>
        <w:rPr>
          <w:color w:val="231F20"/>
          <w:sz w:val="19"/>
          <w:vertAlign w:val="baseline"/>
        </w:rPr>
        <w:t>actioned</w:t>
      </w:r>
      <w:r>
        <w:rPr>
          <w:color w:val="231F20"/>
          <w:spacing w:val="-5"/>
          <w:sz w:val="19"/>
          <w:vertAlign w:val="baseline"/>
        </w:rPr>
        <w:t> </w:t>
      </w:r>
      <w:r>
        <w:rPr>
          <w:color w:val="231F20"/>
          <w:sz w:val="19"/>
          <w:vertAlign w:val="baseline"/>
        </w:rPr>
        <w:t>by</w:t>
      </w:r>
      <w:r>
        <w:rPr>
          <w:color w:val="231F20"/>
          <w:spacing w:val="-4"/>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affected</w:t>
      </w:r>
      <w:r>
        <w:rPr>
          <w:color w:val="231F20"/>
          <w:spacing w:val="-4"/>
          <w:sz w:val="19"/>
          <w:vertAlign w:val="baseline"/>
        </w:rPr>
        <w:t> </w:t>
      </w:r>
      <w:r>
        <w:rPr>
          <w:color w:val="231F20"/>
          <w:sz w:val="19"/>
          <w:vertAlign w:val="baseline"/>
        </w:rPr>
        <w:t>party.</w:t>
      </w:r>
      <w:r>
        <w:rPr>
          <w:color w:val="231F20"/>
          <w:spacing w:val="-5"/>
          <w:sz w:val="19"/>
          <w:vertAlign w:val="baseline"/>
        </w:rPr>
        <w:t> </w:t>
      </w:r>
      <w:r>
        <w:rPr>
          <w:color w:val="231F20"/>
          <w:sz w:val="19"/>
          <w:vertAlign w:val="baseline"/>
        </w:rPr>
        <w:t>It</w:t>
      </w:r>
      <w:r>
        <w:rPr>
          <w:color w:val="231F20"/>
          <w:spacing w:val="-5"/>
          <w:sz w:val="19"/>
          <w:vertAlign w:val="baseline"/>
        </w:rPr>
        <w:t> </w:t>
      </w:r>
      <w:r>
        <w:rPr>
          <w:color w:val="231F20"/>
          <w:sz w:val="19"/>
          <w:vertAlign w:val="baseline"/>
        </w:rPr>
        <w:t>does</w:t>
      </w:r>
      <w:r>
        <w:rPr>
          <w:color w:val="231F20"/>
          <w:spacing w:val="-5"/>
          <w:sz w:val="19"/>
          <w:vertAlign w:val="baseline"/>
        </w:rPr>
        <w:t> </w:t>
      </w:r>
      <w:r>
        <w:rPr>
          <w:color w:val="231F20"/>
          <w:sz w:val="19"/>
          <w:vertAlign w:val="baseline"/>
        </w:rPr>
        <w:t>not</w:t>
      </w:r>
      <w:r>
        <w:rPr>
          <w:color w:val="231F20"/>
          <w:spacing w:val="-5"/>
          <w:sz w:val="19"/>
          <w:vertAlign w:val="baseline"/>
        </w:rPr>
        <w:t> </w:t>
      </w:r>
      <w:r>
        <w:rPr>
          <w:color w:val="231F20"/>
          <w:sz w:val="19"/>
          <w:vertAlign w:val="baseline"/>
        </w:rPr>
        <w:t>mandate</w:t>
      </w:r>
      <w:r>
        <w:rPr>
          <w:color w:val="231F20"/>
          <w:spacing w:val="-5"/>
          <w:sz w:val="19"/>
          <w:vertAlign w:val="baseline"/>
        </w:rPr>
        <w:t> </w:t>
      </w:r>
      <w:r>
        <w:rPr>
          <w:color w:val="231F20"/>
          <w:sz w:val="19"/>
          <w:vertAlign w:val="baseline"/>
        </w:rPr>
        <w:t>ex</w:t>
      </w:r>
      <w:r>
        <w:rPr>
          <w:color w:val="231F20"/>
          <w:spacing w:val="-6"/>
          <w:sz w:val="19"/>
          <w:vertAlign w:val="baseline"/>
        </w:rPr>
        <w:t> </w:t>
      </w:r>
      <w:r>
        <w:rPr>
          <w:color w:val="231F20"/>
          <w:sz w:val="19"/>
          <w:vertAlign w:val="baseline"/>
        </w:rPr>
        <w:t>officio</w:t>
      </w:r>
      <w:r>
        <w:rPr>
          <w:color w:val="231F20"/>
          <w:spacing w:val="-4"/>
          <w:sz w:val="19"/>
          <w:vertAlign w:val="baseline"/>
        </w:rPr>
        <w:t> </w:t>
      </w:r>
      <w:r>
        <w:rPr>
          <w:color w:val="231F20"/>
          <w:sz w:val="19"/>
          <w:vertAlign w:val="baseline"/>
        </w:rPr>
        <w:t>control</w:t>
      </w:r>
      <w:r>
        <w:rPr>
          <w:color w:val="231F20"/>
          <w:spacing w:val="-5"/>
          <w:sz w:val="19"/>
          <w:vertAlign w:val="baseline"/>
        </w:rPr>
        <w:t> </w:t>
      </w:r>
      <w:r>
        <w:rPr>
          <w:color w:val="231F20"/>
          <w:sz w:val="19"/>
          <w:vertAlign w:val="baseline"/>
        </w:rPr>
        <w:t>and, </w:t>
      </w:r>
      <w:r>
        <w:rPr>
          <w:color w:val="231F20"/>
          <w:spacing w:val="-8"/>
          <w:sz w:val="19"/>
          <w:vertAlign w:val="baseline"/>
        </w:rPr>
        <w:t>moreover,</w:t>
      </w:r>
      <w:r>
        <w:rPr>
          <w:color w:val="231F20"/>
          <w:spacing w:val="-1"/>
          <w:sz w:val="19"/>
          <w:vertAlign w:val="baseline"/>
        </w:rPr>
        <w:t> </w:t>
      </w:r>
      <w:r>
        <w:rPr>
          <w:color w:val="231F20"/>
          <w:spacing w:val="-8"/>
          <w:sz w:val="19"/>
          <w:vertAlign w:val="baseline"/>
        </w:rPr>
        <w:t>judicial</w:t>
      </w:r>
      <w:r>
        <w:rPr>
          <w:color w:val="231F20"/>
          <w:spacing w:val="1"/>
          <w:sz w:val="19"/>
          <w:vertAlign w:val="baseline"/>
        </w:rPr>
        <w:t> </w:t>
      </w:r>
      <w:r>
        <w:rPr>
          <w:color w:val="231F20"/>
          <w:spacing w:val="-8"/>
          <w:sz w:val="19"/>
          <w:vertAlign w:val="baseline"/>
        </w:rPr>
        <w:t>intervention</w:t>
      </w:r>
      <w:r>
        <w:rPr>
          <w:color w:val="231F20"/>
          <w:spacing w:val="-2"/>
          <w:sz w:val="19"/>
          <w:vertAlign w:val="baseline"/>
        </w:rPr>
        <w:t> </w:t>
      </w:r>
      <w:r>
        <w:rPr>
          <w:color w:val="231F20"/>
          <w:spacing w:val="-8"/>
          <w:sz w:val="19"/>
          <w:vertAlign w:val="baseline"/>
        </w:rPr>
        <w:t>without</w:t>
      </w:r>
      <w:r>
        <w:rPr>
          <w:color w:val="231F20"/>
          <w:sz w:val="19"/>
          <w:vertAlign w:val="baseline"/>
        </w:rPr>
        <w:t> </w:t>
      </w:r>
      <w:r>
        <w:rPr>
          <w:color w:val="231F20"/>
          <w:spacing w:val="-8"/>
          <w:sz w:val="19"/>
          <w:vertAlign w:val="baseline"/>
        </w:rPr>
        <w:t>party</w:t>
      </w:r>
      <w:r>
        <w:rPr>
          <w:color w:val="231F20"/>
          <w:spacing w:val="-2"/>
          <w:sz w:val="19"/>
          <w:vertAlign w:val="baseline"/>
        </w:rPr>
        <w:t> </w:t>
      </w:r>
      <w:r>
        <w:rPr>
          <w:color w:val="231F20"/>
          <w:spacing w:val="-8"/>
          <w:sz w:val="19"/>
          <w:vertAlign w:val="baseline"/>
        </w:rPr>
        <w:t>action</w:t>
      </w:r>
      <w:r>
        <w:rPr>
          <w:color w:val="231F20"/>
          <w:sz w:val="19"/>
          <w:vertAlign w:val="baseline"/>
        </w:rPr>
        <w:t> </w:t>
      </w:r>
      <w:r>
        <w:rPr>
          <w:color w:val="231F20"/>
          <w:spacing w:val="-8"/>
          <w:sz w:val="19"/>
          <w:vertAlign w:val="baseline"/>
        </w:rPr>
        <w:t>is</w:t>
      </w:r>
      <w:r>
        <w:rPr>
          <w:color w:val="231F20"/>
          <w:sz w:val="19"/>
          <w:vertAlign w:val="baseline"/>
        </w:rPr>
        <w:t> </w:t>
      </w:r>
      <w:r>
        <w:rPr>
          <w:color w:val="231F20"/>
          <w:spacing w:val="-8"/>
          <w:sz w:val="19"/>
          <w:vertAlign w:val="baseline"/>
        </w:rPr>
        <w:t>barred</w:t>
      </w:r>
      <w:r>
        <w:rPr>
          <w:color w:val="231F20"/>
          <w:sz w:val="19"/>
          <w:vertAlign w:val="baseline"/>
        </w:rPr>
        <w:t> </w:t>
      </w:r>
      <w:r>
        <w:rPr>
          <w:color w:val="231F20"/>
          <w:spacing w:val="-8"/>
          <w:sz w:val="19"/>
          <w:vertAlign w:val="baseline"/>
        </w:rPr>
        <w:t>in</w:t>
      </w:r>
      <w:r>
        <w:rPr>
          <w:color w:val="231F20"/>
          <w:spacing w:val="-1"/>
          <w:sz w:val="19"/>
          <w:vertAlign w:val="baseline"/>
        </w:rPr>
        <w:t> </w:t>
      </w:r>
      <w:r>
        <w:rPr>
          <w:color w:val="231F20"/>
          <w:spacing w:val="-8"/>
          <w:sz w:val="19"/>
          <w:vertAlign w:val="baseline"/>
        </w:rPr>
        <w:t>several</w:t>
      </w:r>
      <w:r>
        <w:rPr>
          <w:color w:val="231F20"/>
          <w:spacing w:val="-1"/>
          <w:sz w:val="19"/>
          <w:vertAlign w:val="baseline"/>
        </w:rPr>
        <w:t> </w:t>
      </w:r>
      <w:r>
        <w:rPr>
          <w:color w:val="231F20"/>
          <w:spacing w:val="-8"/>
          <w:sz w:val="19"/>
          <w:vertAlign w:val="baseline"/>
        </w:rPr>
        <w:t>Member</w:t>
      </w:r>
      <w:r>
        <w:rPr>
          <w:color w:val="231F20"/>
          <w:spacing w:val="-1"/>
          <w:sz w:val="19"/>
          <w:vertAlign w:val="baseline"/>
        </w:rPr>
        <w:t> </w:t>
      </w:r>
      <w:r>
        <w:rPr>
          <w:color w:val="231F20"/>
          <w:spacing w:val="-8"/>
          <w:sz w:val="19"/>
          <w:vertAlign w:val="baseline"/>
        </w:rPr>
        <w:t>States.</w:t>
      </w:r>
    </w:p>
    <w:p>
      <w:pPr>
        <w:pStyle w:val="ListParagraph"/>
        <w:numPr>
          <w:ilvl w:val="0"/>
          <w:numId w:val="4"/>
        </w:numPr>
        <w:tabs>
          <w:tab w:pos="1324" w:val="left" w:leader="none"/>
        </w:tabs>
        <w:spacing w:line="288" w:lineRule="auto" w:before="127" w:after="0"/>
        <w:ind w:left="871" w:right="868" w:firstLine="0"/>
        <w:jc w:val="both"/>
        <w:rPr>
          <w:sz w:val="19"/>
        </w:rPr>
      </w:pPr>
      <w:r>
        <w:rPr>
          <w:color w:val="231F20"/>
          <w:sz w:val="19"/>
        </w:rPr>
        <w:t>Instead,</w:t>
      </w:r>
      <w:r>
        <w:rPr>
          <w:color w:val="231F20"/>
          <w:spacing w:val="-12"/>
          <w:sz w:val="19"/>
        </w:rPr>
        <w:t> </w:t>
      </w:r>
      <w:r>
        <w:rPr>
          <w:color w:val="231F20"/>
          <w:sz w:val="19"/>
        </w:rPr>
        <w:t>embedding</w:t>
      </w:r>
      <w:r>
        <w:rPr>
          <w:color w:val="231F20"/>
          <w:spacing w:val="-11"/>
          <w:sz w:val="19"/>
        </w:rPr>
        <w:t> </w:t>
      </w:r>
      <w:r>
        <w:rPr>
          <w:color w:val="231F20"/>
          <w:sz w:val="19"/>
        </w:rPr>
        <w:t>the</w:t>
      </w:r>
      <w:r>
        <w:rPr>
          <w:color w:val="231F20"/>
          <w:spacing w:val="-12"/>
          <w:sz w:val="19"/>
        </w:rPr>
        <w:t> </w:t>
      </w:r>
      <w:r>
        <w:rPr>
          <w:color w:val="231F20"/>
          <w:sz w:val="19"/>
        </w:rPr>
        <w:t>remedy</w:t>
      </w:r>
      <w:r>
        <w:rPr>
          <w:color w:val="231F20"/>
          <w:spacing w:val="-11"/>
          <w:sz w:val="19"/>
        </w:rPr>
        <w:t> </w:t>
      </w:r>
      <w:r>
        <w:rPr>
          <w:color w:val="231F20"/>
          <w:sz w:val="19"/>
        </w:rPr>
        <w:t>of</w:t>
      </w:r>
      <w:r>
        <w:rPr>
          <w:color w:val="231F20"/>
          <w:spacing w:val="-12"/>
          <w:sz w:val="19"/>
        </w:rPr>
        <w:t> </w:t>
      </w:r>
      <w:r>
        <w:rPr>
          <w:color w:val="231F20"/>
          <w:sz w:val="19"/>
        </w:rPr>
        <w:t>Article</w:t>
      </w:r>
      <w:r>
        <w:rPr>
          <w:color w:val="231F20"/>
          <w:spacing w:val="-11"/>
          <w:sz w:val="19"/>
        </w:rPr>
        <w:t> </w:t>
      </w:r>
      <w:r>
        <w:rPr>
          <w:color w:val="231F20"/>
          <w:sz w:val="19"/>
        </w:rPr>
        <w:t>6(1)</w:t>
      </w:r>
      <w:r>
        <w:rPr>
          <w:color w:val="231F20"/>
          <w:spacing w:val="-12"/>
          <w:sz w:val="19"/>
        </w:rPr>
        <w:t> </w:t>
      </w:r>
      <w:r>
        <w:rPr>
          <w:color w:val="231F20"/>
          <w:sz w:val="19"/>
        </w:rPr>
        <w:t>UCTD</w:t>
      </w:r>
      <w:r>
        <w:rPr>
          <w:color w:val="231F20"/>
          <w:spacing w:val="-11"/>
          <w:sz w:val="19"/>
        </w:rPr>
        <w:t> </w:t>
      </w:r>
      <w:r>
        <w:rPr>
          <w:color w:val="231F20"/>
          <w:sz w:val="19"/>
        </w:rPr>
        <w:t>in</w:t>
      </w:r>
      <w:r>
        <w:rPr>
          <w:color w:val="231F20"/>
          <w:spacing w:val="-12"/>
          <w:sz w:val="19"/>
        </w:rPr>
        <w:t> </w:t>
      </w:r>
      <w:r>
        <w:rPr>
          <w:color w:val="231F20"/>
          <w:sz w:val="19"/>
        </w:rPr>
        <w:t>the</w:t>
      </w:r>
      <w:r>
        <w:rPr>
          <w:color w:val="231F20"/>
          <w:spacing w:val="-11"/>
          <w:sz w:val="19"/>
        </w:rPr>
        <w:t> </w:t>
      </w:r>
      <w:r>
        <w:rPr>
          <w:color w:val="231F20"/>
          <w:sz w:val="19"/>
        </w:rPr>
        <w:t>national</w:t>
      </w:r>
      <w:r>
        <w:rPr>
          <w:color w:val="231F20"/>
          <w:spacing w:val="-12"/>
          <w:sz w:val="19"/>
        </w:rPr>
        <w:t> </w:t>
      </w:r>
      <w:r>
        <w:rPr>
          <w:color w:val="231F20"/>
          <w:sz w:val="19"/>
        </w:rPr>
        <w:t>sanction of absolute invalidity (or similar, such as considering the term to not have been written),</w:t>
      </w:r>
      <w:r>
        <w:rPr>
          <w:color w:val="231F20"/>
          <w:spacing w:val="-5"/>
          <w:sz w:val="19"/>
        </w:rPr>
        <w:t> </w:t>
      </w:r>
      <w:r>
        <w:rPr>
          <w:color w:val="231F20"/>
          <w:sz w:val="19"/>
        </w:rPr>
        <w:t>a</w:t>
      </w:r>
      <w:r>
        <w:rPr>
          <w:color w:val="231F20"/>
          <w:spacing w:val="-5"/>
          <w:sz w:val="19"/>
        </w:rPr>
        <w:t> </w:t>
      </w:r>
      <w:r>
        <w:rPr>
          <w:color w:val="231F20"/>
          <w:sz w:val="19"/>
        </w:rPr>
        <w:t>priori,</w:t>
      </w:r>
      <w:r>
        <w:rPr>
          <w:color w:val="231F20"/>
          <w:spacing w:val="-5"/>
          <w:sz w:val="19"/>
        </w:rPr>
        <w:t> </w:t>
      </w:r>
      <w:r>
        <w:rPr>
          <w:color w:val="231F20"/>
          <w:sz w:val="19"/>
        </w:rPr>
        <w:t>looked</w:t>
      </w:r>
      <w:r>
        <w:rPr>
          <w:color w:val="231F20"/>
          <w:spacing w:val="-6"/>
          <w:sz w:val="19"/>
        </w:rPr>
        <w:t> </w:t>
      </w:r>
      <w:r>
        <w:rPr>
          <w:color w:val="231F20"/>
          <w:sz w:val="19"/>
        </w:rPr>
        <w:t>more</w:t>
      </w:r>
      <w:r>
        <w:rPr>
          <w:color w:val="231F20"/>
          <w:spacing w:val="-5"/>
          <w:sz w:val="19"/>
        </w:rPr>
        <w:t> </w:t>
      </w:r>
      <w:r>
        <w:rPr>
          <w:color w:val="231F20"/>
          <w:sz w:val="19"/>
        </w:rPr>
        <w:t>appropriate</w:t>
      </w:r>
      <w:r>
        <w:rPr>
          <w:color w:val="231F20"/>
          <w:spacing w:val="-4"/>
          <w:sz w:val="19"/>
        </w:rPr>
        <w:t> </w:t>
      </w:r>
      <w:r>
        <w:rPr>
          <w:color w:val="231F20"/>
          <w:sz w:val="19"/>
        </w:rPr>
        <w:t>for</w:t>
      </w:r>
      <w:r>
        <w:rPr>
          <w:color w:val="231F20"/>
          <w:spacing w:val="-6"/>
          <w:sz w:val="19"/>
        </w:rPr>
        <w:t> </w:t>
      </w:r>
      <w:r>
        <w:rPr>
          <w:color w:val="231F20"/>
          <w:sz w:val="19"/>
        </w:rPr>
        <w:t>the</w:t>
      </w:r>
      <w:r>
        <w:rPr>
          <w:color w:val="231F20"/>
          <w:spacing w:val="-5"/>
          <w:sz w:val="19"/>
        </w:rPr>
        <w:t> </w:t>
      </w:r>
      <w:r>
        <w:rPr>
          <w:color w:val="231F20"/>
          <w:sz w:val="19"/>
        </w:rPr>
        <w:t>interpretation</w:t>
      </w:r>
      <w:r>
        <w:rPr>
          <w:color w:val="231F20"/>
          <w:spacing w:val="-5"/>
          <w:sz w:val="19"/>
        </w:rPr>
        <w:t> </w:t>
      </w:r>
      <w:r>
        <w:rPr>
          <w:color w:val="231F20"/>
          <w:sz w:val="19"/>
        </w:rPr>
        <w:t>that</w:t>
      </w:r>
      <w:r>
        <w:rPr>
          <w:color w:val="231F20"/>
          <w:spacing w:val="-5"/>
          <w:sz w:val="19"/>
        </w:rPr>
        <w:t> </w:t>
      </w:r>
      <w:r>
        <w:rPr>
          <w:color w:val="231F20"/>
          <w:sz w:val="19"/>
        </w:rPr>
        <w:t>the</w:t>
      </w:r>
      <w:r>
        <w:rPr>
          <w:color w:val="231F20"/>
          <w:spacing w:val="-5"/>
          <w:sz w:val="19"/>
        </w:rPr>
        <w:t> </w:t>
      </w:r>
      <w:r>
        <w:rPr>
          <w:color w:val="231F20"/>
          <w:sz w:val="19"/>
        </w:rPr>
        <w:t>ECJ</w:t>
      </w:r>
      <w:r>
        <w:rPr>
          <w:color w:val="231F20"/>
          <w:spacing w:val="-5"/>
          <w:sz w:val="19"/>
        </w:rPr>
        <w:t> </w:t>
      </w:r>
      <w:r>
        <w:rPr>
          <w:color w:val="231F20"/>
          <w:sz w:val="19"/>
        </w:rPr>
        <w:t>has given of that provision. In general, absolute invalidity is a remedy that protects a public interest and that courts should apply ex officio.</w:t>
      </w:r>
      <w:r>
        <w:rPr>
          <w:color w:val="231F20"/>
          <w:sz w:val="19"/>
          <w:vertAlign w:val="superscript"/>
        </w:rPr>
        <w:t>25</w:t>
      </w:r>
    </w:p>
    <w:p>
      <w:pPr>
        <w:pStyle w:val="ListParagraph"/>
        <w:numPr>
          <w:ilvl w:val="0"/>
          <w:numId w:val="4"/>
        </w:numPr>
        <w:tabs>
          <w:tab w:pos="1324" w:val="left" w:leader="none"/>
        </w:tabs>
        <w:spacing w:line="288" w:lineRule="auto" w:before="120" w:after="0"/>
        <w:ind w:left="871" w:right="867" w:firstLine="0"/>
        <w:jc w:val="both"/>
        <w:rPr>
          <w:sz w:val="19"/>
        </w:rPr>
      </w:pPr>
      <w:r>
        <w:rPr>
          <w:color w:val="231F20"/>
          <w:spacing w:val="-6"/>
          <w:sz w:val="19"/>
        </w:rPr>
        <w:t>However,</w:t>
      </w:r>
      <w:r>
        <w:rPr>
          <w:color w:val="231F20"/>
          <w:spacing w:val="-2"/>
          <w:sz w:val="19"/>
        </w:rPr>
        <w:t> </w:t>
      </w:r>
      <w:r>
        <w:rPr>
          <w:color w:val="231F20"/>
          <w:spacing w:val="-6"/>
          <w:sz w:val="19"/>
        </w:rPr>
        <w:t>ex officio</w:t>
      </w:r>
      <w:r>
        <w:rPr>
          <w:color w:val="231F20"/>
          <w:spacing w:val="-4"/>
          <w:sz w:val="19"/>
        </w:rPr>
        <w:t> </w:t>
      </w:r>
      <w:r>
        <w:rPr>
          <w:color w:val="231F20"/>
          <w:spacing w:val="-6"/>
          <w:sz w:val="19"/>
        </w:rPr>
        <w:t>control</w:t>
      </w:r>
      <w:r>
        <w:rPr>
          <w:color w:val="231F20"/>
          <w:spacing w:val="-4"/>
          <w:sz w:val="19"/>
        </w:rPr>
        <w:t> </w:t>
      </w:r>
      <w:r>
        <w:rPr>
          <w:color w:val="231F20"/>
          <w:spacing w:val="-6"/>
          <w:sz w:val="19"/>
        </w:rPr>
        <w:t>leading</w:t>
      </w:r>
      <w:r>
        <w:rPr>
          <w:color w:val="231F20"/>
          <w:spacing w:val="-4"/>
          <w:sz w:val="19"/>
        </w:rPr>
        <w:t> </w:t>
      </w:r>
      <w:r>
        <w:rPr>
          <w:color w:val="231F20"/>
          <w:spacing w:val="-6"/>
          <w:sz w:val="19"/>
        </w:rPr>
        <w:t>to</w:t>
      </w:r>
      <w:r>
        <w:rPr>
          <w:color w:val="231F20"/>
          <w:spacing w:val="-4"/>
          <w:sz w:val="19"/>
        </w:rPr>
        <w:t> </w:t>
      </w:r>
      <w:r>
        <w:rPr>
          <w:color w:val="231F20"/>
          <w:spacing w:val="-6"/>
          <w:sz w:val="19"/>
        </w:rPr>
        <w:t>absolute</w:t>
      </w:r>
      <w:r>
        <w:rPr>
          <w:color w:val="231F20"/>
          <w:spacing w:val="-4"/>
          <w:sz w:val="19"/>
        </w:rPr>
        <w:t> </w:t>
      </w:r>
      <w:r>
        <w:rPr>
          <w:color w:val="231F20"/>
          <w:spacing w:val="-6"/>
          <w:sz w:val="19"/>
        </w:rPr>
        <w:t>invalidity</w:t>
      </w:r>
      <w:r>
        <w:rPr>
          <w:color w:val="231F20"/>
          <w:spacing w:val="-3"/>
          <w:sz w:val="19"/>
        </w:rPr>
        <w:t> </w:t>
      </w:r>
      <w:r>
        <w:rPr>
          <w:color w:val="231F20"/>
          <w:spacing w:val="-6"/>
          <w:sz w:val="19"/>
        </w:rPr>
        <w:t>is</w:t>
      </w:r>
      <w:r>
        <w:rPr>
          <w:color w:val="231F20"/>
          <w:spacing w:val="-4"/>
          <w:sz w:val="19"/>
        </w:rPr>
        <w:t> </w:t>
      </w:r>
      <w:r>
        <w:rPr>
          <w:color w:val="231F20"/>
          <w:spacing w:val="-6"/>
          <w:sz w:val="19"/>
        </w:rPr>
        <w:t>usually</w:t>
      </w:r>
      <w:r>
        <w:rPr>
          <w:color w:val="231F20"/>
          <w:spacing w:val="-1"/>
          <w:sz w:val="19"/>
        </w:rPr>
        <w:t> </w:t>
      </w:r>
      <w:r>
        <w:rPr>
          <w:color w:val="231F20"/>
          <w:spacing w:val="-6"/>
          <w:sz w:val="19"/>
        </w:rPr>
        <w:t>mandatory,</w:t>
      </w:r>
      <w:r>
        <w:rPr>
          <w:color w:val="231F20"/>
          <w:spacing w:val="-1"/>
          <w:sz w:val="19"/>
        </w:rPr>
        <w:t> </w:t>
      </w:r>
      <w:r>
        <w:rPr>
          <w:color w:val="231F20"/>
          <w:spacing w:val="-6"/>
          <w:sz w:val="19"/>
        </w:rPr>
        <w:t>in</w:t>
      </w:r>
      <w:r>
        <w:rPr>
          <w:color w:val="231F20"/>
          <w:spacing w:val="-2"/>
          <w:sz w:val="19"/>
        </w:rPr>
        <w:t> the</w:t>
      </w:r>
      <w:r>
        <w:rPr>
          <w:color w:val="231F20"/>
          <w:spacing w:val="-9"/>
          <w:sz w:val="19"/>
        </w:rPr>
        <w:t> </w:t>
      </w:r>
      <w:r>
        <w:rPr>
          <w:color w:val="231F20"/>
          <w:spacing w:val="-2"/>
          <w:sz w:val="19"/>
        </w:rPr>
        <w:t>sense</w:t>
      </w:r>
      <w:r>
        <w:rPr>
          <w:color w:val="231F20"/>
          <w:spacing w:val="-9"/>
          <w:sz w:val="19"/>
        </w:rPr>
        <w:t> </w:t>
      </w:r>
      <w:r>
        <w:rPr>
          <w:color w:val="231F20"/>
          <w:spacing w:val="-2"/>
          <w:sz w:val="19"/>
        </w:rPr>
        <w:t>that</w:t>
      </w:r>
      <w:r>
        <w:rPr>
          <w:color w:val="231F20"/>
          <w:spacing w:val="-7"/>
          <w:sz w:val="19"/>
        </w:rPr>
        <w:t> </w:t>
      </w:r>
      <w:r>
        <w:rPr>
          <w:color w:val="231F20"/>
          <w:spacing w:val="-2"/>
          <w:sz w:val="19"/>
        </w:rPr>
        <w:t>if</w:t>
      </w:r>
      <w:r>
        <w:rPr>
          <w:color w:val="231F20"/>
          <w:spacing w:val="-9"/>
          <w:sz w:val="19"/>
        </w:rPr>
        <w:t> </w:t>
      </w:r>
      <w:r>
        <w:rPr>
          <w:color w:val="231F20"/>
          <w:spacing w:val="-2"/>
          <w:sz w:val="19"/>
        </w:rPr>
        <w:t>a</w:t>
      </w:r>
      <w:r>
        <w:rPr>
          <w:color w:val="231F20"/>
          <w:spacing w:val="-7"/>
          <w:sz w:val="19"/>
        </w:rPr>
        <w:t> </w:t>
      </w:r>
      <w:r>
        <w:rPr>
          <w:color w:val="231F20"/>
          <w:spacing w:val="-2"/>
          <w:sz w:val="19"/>
        </w:rPr>
        <w:t>court</w:t>
      </w:r>
      <w:r>
        <w:rPr>
          <w:color w:val="231F20"/>
          <w:spacing w:val="-7"/>
          <w:sz w:val="19"/>
        </w:rPr>
        <w:t> </w:t>
      </w:r>
      <w:r>
        <w:rPr>
          <w:color w:val="231F20"/>
          <w:spacing w:val="-2"/>
          <w:sz w:val="19"/>
        </w:rPr>
        <w:t>decides</w:t>
      </w:r>
      <w:r>
        <w:rPr>
          <w:color w:val="231F20"/>
          <w:spacing w:val="-8"/>
          <w:sz w:val="19"/>
        </w:rPr>
        <w:t> </w:t>
      </w:r>
      <w:r>
        <w:rPr>
          <w:color w:val="231F20"/>
          <w:spacing w:val="-2"/>
          <w:sz w:val="19"/>
        </w:rPr>
        <w:t>to</w:t>
      </w:r>
      <w:r>
        <w:rPr>
          <w:color w:val="231F20"/>
          <w:spacing w:val="-9"/>
          <w:sz w:val="19"/>
        </w:rPr>
        <w:t> </w:t>
      </w:r>
      <w:r>
        <w:rPr>
          <w:color w:val="231F20"/>
          <w:spacing w:val="-2"/>
          <w:sz w:val="19"/>
        </w:rPr>
        <w:t>apply</w:t>
      </w:r>
      <w:r>
        <w:rPr>
          <w:color w:val="231F20"/>
          <w:spacing w:val="-7"/>
          <w:sz w:val="19"/>
        </w:rPr>
        <w:t> </w:t>
      </w:r>
      <w:r>
        <w:rPr>
          <w:color w:val="231F20"/>
          <w:spacing w:val="-2"/>
          <w:sz w:val="19"/>
        </w:rPr>
        <w:t>it,</w:t>
      </w:r>
      <w:r>
        <w:rPr>
          <w:color w:val="231F20"/>
          <w:spacing w:val="-7"/>
          <w:sz w:val="19"/>
        </w:rPr>
        <w:t> </w:t>
      </w:r>
      <w:r>
        <w:rPr>
          <w:color w:val="231F20"/>
          <w:spacing w:val="-2"/>
          <w:sz w:val="19"/>
        </w:rPr>
        <w:t>or</w:t>
      </w:r>
      <w:r>
        <w:rPr>
          <w:color w:val="231F20"/>
          <w:spacing w:val="-9"/>
          <w:sz w:val="19"/>
        </w:rPr>
        <w:t> </w:t>
      </w:r>
      <w:r>
        <w:rPr>
          <w:color w:val="231F20"/>
          <w:spacing w:val="-2"/>
          <w:sz w:val="19"/>
        </w:rPr>
        <w:t>even</w:t>
      </w:r>
      <w:r>
        <w:rPr>
          <w:color w:val="231F20"/>
          <w:spacing w:val="-10"/>
          <w:sz w:val="19"/>
        </w:rPr>
        <w:t> </w:t>
      </w:r>
      <w:r>
        <w:rPr>
          <w:color w:val="231F20"/>
          <w:spacing w:val="-2"/>
          <w:sz w:val="19"/>
        </w:rPr>
        <w:t>a</w:t>
      </w:r>
      <w:r>
        <w:rPr>
          <w:color w:val="231F20"/>
          <w:spacing w:val="-7"/>
          <w:sz w:val="19"/>
        </w:rPr>
        <w:t> </w:t>
      </w:r>
      <w:r>
        <w:rPr>
          <w:color w:val="231F20"/>
          <w:spacing w:val="-2"/>
          <w:sz w:val="19"/>
        </w:rPr>
        <w:t>third</w:t>
      </w:r>
      <w:r>
        <w:rPr>
          <w:color w:val="231F20"/>
          <w:spacing w:val="-9"/>
          <w:sz w:val="19"/>
        </w:rPr>
        <w:t> </w:t>
      </w:r>
      <w:r>
        <w:rPr>
          <w:color w:val="231F20"/>
          <w:spacing w:val="-2"/>
          <w:sz w:val="19"/>
        </w:rPr>
        <w:t>party</w:t>
      </w:r>
      <w:r>
        <w:rPr>
          <w:color w:val="231F20"/>
          <w:spacing w:val="-9"/>
          <w:sz w:val="19"/>
        </w:rPr>
        <w:t> </w:t>
      </w:r>
      <w:r>
        <w:rPr>
          <w:color w:val="231F20"/>
          <w:spacing w:val="-2"/>
          <w:sz w:val="19"/>
        </w:rPr>
        <w:t>claims</w:t>
      </w:r>
      <w:r>
        <w:rPr>
          <w:color w:val="231F20"/>
          <w:spacing w:val="-9"/>
          <w:sz w:val="19"/>
        </w:rPr>
        <w:t> </w:t>
      </w:r>
      <w:r>
        <w:rPr>
          <w:color w:val="231F20"/>
          <w:spacing w:val="-2"/>
          <w:sz w:val="19"/>
        </w:rPr>
        <w:t>it,</w:t>
      </w:r>
      <w:r>
        <w:rPr>
          <w:color w:val="231F20"/>
          <w:spacing w:val="-7"/>
          <w:sz w:val="19"/>
        </w:rPr>
        <w:t> </w:t>
      </w:r>
      <w:r>
        <w:rPr>
          <w:color w:val="231F20"/>
          <w:spacing w:val="-2"/>
          <w:sz w:val="19"/>
        </w:rPr>
        <w:t>the</w:t>
      </w:r>
      <w:r>
        <w:rPr>
          <w:color w:val="231F20"/>
          <w:spacing w:val="-10"/>
          <w:sz w:val="19"/>
        </w:rPr>
        <w:t> </w:t>
      </w:r>
      <w:r>
        <w:rPr>
          <w:color w:val="231F20"/>
          <w:spacing w:val="-2"/>
          <w:sz w:val="19"/>
        </w:rPr>
        <w:t>parties </w:t>
      </w:r>
      <w:r>
        <w:rPr>
          <w:color w:val="231F20"/>
          <w:sz w:val="19"/>
        </w:rPr>
        <w:t>cannot</w:t>
      </w:r>
      <w:r>
        <w:rPr>
          <w:color w:val="231F20"/>
          <w:spacing w:val="-6"/>
          <w:sz w:val="19"/>
        </w:rPr>
        <w:t> </w:t>
      </w:r>
      <w:r>
        <w:rPr>
          <w:color w:val="231F20"/>
          <w:sz w:val="19"/>
        </w:rPr>
        <w:t>opt</w:t>
      </w:r>
      <w:r>
        <w:rPr>
          <w:color w:val="231F20"/>
          <w:spacing w:val="-5"/>
          <w:sz w:val="19"/>
        </w:rPr>
        <w:t> </w:t>
      </w:r>
      <w:r>
        <w:rPr>
          <w:color w:val="231F20"/>
          <w:sz w:val="19"/>
        </w:rPr>
        <w:t>for</w:t>
      </w:r>
      <w:r>
        <w:rPr>
          <w:color w:val="231F20"/>
          <w:spacing w:val="-6"/>
          <w:sz w:val="19"/>
        </w:rPr>
        <w:t> </w:t>
      </w:r>
      <w:r>
        <w:rPr>
          <w:color w:val="231F20"/>
          <w:sz w:val="19"/>
        </w:rPr>
        <w:t>the</w:t>
      </w:r>
      <w:r>
        <w:rPr>
          <w:color w:val="231F20"/>
          <w:spacing w:val="-6"/>
          <w:sz w:val="19"/>
        </w:rPr>
        <w:t> </w:t>
      </w:r>
      <w:r>
        <w:rPr>
          <w:color w:val="231F20"/>
          <w:sz w:val="19"/>
        </w:rPr>
        <w:t>validity</w:t>
      </w:r>
      <w:r>
        <w:rPr>
          <w:color w:val="231F20"/>
          <w:spacing w:val="-6"/>
          <w:sz w:val="19"/>
        </w:rPr>
        <w:t> </w:t>
      </w:r>
      <w:r>
        <w:rPr>
          <w:color w:val="231F20"/>
          <w:sz w:val="19"/>
        </w:rPr>
        <w:t>of</w:t>
      </w:r>
      <w:r>
        <w:rPr>
          <w:color w:val="231F20"/>
          <w:spacing w:val="-3"/>
          <w:sz w:val="19"/>
        </w:rPr>
        <w:t> </w:t>
      </w:r>
      <w:r>
        <w:rPr>
          <w:color w:val="231F20"/>
          <w:sz w:val="19"/>
        </w:rPr>
        <w:t>the</w:t>
      </w:r>
      <w:r>
        <w:rPr>
          <w:color w:val="231F20"/>
          <w:spacing w:val="-6"/>
          <w:sz w:val="19"/>
        </w:rPr>
        <w:t> </w:t>
      </w:r>
      <w:r>
        <w:rPr>
          <w:color w:val="231F20"/>
          <w:sz w:val="19"/>
        </w:rPr>
        <w:t>contract.</w:t>
      </w:r>
      <w:r>
        <w:rPr>
          <w:color w:val="231F20"/>
          <w:sz w:val="19"/>
          <w:vertAlign w:val="superscript"/>
        </w:rPr>
        <w:t>26</w:t>
      </w:r>
      <w:r>
        <w:rPr>
          <w:color w:val="231F20"/>
          <w:spacing w:val="-6"/>
          <w:sz w:val="19"/>
          <w:vertAlign w:val="baseline"/>
        </w:rPr>
        <w:t> </w:t>
      </w:r>
      <w:r>
        <w:rPr>
          <w:color w:val="231F20"/>
          <w:sz w:val="19"/>
          <w:vertAlign w:val="baseline"/>
        </w:rPr>
        <w:t>Instead,</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ECJ</w:t>
      </w:r>
      <w:r>
        <w:rPr>
          <w:color w:val="231F20"/>
          <w:spacing w:val="-6"/>
          <w:sz w:val="19"/>
          <w:vertAlign w:val="baseline"/>
        </w:rPr>
        <w:t> </w:t>
      </w:r>
      <w:r>
        <w:rPr>
          <w:color w:val="231F20"/>
          <w:sz w:val="19"/>
          <w:vertAlign w:val="baseline"/>
        </w:rPr>
        <w:t>has</w:t>
      </w:r>
      <w:r>
        <w:rPr>
          <w:color w:val="231F20"/>
          <w:spacing w:val="-4"/>
          <w:sz w:val="19"/>
          <w:vertAlign w:val="baseline"/>
        </w:rPr>
        <w:t> </w:t>
      </w:r>
      <w:r>
        <w:rPr>
          <w:color w:val="231F20"/>
          <w:sz w:val="19"/>
          <w:vertAlign w:val="baseline"/>
        </w:rPr>
        <w:t>declared</w:t>
      </w:r>
      <w:r>
        <w:rPr>
          <w:color w:val="231F20"/>
          <w:spacing w:val="-6"/>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the </w:t>
      </w:r>
      <w:r>
        <w:rPr>
          <w:color w:val="231F20"/>
          <w:spacing w:val="-2"/>
          <w:sz w:val="19"/>
          <w:vertAlign w:val="baseline"/>
        </w:rPr>
        <w:t>protection</w:t>
      </w:r>
      <w:r>
        <w:rPr>
          <w:color w:val="231F20"/>
          <w:spacing w:val="-6"/>
          <w:sz w:val="19"/>
          <w:vertAlign w:val="baseline"/>
        </w:rPr>
        <w:t> </w:t>
      </w:r>
      <w:r>
        <w:rPr>
          <w:color w:val="231F20"/>
          <w:spacing w:val="-2"/>
          <w:sz w:val="19"/>
          <w:vertAlign w:val="baseline"/>
        </w:rPr>
        <w:t>granted</w:t>
      </w:r>
      <w:r>
        <w:rPr>
          <w:color w:val="231F20"/>
          <w:spacing w:val="-4"/>
          <w:sz w:val="19"/>
          <w:vertAlign w:val="baseline"/>
        </w:rPr>
        <w:t> </w:t>
      </w:r>
      <w:r>
        <w:rPr>
          <w:color w:val="231F20"/>
          <w:spacing w:val="-2"/>
          <w:sz w:val="19"/>
          <w:vertAlign w:val="baseline"/>
        </w:rPr>
        <w:t>to</w:t>
      </w:r>
      <w:r>
        <w:rPr>
          <w:color w:val="231F20"/>
          <w:spacing w:val="-6"/>
          <w:sz w:val="19"/>
          <w:vertAlign w:val="baseline"/>
        </w:rPr>
        <w:t> </w:t>
      </w:r>
      <w:r>
        <w:rPr>
          <w:color w:val="231F20"/>
          <w:spacing w:val="-2"/>
          <w:sz w:val="19"/>
          <w:vertAlign w:val="baseline"/>
        </w:rPr>
        <w:t>the</w:t>
      </w:r>
      <w:r>
        <w:rPr>
          <w:color w:val="231F20"/>
          <w:spacing w:val="-6"/>
          <w:sz w:val="19"/>
          <w:vertAlign w:val="baseline"/>
        </w:rPr>
        <w:t> </w:t>
      </w:r>
      <w:r>
        <w:rPr>
          <w:color w:val="231F20"/>
          <w:spacing w:val="-2"/>
          <w:sz w:val="19"/>
          <w:vertAlign w:val="baseline"/>
        </w:rPr>
        <w:t>consumer</w:t>
      </w:r>
      <w:r>
        <w:rPr>
          <w:color w:val="231F20"/>
          <w:spacing w:val="-4"/>
          <w:sz w:val="19"/>
          <w:vertAlign w:val="baseline"/>
        </w:rPr>
        <w:t> </w:t>
      </w:r>
      <w:r>
        <w:rPr>
          <w:color w:val="231F20"/>
          <w:spacing w:val="-2"/>
          <w:sz w:val="19"/>
          <w:vertAlign w:val="baseline"/>
        </w:rPr>
        <w:t>under</w:t>
      </w:r>
      <w:r>
        <w:rPr>
          <w:color w:val="231F20"/>
          <w:spacing w:val="-4"/>
          <w:sz w:val="19"/>
          <w:vertAlign w:val="baseline"/>
        </w:rPr>
        <w:t> </w:t>
      </w:r>
      <w:r>
        <w:rPr>
          <w:color w:val="231F20"/>
          <w:spacing w:val="-2"/>
          <w:sz w:val="19"/>
          <w:vertAlign w:val="baseline"/>
        </w:rPr>
        <w:t>Article</w:t>
      </w:r>
      <w:r>
        <w:rPr>
          <w:color w:val="231F20"/>
          <w:spacing w:val="-5"/>
          <w:sz w:val="19"/>
          <w:vertAlign w:val="baseline"/>
        </w:rPr>
        <w:t> </w:t>
      </w:r>
      <w:r>
        <w:rPr>
          <w:color w:val="231F20"/>
          <w:spacing w:val="-2"/>
          <w:sz w:val="19"/>
          <w:vertAlign w:val="baseline"/>
        </w:rPr>
        <w:t>6(1)</w:t>
      </w:r>
      <w:r>
        <w:rPr>
          <w:color w:val="231F20"/>
          <w:spacing w:val="-6"/>
          <w:sz w:val="19"/>
          <w:vertAlign w:val="baseline"/>
        </w:rPr>
        <w:t> </w:t>
      </w:r>
      <w:r>
        <w:rPr>
          <w:color w:val="231F20"/>
          <w:spacing w:val="-2"/>
          <w:sz w:val="19"/>
          <w:vertAlign w:val="baseline"/>
        </w:rPr>
        <w:t>UCTD</w:t>
      </w:r>
      <w:r>
        <w:rPr>
          <w:color w:val="231F20"/>
          <w:spacing w:val="-3"/>
          <w:sz w:val="19"/>
          <w:vertAlign w:val="baseline"/>
        </w:rPr>
        <w:t> </w:t>
      </w:r>
      <w:r>
        <w:rPr>
          <w:color w:val="231F20"/>
          <w:spacing w:val="-2"/>
          <w:sz w:val="19"/>
          <w:vertAlign w:val="baseline"/>
        </w:rPr>
        <w:t>can</w:t>
      </w:r>
      <w:r>
        <w:rPr>
          <w:color w:val="231F20"/>
          <w:spacing w:val="-5"/>
          <w:sz w:val="19"/>
          <w:vertAlign w:val="baseline"/>
        </w:rPr>
        <w:t> </w:t>
      </w:r>
      <w:r>
        <w:rPr>
          <w:color w:val="231F20"/>
          <w:spacing w:val="-2"/>
          <w:sz w:val="19"/>
          <w:vertAlign w:val="baseline"/>
        </w:rPr>
        <w:t>be</w:t>
      </w:r>
      <w:r>
        <w:rPr>
          <w:color w:val="231F20"/>
          <w:spacing w:val="-4"/>
          <w:sz w:val="19"/>
          <w:vertAlign w:val="baseline"/>
        </w:rPr>
        <w:t> </w:t>
      </w:r>
      <w:r>
        <w:rPr>
          <w:color w:val="231F20"/>
          <w:spacing w:val="-2"/>
          <w:sz w:val="19"/>
          <w:vertAlign w:val="baseline"/>
        </w:rPr>
        <w:t>set aside.</w:t>
      </w:r>
      <w:r>
        <w:rPr>
          <w:color w:val="231F20"/>
          <w:spacing w:val="-6"/>
          <w:sz w:val="19"/>
          <w:vertAlign w:val="baseline"/>
        </w:rPr>
        <w:t> </w:t>
      </w:r>
      <w:r>
        <w:rPr>
          <w:color w:val="231F20"/>
          <w:spacing w:val="-2"/>
          <w:sz w:val="19"/>
          <w:vertAlign w:val="baseline"/>
        </w:rPr>
        <w:t>If the </w:t>
      </w:r>
      <w:r>
        <w:rPr>
          <w:color w:val="231F20"/>
          <w:spacing w:val="-4"/>
          <w:sz w:val="19"/>
          <w:vertAlign w:val="baseline"/>
        </w:rPr>
        <w:t>court</w:t>
      </w:r>
      <w:r>
        <w:rPr>
          <w:color w:val="231F20"/>
          <w:spacing w:val="-8"/>
          <w:sz w:val="19"/>
          <w:vertAlign w:val="baseline"/>
        </w:rPr>
        <w:t> </w:t>
      </w:r>
      <w:r>
        <w:rPr>
          <w:color w:val="231F20"/>
          <w:spacing w:val="-4"/>
          <w:sz w:val="19"/>
          <w:vertAlign w:val="baseline"/>
        </w:rPr>
        <w:t>were</w:t>
      </w:r>
      <w:r>
        <w:rPr>
          <w:color w:val="231F20"/>
          <w:spacing w:val="-7"/>
          <w:sz w:val="19"/>
          <w:vertAlign w:val="baseline"/>
        </w:rPr>
        <w:t> </w:t>
      </w:r>
      <w:r>
        <w:rPr>
          <w:color w:val="231F20"/>
          <w:spacing w:val="-4"/>
          <w:sz w:val="19"/>
          <w:vertAlign w:val="baseline"/>
        </w:rPr>
        <w:t>to</w:t>
      </w:r>
      <w:r>
        <w:rPr>
          <w:color w:val="231F20"/>
          <w:spacing w:val="-8"/>
          <w:sz w:val="19"/>
          <w:vertAlign w:val="baseline"/>
        </w:rPr>
        <w:t> </w:t>
      </w:r>
      <w:r>
        <w:rPr>
          <w:color w:val="231F20"/>
          <w:spacing w:val="-4"/>
          <w:sz w:val="19"/>
          <w:vertAlign w:val="baseline"/>
        </w:rPr>
        <w:t>find,</w:t>
      </w:r>
      <w:r>
        <w:rPr>
          <w:color w:val="231F20"/>
          <w:spacing w:val="-7"/>
          <w:sz w:val="19"/>
          <w:vertAlign w:val="baseline"/>
        </w:rPr>
        <w:t> </w:t>
      </w:r>
      <w:r>
        <w:rPr>
          <w:color w:val="231F20"/>
          <w:spacing w:val="-4"/>
          <w:sz w:val="19"/>
          <w:vertAlign w:val="baseline"/>
        </w:rPr>
        <w:t>of</w:t>
      </w:r>
      <w:r>
        <w:rPr>
          <w:color w:val="231F20"/>
          <w:spacing w:val="-8"/>
          <w:sz w:val="19"/>
          <w:vertAlign w:val="baseline"/>
        </w:rPr>
        <w:t> </w:t>
      </w:r>
      <w:r>
        <w:rPr>
          <w:color w:val="231F20"/>
          <w:spacing w:val="-4"/>
          <w:sz w:val="19"/>
          <w:vertAlign w:val="baseline"/>
        </w:rPr>
        <w:t>its</w:t>
      </w:r>
      <w:r>
        <w:rPr>
          <w:color w:val="231F20"/>
          <w:spacing w:val="-7"/>
          <w:sz w:val="19"/>
          <w:vertAlign w:val="baseline"/>
        </w:rPr>
        <w:t> </w:t>
      </w:r>
      <w:r>
        <w:rPr>
          <w:color w:val="231F20"/>
          <w:spacing w:val="-4"/>
          <w:sz w:val="19"/>
          <w:vertAlign w:val="baseline"/>
        </w:rPr>
        <w:t>own</w:t>
      </w:r>
      <w:r>
        <w:rPr>
          <w:color w:val="231F20"/>
          <w:spacing w:val="-8"/>
          <w:sz w:val="19"/>
          <w:vertAlign w:val="baseline"/>
        </w:rPr>
        <w:t> </w:t>
      </w:r>
      <w:r>
        <w:rPr>
          <w:color w:val="231F20"/>
          <w:spacing w:val="-4"/>
          <w:sz w:val="19"/>
          <w:vertAlign w:val="baseline"/>
        </w:rPr>
        <w:t>motion,</w:t>
      </w:r>
      <w:r>
        <w:rPr>
          <w:color w:val="231F20"/>
          <w:spacing w:val="-7"/>
          <w:sz w:val="19"/>
          <w:vertAlign w:val="baseline"/>
        </w:rPr>
        <w:t> </w:t>
      </w:r>
      <w:r>
        <w:rPr>
          <w:color w:val="231F20"/>
          <w:spacing w:val="-4"/>
          <w:sz w:val="19"/>
          <w:vertAlign w:val="baseline"/>
        </w:rPr>
        <w:t>that</w:t>
      </w:r>
      <w:r>
        <w:rPr>
          <w:color w:val="231F20"/>
          <w:spacing w:val="-8"/>
          <w:sz w:val="19"/>
          <w:vertAlign w:val="baseline"/>
        </w:rPr>
        <w:t> </w:t>
      </w:r>
      <w:r>
        <w:rPr>
          <w:color w:val="231F20"/>
          <w:spacing w:val="-4"/>
          <w:sz w:val="19"/>
          <w:vertAlign w:val="baseline"/>
        </w:rPr>
        <w:t>a</w:t>
      </w:r>
      <w:r>
        <w:rPr>
          <w:color w:val="231F20"/>
          <w:spacing w:val="-7"/>
          <w:sz w:val="19"/>
          <w:vertAlign w:val="baseline"/>
        </w:rPr>
        <w:t> </w:t>
      </w:r>
      <w:r>
        <w:rPr>
          <w:color w:val="231F20"/>
          <w:spacing w:val="-4"/>
          <w:sz w:val="19"/>
          <w:vertAlign w:val="baseline"/>
        </w:rPr>
        <w:t>term</w:t>
      </w:r>
      <w:r>
        <w:rPr>
          <w:color w:val="231F20"/>
          <w:spacing w:val="-8"/>
          <w:sz w:val="19"/>
          <w:vertAlign w:val="baseline"/>
        </w:rPr>
        <w:t> </w:t>
      </w:r>
      <w:r>
        <w:rPr>
          <w:color w:val="231F20"/>
          <w:spacing w:val="-4"/>
          <w:sz w:val="19"/>
          <w:vertAlign w:val="baseline"/>
        </w:rPr>
        <w:t>is</w:t>
      </w:r>
      <w:r>
        <w:rPr>
          <w:color w:val="231F20"/>
          <w:spacing w:val="-7"/>
          <w:sz w:val="19"/>
          <w:vertAlign w:val="baseline"/>
        </w:rPr>
        <w:t> </w:t>
      </w:r>
      <w:r>
        <w:rPr>
          <w:color w:val="231F20"/>
          <w:spacing w:val="-4"/>
          <w:sz w:val="19"/>
          <w:vertAlign w:val="baseline"/>
        </w:rPr>
        <w:t>unfair,</w:t>
      </w:r>
      <w:r>
        <w:rPr>
          <w:color w:val="231F20"/>
          <w:spacing w:val="-7"/>
          <w:sz w:val="19"/>
          <w:vertAlign w:val="baseline"/>
        </w:rPr>
        <w:t> </w:t>
      </w:r>
      <w:r>
        <w:rPr>
          <w:color w:val="231F20"/>
          <w:spacing w:val="-4"/>
          <w:sz w:val="19"/>
          <w:vertAlign w:val="baseline"/>
        </w:rPr>
        <w:t>it</w:t>
      </w:r>
      <w:r>
        <w:rPr>
          <w:color w:val="231F20"/>
          <w:spacing w:val="-8"/>
          <w:sz w:val="19"/>
          <w:vertAlign w:val="baseline"/>
        </w:rPr>
        <w:t> </w:t>
      </w:r>
      <w:r>
        <w:rPr>
          <w:color w:val="231F20"/>
          <w:spacing w:val="-4"/>
          <w:sz w:val="19"/>
          <w:vertAlign w:val="baseline"/>
        </w:rPr>
        <w:t>should</w:t>
      </w:r>
      <w:r>
        <w:rPr>
          <w:color w:val="231F20"/>
          <w:spacing w:val="-7"/>
          <w:sz w:val="19"/>
          <w:vertAlign w:val="baseline"/>
        </w:rPr>
        <w:t> </w:t>
      </w:r>
      <w:r>
        <w:rPr>
          <w:color w:val="231F20"/>
          <w:spacing w:val="-4"/>
          <w:sz w:val="19"/>
          <w:vertAlign w:val="baseline"/>
        </w:rPr>
        <w:t>inform</w:t>
      </w:r>
      <w:r>
        <w:rPr>
          <w:color w:val="231F20"/>
          <w:spacing w:val="-8"/>
          <w:sz w:val="19"/>
          <w:vertAlign w:val="baseline"/>
        </w:rPr>
        <w:t> </w:t>
      </w:r>
      <w:r>
        <w:rPr>
          <w:color w:val="231F20"/>
          <w:spacing w:val="-4"/>
          <w:sz w:val="19"/>
          <w:vertAlign w:val="baseline"/>
        </w:rPr>
        <w:t>the</w:t>
      </w:r>
      <w:r>
        <w:rPr>
          <w:color w:val="231F20"/>
          <w:spacing w:val="-7"/>
          <w:sz w:val="19"/>
          <w:vertAlign w:val="baseline"/>
        </w:rPr>
        <w:t> </w:t>
      </w:r>
      <w:r>
        <w:rPr>
          <w:color w:val="231F20"/>
          <w:spacing w:val="-4"/>
          <w:sz w:val="19"/>
          <w:vertAlign w:val="baseline"/>
        </w:rPr>
        <w:t>parties </w:t>
      </w:r>
      <w:r>
        <w:rPr>
          <w:color w:val="231F20"/>
          <w:spacing w:val="-2"/>
          <w:sz w:val="19"/>
          <w:vertAlign w:val="baseline"/>
        </w:rPr>
        <w:t>about</w:t>
      </w:r>
      <w:r>
        <w:rPr>
          <w:color w:val="231F20"/>
          <w:spacing w:val="-10"/>
          <w:sz w:val="19"/>
          <w:vertAlign w:val="baseline"/>
        </w:rPr>
        <w:t> </w:t>
      </w:r>
      <w:r>
        <w:rPr>
          <w:color w:val="231F20"/>
          <w:spacing w:val="-2"/>
          <w:sz w:val="19"/>
          <w:vertAlign w:val="baseline"/>
        </w:rPr>
        <w:t>it</w:t>
      </w:r>
      <w:r>
        <w:rPr>
          <w:color w:val="231F20"/>
          <w:spacing w:val="-9"/>
          <w:sz w:val="19"/>
          <w:vertAlign w:val="baseline"/>
        </w:rPr>
        <w:t> </w:t>
      </w:r>
      <w:r>
        <w:rPr>
          <w:color w:val="231F20"/>
          <w:spacing w:val="-2"/>
          <w:sz w:val="19"/>
          <w:vertAlign w:val="baseline"/>
        </w:rPr>
        <w:t>and</w:t>
      </w:r>
      <w:r>
        <w:rPr>
          <w:color w:val="231F20"/>
          <w:spacing w:val="-10"/>
          <w:sz w:val="19"/>
          <w:vertAlign w:val="baseline"/>
        </w:rPr>
        <w:t> </w:t>
      </w:r>
      <w:r>
        <w:rPr>
          <w:color w:val="231F20"/>
          <w:spacing w:val="-2"/>
          <w:sz w:val="19"/>
          <w:vertAlign w:val="baseline"/>
        </w:rPr>
        <w:t>invite</w:t>
      </w:r>
      <w:r>
        <w:rPr>
          <w:color w:val="231F20"/>
          <w:spacing w:val="-9"/>
          <w:sz w:val="19"/>
          <w:vertAlign w:val="baseline"/>
        </w:rPr>
        <w:t> </w:t>
      </w:r>
      <w:r>
        <w:rPr>
          <w:color w:val="231F20"/>
          <w:spacing w:val="-2"/>
          <w:sz w:val="19"/>
          <w:vertAlign w:val="baseline"/>
        </w:rPr>
        <w:t>them</w:t>
      </w:r>
      <w:r>
        <w:rPr>
          <w:color w:val="231F20"/>
          <w:spacing w:val="-10"/>
          <w:sz w:val="19"/>
          <w:vertAlign w:val="baseline"/>
        </w:rPr>
        <w:t> </w:t>
      </w:r>
      <w:r>
        <w:rPr>
          <w:color w:val="231F20"/>
          <w:spacing w:val="-2"/>
          <w:sz w:val="19"/>
          <w:vertAlign w:val="baseline"/>
        </w:rPr>
        <w:t>to</w:t>
      </w:r>
      <w:r>
        <w:rPr>
          <w:color w:val="231F20"/>
          <w:spacing w:val="-9"/>
          <w:sz w:val="19"/>
          <w:vertAlign w:val="baseline"/>
        </w:rPr>
        <w:t> </w:t>
      </w:r>
      <w:r>
        <w:rPr>
          <w:color w:val="231F20"/>
          <w:spacing w:val="-2"/>
          <w:sz w:val="19"/>
          <w:vertAlign w:val="baseline"/>
        </w:rPr>
        <w:t>submit</w:t>
      </w:r>
      <w:r>
        <w:rPr>
          <w:color w:val="231F20"/>
          <w:spacing w:val="-10"/>
          <w:sz w:val="19"/>
          <w:vertAlign w:val="baseline"/>
        </w:rPr>
        <w:t> </w:t>
      </w:r>
      <w:r>
        <w:rPr>
          <w:color w:val="231F20"/>
          <w:spacing w:val="-2"/>
          <w:sz w:val="19"/>
          <w:vertAlign w:val="baseline"/>
        </w:rPr>
        <w:t>and</w:t>
      </w:r>
      <w:r>
        <w:rPr>
          <w:color w:val="231F20"/>
          <w:spacing w:val="-9"/>
          <w:sz w:val="19"/>
          <w:vertAlign w:val="baseline"/>
        </w:rPr>
        <w:t> </w:t>
      </w:r>
      <w:r>
        <w:rPr>
          <w:color w:val="231F20"/>
          <w:spacing w:val="-2"/>
          <w:sz w:val="19"/>
          <w:vertAlign w:val="baseline"/>
        </w:rPr>
        <w:t>set</w:t>
      </w:r>
      <w:r>
        <w:rPr>
          <w:color w:val="231F20"/>
          <w:spacing w:val="-10"/>
          <w:sz w:val="19"/>
          <w:vertAlign w:val="baseline"/>
        </w:rPr>
        <w:t> </w:t>
      </w:r>
      <w:r>
        <w:rPr>
          <w:color w:val="231F20"/>
          <w:spacing w:val="-2"/>
          <w:sz w:val="19"/>
          <w:vertAlign w:val="baseline"/>
        </w:rPr>
        <w:t>out</w:t>
      </w:r>
      <w:r>
        <w:rPr>
          <w:color w:val="231F20"/>
          <w:spacing w:val="-9"/>
          <w:sz w:val="19"/>
          <w:vertAlign w:val="baseline"/>
        </w:rPr>
        <w:t> </w:t>
      </w:r>
      <w:r>
        <w:rPr>
          <w:color w:val="231F20"/>
          <w:spacing w:val="-2"/>
          <w:sz w:val="19"/>
          <w:vertAlign w:val="baseline"/>
        </w:rPr>
        <w:t>their</w:t>
      </w:r>
      <w:r>
        <w:rPr>
          <w:color w:val="231F20"/>
          <w:spacing w:val="-10"/>
          <w:sz w:val="19"/>
          <w:vertAlign w:val="baseline"/>
        </w:rPr>
        <w:t> </w:t>
      </w:r>
      <w:r>
        <w:rPr>
          <w:color w:val="231F20"/>
          <w:spacing w:val="-2"/>
          <w:sz w:val="19"/>
          <w:vertAlign w:val="baseline"/>
        </w:rPr>
        <w:t>respective</w:t>
      </w:r>
      <w:r>
        <w:rPr>
          <w:color w:val="231F20"/>
          <w:spacing w:val="-9"/>
          <w:sz w:val="19"/>
          <w:vertAlign w:val="baseline"/>
        </w:rPr>
        <w:t> </w:t>
      </w:r>
      <w:r>
        <w:rPr>
          <w:color w:val="231F20"/>
          <w:spacing w:val="-2"/>
          <w:sz w:val="19"/>
          <w:vertAlign w:val="baseline"/>
        </w:rPr>
        <w:t>views.</w:t>
      </w:r>
      <w:r>
        <w:rPr>
          <w:color w:val="231F20"/>
          <w:spacing w:val="-2"/>
          <w:sz w:val="19"/>
          <w:vertAlign w:val="superscript"/>
        </w:rPr>
        <w:t>27</w:t>
      </w:r>
      <w:r>
        <w:rPr>
          <w:color w:val="231F20"/>
          <w:spacing w:val="-9"/>
          <w:sz w:val="19"/>
          <w:vertAlign w:val="baseline"/>
        </w:rPr>
        <w:t> </w:t>
      </w:r>
      <w:r>
        <w:rPr>
          <w:color w:val="231F20"/>
          <w:spacing w:val="-2"/>
          <w:sz w:val="19"/>
          <w:vertAlign w:val="baseline"/>
        </w:rPr>
        <w:t>Following</w:t>
      </w:r>
      <w:r>
        <w:rPr>
          <w:color w:val="231F20"/>
          <w:spacing w:val="-10"/>
          <w:sz w:val="19"/>
          <w:vertAlign w:val="baseline"/>
        </w:rPr>
        <w:t> </w:t>
      </w:r>
      <w:r>
        <w:rPr>
          <w:color w:val="231F20"/>
          <w:spacing w:val="-2"/>
          <w:sz w:val="19"/>
          <w:vertAlign w:val="baseline"/>
        </w:rPr>
        <w:t>the </w:t>
      </w:r>
      <w:r>
        <w:rPr>
          <w:color w:val="231F20"/>
          <w:sz w:val="19"/>
          <w:vertAlign w:val="baseline"/>
        </w:rPr>
        <w:t>information</w:t>
      </w:r>
      <w:r>
        <w:rPr>
          <w:color w:val="231F20"/>
          <w:spacing w:val="-6"/>
          <w:sz w:val="19"/>
          <w:vertAlign w:val="baseline"/>
        </w:rPr>
        <w:t> </w:t>
      </w:r>
      <w:r>
        <w:rPr>
          <w:color w:val="231F20"/>
          <w:sz w:val="19"/>
          <w:vertAlign w:val="baseline"/>
        </w:rPr>
        <w:t>from</w:t>
      </w:r>
      <w:r>
        <w:rPr>
          <w:color w:val="231F20"/>
          <w:spacing w:val="-7"/>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court,</w:t>
      </w:r>
      <w:r>
        <w:rPr>
          <w:color w:val="231F20"/>
          <w:spacing w:val="-5"/>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consumer</w:t>
      </w:r>
      <w:r>
        <w:rPr>
          <w:color w:val="231F20"/>
          <w:spacing w:val="-5"/>
          <w:sz w:val="19"/>
          <w:vertAlign w:val="baseline"/>
        </w:rPr>
        <w:t> </w:t>
      </w:r>
      <w:r>
        <w:rPr>
          <w:color w:val="231F20"/>
          <w:sz w:val="19"/>
          <w:vertAlign w:val="baseline"/>
        </w:rPr>
        <w:t>can</w:t>
      </w:r>
      <w:r>
        <w:rPr>
          <w:color w:val="231F20"/>
          <w:spacing w:val="-5"/>
          <w:sz w:val="19"/>
          <w:vertAlign w:val="baseline"/>
        </w:rPr>
        <w:t> </w:t>
      </w:r>
      <w:r>
        <w:rPr>
          <w:color w:val="231F20"/>
          <w:sz w:val="19"/>
          <w:vertAlign w:val="baseline"/>
        </w:rPr>
        <w:t>confirm</w:t>
      </w:r>
      <w:r>
        <w:rPr>
          <w:color w:val="231F20"/>
          <w:spacing w:val="-5"/>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unfair</w:t>
      </w:r>
      <w:r>
        <w:rPr>
          <w:color w:val="231F20"/>
          <w:spacing w:val="-7"/>
          <w:sz w:val="19"/>
          <w:vertAlign w:val="baseline"/>
        </w:rPr>
        <w:t> </w:t>
      </w:r>
      <w:r>
        <w:rPr>
          <w:color w:val="231F20"/>
          <w:sz w:val="19"/>
          <w:vertAlign w:val="baseline"/>
        </w:rPr>
        <w:t>term.</w:t>
      </w:r>
      <w:r>
        <w:rPr>
          <w:color w:val="231F20"/>
          <w:sz w:val="19"/>
          <w:vertAlign w:val="superscript"/>
        </w:rPr>
        <w:t>28</w:t>
      </w:r>
    </w:p>
    <w:p>
      <w:pPr>
        <w:pStyle w:val="ListParagraph"/>
        <w:numPr>
          <w:ilvl w:val="0"/>
          <w:numId w:val="4"/>
        </w:numPr>
        <w:tabs>
          <w:tab w:pos="1324" w:val="left" w:leader="none"/>
        </w:tabs>
        <w:spacing w:line="285" w:lineRule="auto" w:before="118" w:after="0"/>
        <w:ind w:left="871" w:right="868" w:firstLine="0"/>
        <w:jc w:val="both"/>
        <w:rPr>
          <w:sz w:val="19"/>
        </w:rPr>
      </w:pPr>
      <w:r>
        <w:rPr>
          <w:color w:val="231F20"/>
          <w:sz w:val="19"/>
        </w:rPr>
        <w:t>In</w:t>
      </w:r>
      <w:r>
        <w:rPr>
          <w:color w:val="231F20"/>
          <w:spacing w:val="-2"/>
          <w:sz w:val="19"/>
        </w:rPr>
        <w:t> </w:t>
      </w:r>
      <w:r>
        <w:rPr>
          <w:color w:val="231F20"/>
          <w:sz w:val="19"/>
        </w:rPr>
        <w:t>the</w:t>
      </w:r>
      <w:r>
        <w:rPr>
          <w:color w:val="231F20"/>
          <w:spacing w:val="-2"/>
          <w:sz w:val="19"/>
        </w:rPr>
        <w:t> </w:t>
      </w:r>
      <w:r>
        <w:rPr>
          <w:color w:val="231F20"/>
          <w:sz w:val="19"/>
        </w:rPr>
        <w:t>private</w:t>
      </w:r>
      <w:r>
        <w:rPr>
          <w:color w:val="231F20"/>
          <w:spacing w:val="-2"/>
          <w:sz w:val="19"/>
        </w:rPr>
        <w:t> </w:t>
      </w:r>
      <w:r>
        <w:rPr>
          <w:color w:val="231F20"/>
          <w:sz w:val="19"/>
        </w:rPr>
        <w:t>laws</w:t>
      </w:r>
      <w:r>
        <w:rPr>
          <w:color w:val="231F20"/>
          <w:spacing w:val="-2"/>
          <w:sz w:val="19"/>
        </w:rPr>
        <w:t> </w:t>
      </w:r>
      <w:r>
        <w:rPr>
          <w:color w:val="231F20"/>
          <w:sz w:val="19"/>
        </w:rPr>
        <w:t>of</w:t>
      </w:r>
      <w:r>
        <w:rPr>
          <w:color w:val="231F20"/>
          <w:spacing w:val="-2"/>
          <w:sz w:val="19"/>
        </w:rPr>
        <w:t> </w:t>
      </w:r>
      <w:r>
        <w:rPr>
          <w:color w:val="231F20"/>
          <w:sz w:val="19"/>
        </w:rPr>
        <w:t>many</w:t>
      </w:r>
      <w:r>
        <w:rPr>
          <w:color w:val="231F20"/>
          <w:spacing w:val="-1"/>
          <w:sz w:val="19"/>
        </w:rPr>
        <w:t> </w:t>
      </w:r>
      <w:r>
        <w:rPr>
          <w:color w:val="231F20"/>
          <w:sz w:val="19"/>
        </w:rPr>
        <w:t>Member</w:t>
      </w:r>
      <w:r>
        <w:rPr>
          <w:color w:val="231F20"/>
          <w:spacing w:val="-2"/>
          <w:sz w:val="19"/>
        </w:rPr>
        <w:t> </w:t>
      </w:r>
      <w:r>
        <w:rPr>
          <w:color w:val="231F20"/>
          <w:sz w:val="19"/>
        </w:rPr>
        <w:t>States,</w:t>
      </w:r>
      <w:r>
        <w:rPr>
          <w:color w:val="231F20"/>
          <w:spacing w:val="-2"/>
          <w:sz w:val="19"/>
        </w:rPr>
        <w:t> </w:t>
      </w:r>
      <w:r>
        <w:rPr>
          <w:color w:val="231F20"/>
          <w:sz w:val="19"/>
        </w:rPr>
        <w:t>this</w:t>
      </w:r>
      <w:r>
        <w:rPr>
          <w:color w:val="231F20"/>
          <w:spacing w:val="-2"/>
          <w:sz w:val="19"/>
        </w:rPr>
        <w:t> </w:t>
      </w:r>
      <w:r>
        <w:rPr>
          <w:color w:val="231F20"/>
          <w:sz w:val="19"/>
        </w:rPr>
        <w:t>outcome</w:t>
      </w:r>
      <w:r>
        <w:rPr>
          <w:color w:val="231F20"/>
          <w:spacing w:val="-1"/>
          <w:sz w:val="19"/>
        </w:rPr>
        <w:t> </w:t>
      </w:r>
      <w:r>
        <w:rPr>
          <w:color w:val="231F20"/>
          <w:sz w:val="19"/>
        </w:rPr>
        <w:t>would</w:t>
      </w:r>
      <w:r>
        <w:rPr>
          <w:color w:val="231F20"/>
          <w:spacing w:val="-2"/>
          <w:sz w:val="19"/>
        </w:rPr>
        <w:t> </w:t>
      </w:r>
      <w:r>
        <w:rPr>
          <w:color w:val="231F20"/>
          <w:sz w:val="19"/>
        </w:rPr>
        <w:t>not happen according to the regulation of absolute invalidity. Therefore, equating the </w:t>
      </w:r>
      <w:r>
        <w:rPr>
          <w:rFonts w:ascii="Arial" w:hAnsi="Arial"/>
          <w:color w:val="231F20"/>
          <w:sz w:val="19"/>
        </w:rPr>
        <w:t>‘</w:t>
      </w:r>
      <w:r>
        <w:rPr>
          <w:color w:val="231F20"/>
          <w:sz w:val="19"/>
        </w:rPr>
        <w:t>non- binding</w:t>
      </w:r>
      <w:r>
        <w:rPr>
          <w:rFonts w:ascii="Arial" w:hAnsi="Arial"/>
          <w:color w:val="231F20"/>
          <w:sz w:val="19"/>
        </w:rPr>
        <w:t>’</w:t>
      </w:r>
      <w:r>
        <w:rPr>
          <w:rFonts w:ascii="Arial" w:hAnsi="Arial"/>
          <w:color w:val="231F20"/>
          <w:spacing w:val="-14"/>
          <w:sz w:val="19"/>
        </w:rPr>
        <w:t> </w:t>
      </w:r>
      <w:r>
        <w:rPr>
          <w:color w:val="231F20"/>
          <w:sz w:val="19"/>
        </w:rPr>
        <w:t>nature</w:t>
      </w:r>
      <w:r>
        <w:rPr>
          <w:color w:val="231F20"/>
          <w:spacing w:val="-10"/>
          <w:sz w:val="19"/>
        </w:rPr>
        <w:t> </w:t>
      </w:r>
      <w:r>
        <w:rPr>
          <w:color w:val="231F20"/>
          <w:sz w:val="19"/>
        </w:rPr>
        <w:t>of</w:t>
      </w:r>
      <w:r>
        <w:rPr>
          <w:color w:val="231F20"/>
          <w:spacing w:val="-9"/>
          <w:sz w:val="19"/>
        </w:rPr>
        <w:t> </w:t>
      </w:r>
      <w:r>
        <w:rPr>
          <w:color w:val="231F20"/>
          <w:sz w:val="19"/>
        </w:rPr>
        <w:t>an</w:t>
      </w:r>
      <w:r>
        <w:rPr>
          <w:color w:val="231F20"/>
          <w:spacing w:val="-9"/>
          <w:sz w:val="19"/>
        </w:rPr>
        <w:t> </w:t>
      </w:r>
      <w:r>
        <w:rPr>
          <w:color w:val="231F20"/>
          <w:sz w:val="19"/>
        </w:rPr>
        <w:t>unfair</w:t>
      </w:r>
      <w:r>
        <w:rPr>
          <w:color w:val="231F20"/>
          <w:spacing w:val="-9"/>
          <w:sz w:val="19"/>
        </w:rPr>
        <w:t> </w:t>
      </w:r>
      <w:r>
        <w:rPr>
          <w:color w:val="231F20"/>
          <w:sz w:val="19"/>
        </w:rPr>
        <w:t>term</w:t>
      </w:r>
      <w:r>
        <w:rPr>
          <w:color w:val="231F20"/>
          <w:spacing w:val="-9"/>
          <w:sz w:val="19"/>
        </w:rPr>
        <w:t> </w:t>
      </w:r>
      <w:r>
        <w:rPr>
          <w:color w:val="231F20"/>
          <w:sz w:val="19"/>
        </w:rPr>
        <w:t>under</w:t>
      </w:r>
      <w:r>
        <w:rPr>
          <w:color w:val="231F20"/>
          <w:spacing w:val="-9"/>
          <w:sz w:val="19"/>
        </w:rPr>
        <w:t> </w:t>
      </w:r>
      <w:r>
        <w:rPr>
          <w:color w:val="231F20"/>
          <w:sz w:val="19"/>
        </w:rPr>
        <w:t>Article</w:t>
      </w:r>
      <w:r>
        <w:rPr>
          <w:color w:val="231F20"/>
          <w:spacing w:val="-9"/>
          <w:sz w:val="19"/>
        </w:rPr>
        <w:t> </w:t>
      </w:r>
      <w:r>
        <w:rPr>
          <w:color w:val="231F20"/>
          <w:sz w:val="19"/>
        </w:rPr>
        <w:t>6(1)</w:t>
      </w:r>
      <w:r>
        <w:rPr>
          <w:color w:val="231F20"/>
          <w:spacing w:val="-9"/>
          <w:sz w:val="19"/>
        </w:rPr>
        <w:t> </w:t>
      </w:r>
      <w:r>
        <w:rPr>
          <w:color w:val="231F20"/>
          <w:sz w:val="19"/>
        </w:rPr>
        <w:t>UCTD</w:t>
      </w:r>
      <w:r>
        <w:rPr>
          <w:color w:val="231F20"/>
          <w:spacing w:val="-9"/>
          <w:sz w:val="19"/>
        </w:rPr>
        <w:t> </w:t>
      </w:r>
      <w:r>
        <w:rPr>
          <w:color w:val="231F20"/>
          <w:sz w:val="19"/>
        </w:rPr>
        <w:t>with</w:t>
      </w:r>
      <w:r>
        <w:rPr>
          <w:color w:val="231F20"/>
          <w:spacing w:val="-9"/>
          <w:sz w:val="19"/>
        </w:rPr>
        <w:t> </w:t>
      </w:r>
      <w:r>
        <w:rPr>
          <w:color w:val="231F20"/>
          <w:sz w:val="19"/>
        </w:rPr>
        <w:t>absolute</w:t>
      </w:r>
      <w:r>
        <w:rPr>
          <w:color w:val="231F20"/>
          <w:spacing w:val="-9"/>
          <w:sz w:val="19"/>
        </w:rPr>
        <w:t> </w:t>
      </w:r>
      <w:r>
        <w:rPr>
          <w:color w:val="231F20"/>
          <w:sz w:val="19"/>
        </w:rPr>
        <w:t>invalidity in national law is inappropriate.</w:t>
      </w:r>
    </w:p>
    <w:p>
      <w:pPr>
        <w:pStyle w:val="ListParagraph"/>
        <w:numPr>
          <w:ilvl w:val="0"/>
          <w:numId w:val="4"/>
        </w:numPr>
        <w:tabs>
          <w:tab w:pos="1324" w:val="left" w:leader="none"/>
        </w:tabs>
        <w:spacing w:line="288" w:lineRule="auto" w:before="120" w:after="0"/>
        <w:ind w:left="871" w:right="867" w:firstLine="0"/>
        <w:jc w:val="both"/>
        <w:rPr>
          <w:sz w:val="19"/>
        </w:rPr>
      </w:pPr>
      <w:r>
        <w:rPr>
          <w:color w:val="231F20"/>
          <w:sz w:val="19"/>
        </w:rPr>
        <w:t>Article 6(1) UCTD is a special mandatory provision. As the ECJ declared in Case C-269/19, </w:t>
      </w:r>
      <w:r>
        <w:rPr>
          <w:i/>
          <w:color w:val="231F20"/>
          <w:sz w:val="19"/>
        </w:rPr>
        <w:t>Banca B.</w:t>
      </w:r>
      <w:r>
        <w:rPr>
          <w:color w:val="231F20"/>
          <w:sz w:val="19"/>
        </w:rPr>
        <w:t>, when restating previous judgments, it pursues </w:t>
      </w:r>
      <w:r>
        <w:rPr>
          <w:color w:val="231F20"/>
          <w:sz w:val="19"/>
        </w:rPr>
        <w:t>two objectives. The first is to restore equality between the parties by addressing the unfair</w:t>
      </w:r>
      <w:r>
        <w:rPr>
          <w:color w:val="231F20"/>
          <w:spacing w:val="63"/>
          <w:sz w:val="19"/>
        </w:rPr>
        <w:t> </w:t>
      </w:r>
      <w:r>
        <w:rPr>
          <w:color w:val="231F20"/>
          <w:sz w:val="19"/>
        </w:rPr>
        <w:t>term.</w:t>
      </w:r>
      <w:r>
        <w:rPr>
          <w:color w:val="231F20"/>
          <w:spacing w:val="64"/>
          <w:sz w:val="19"/>
        </w:rPr>
        <w:t> </w:t>
      </w:r>
      <w:r>
        <w:rPr>
          <w:color w:val="231F20"/>
          <w:sz w:val="19"/>
        </w:rPr>
        <w:t>The</w:t>
      </w:r>
      <w:r>
        <w:rPr>
          <w:color w:val="231F20"/>
          <w:spacing w:val="63"/>
          <w:sz w:val="19"/>
        </w:rPr>
        <w:t> </w:t>
      </w:r>
      <w:r>
        <w:rPr>
          <w:color w:val="231F20"/>
          <w:sz w:val="19"/>
        </w:rPr>
        <w:t>second</w:t>
      </w:r>
      <w:r>
        <w:rPr>
          <w:color w:val="231F20"/>
          <w:spacing w:val="64"/>
          <w:sz w:val="19"/>
        </w:rPr>
        <w:t> </w:t>
      </w:r>
      <w:r>
        <w:rPr>
          <w:color w:val="231F20"/>
          <w:sz w:val="19"/>
        </w:rPr>
        <w:t>is</w:t>
      </w:r>
      <w:r>
        <w:rPr>
          <w:color w:val="231F20"/>
          <w:spacing w:val="64"/>
          <w:sz w:val="19"/>
        </w:rPr>
        <w:t> </w:t>
      </w:r>
      <w:r>
        <w:rPr>
          <w:color w:val="231F20"/>
          <w:sz w:val="19"/>
        </w:rPr>
        <w:t>to</w:t>
      </w:r>
      <w:r>
        <w:rPr>
          <w:color w:val="231F20"/>
          <w:spacing w:val="63"/>
          <w:sz w:val="19"/>
        </w:rPr>
        <w:t> </w:t>
      </w:r>
      <w:r>
        <w:rPr>
          <w:color w:val="231F20"/>
          <w:sz w:val="19"/>
        </w:rPr>
        <w:t>deter</w:t>
      </w:r>
      <w:r>
        <w:rPr>
          <w:color w:val="231F20"/>
          <w:spacing w:val="64"/>
          <w:sz w:val="19"/>
        </w:rPr>
        <w:t> </w:t>
      </w:r>
      <w:r>
        <w:rPr>
          <w:color w:val="231F20"/>
          <w:sz w:val="19"/>
        </w:rPr>
        <w:t>businesses</w:t>
      </w:r>
      <w:r>
        <w:rPr>
          <w:color w:val="231F20"/>
          <w:spacing w:val="63"/>
          <w:sz w:val="19"/>
        </w:rPr>
        <w:t> </w:t>
      </w:r>
      <w:r>
        <w:rPr>
          <w:color w:val="231F20"/>
          <w:sz w:val="19"/>
        </w:rPr>
        <w:t>from</w:t>
      </w:r>
      <w:r>
        <w:rPr>
          <w:color w:val="231F20"/>
          <w:spacing w:val="64"/>
          <w:sz w:val="19"/>
        </w:rPr>
        <w:t> </w:t>
      </w:r>
      <w:r>
        <w:rPr>
          <w:color w:val="231F20"/>
          <w:sz w:val="19"/>
        </w:rPr>
        <w:t>using</w:t>
      </w:r>
      <w:r>
        <w:rPr>
          <w:color w:val="231F20"/>
          <w:spacing w:val="64"/>
          <w:sz w:val="19"/>
        </w:rPr>
        <w:t> </w:t>
      </w:r>
      <w:r>
        <w:rPr>
          <w:color w:val="231F20"/>
          <w:sz w:val="19"/>
        </w:rPr>
        <w:t>unfair</w:t>
      </w:r>
      <w:r>
        <w:rPr>
          <w:color w:val="231F20"/>
          <w:spacing w:val="63"/>
          <w:sz w:val="19"/>
        </w:rPr>
        <w:t> </w:t>
      </w:r>
      <w:r>
        <w:rPr>
          <w:color w:val="231F20"/>
          <w:spacing w:val="-2"/>
          <w:sz w:val="19"/>
        </w:rPr>
        <w:t>terms.</w:t>
      </w:r>
      <w:r>
        <w:rPr>
          <w:color w:val="231F20"/>
          <w:spacing w:val="-2"/>
          <w:sz w:val="19"/>
          <w:vertAlign w:val="superscript"/>
        </w:rPr>
        <w:t>29</w:t>
      </w:r>
    </w:p>
    <w:p>
      <w:pPr>
        <w:pStyle w:val="BodyText"/>
        <w:spacing w:before="172"/>
        <w:rPr>
          <w:sz w:val="20"/>
        </w:rPr>
      </w:pPr>
      <w:r>
        <w:rPr/>
        <mc:AlternateContent>
          <mc:Choice Requires="wps">
            <w:drawing>
              <wp:anchor distT="0" distB="0" distL="0" distR="0" allowOverlap="1" layoutInCell="1" locked="0" behindDoc="1" simplePos="0" relativeHeight="487591424">
                <wp:simplePos x="0" y="0"/>
                <wp:positionH relativeFrom="page">
                  <wp:posOffset>1979993</wp:posOffset>
                </wp:positionH>
                <wp:positionV relativeFrom="paragraph">
                  <wp:posOffset>268841</wp:posOffset>
                </wp:positionV>
                <wp:extent cx="1656080" cy="4445"/>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1.168617pt;width:130.394pt;height:.34015pt;mso-position-horizontal-relative:page;mso-position-vertical-relative:paragraph;z-index:-15725056;mso-wrap-distance-left:0;mso-wrap-distance-right:0" id="docshape10"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M.</w:t>
      </w:r>
      <w:r>
        <w:rPr>
          <w:color w:val="231F20"/>
          <w:spacing w:val="-4"/>
          <w:sz w:val="16"/>
        </w:rPr>
        <w:t> </w:t>
      </w:r>
      <w:r>
        <w:rPr>
          <w:color w:val="231F20"/>
          <w:sz w:val="16"/>
        </w:rPr>
        <w:t>E</w:t>
      </w:r>
      <w:r>
        <w:rPr>
          <w:color w:val="231F20"/>
          <w:sz w:val="11"/>
        </w:rPr>
        <w:t>BERS</w:t>
      </w:r>
      <w:r>
        <w:rPr>
          <w:color w:val="231F20"/>
          <w:sz w:val="16"/>
        </w:rPr>
        <w:t>,</w:t>
      </w:r>
      <w:r>
        <w:rPr>
          <w:color w:val="231F20"/>
          <w:spacing w:val="-4"/>
          <w:sz w:val="16"/>
        </w:rPr>
        <w:t> </w:t>
      </w:r>
      <w:r>
        <w:rPr>
          <w:color w:val="231F20"/>
          <w:sz w:val="16"/>
        </w:rPr>
        <w:t>in</w:t>
      </w:r>
      <w:r>
        <w:rPr>
          <w:color w:val="231F20"/>
          <w:spacing w:val="-4"/>
          <w:sz w:val="16"/>
        </w:rPr>
        <w:t> </w:t>
      </w:r>
      <w:r>
        <w:rPr>
          <w:i/>
          <w:color w:val="231F20"/>
          <w:sz w:val="16"/>
        </w:rPr>
        <w:t>EC</w:t>
      </w:r>
      <w:r>
        <w:rPr>
          <w:i/>
          <w:color w:val="231F20"/>
          <w:spacing w:val="-3"/>
          <w:sz w:val="16"/>
        </w:rPr>
        <w:t> </w:t>
      </w:r>
      <w:r>
        <w:rPr>
          <w:i/>
          <w:color w:val="231F20"/>
          <w:sz w:val="16"/>
        </w:rPr>
        <w:t>Consumer</w:t>
      </w:r>
      <w:r>
        <w:rPr>
          <w:i/>
          <w:color w:val="231F20"/>
          <w:spacing w:val="-3"/>
          <w:sz w:val="16"/>
        </w:rPr>
        <w:t> </w:t>
      </w:r>
      <w:r>
        <w:rPr>
          <w:i/>
          <w:color w:val="231F20"/>
          <w:sz w:val="16"/>
        </w:rPr>
        <w:t>Law</w:t>
      </w:r>
      <w:r>
        <w:rPr>
          <w:i/>
          <w:color w:val="231F20"/>
          <w:spacing w:val="-3"/>
          <w:sz w:val="16"/>
        </w:rPr>
        <w:t> </w:t>
      </w:r>
      <w:r>
        <w:rPr>
          <w:i/>
          <w:color w:val="231F20"/>
          <w:sz w:val="16"/>
        </w:rPr>
        <w:t>Compendium</w:t>
      </w:r>
      <w:r>
        <w:rPr>
          <w:color w:val="231F20"/>
          <w:sz w:val="16"/>
        </w:rPr>
        <w:t>,</w:t>
      </w:r>
      <w:r>
        <w:rPr>
          <w:color w:val="231F20"/>
          <w:spacing w:val="-4"/>
          <w:sz w:val="16"/>
        </w:rPr>
        <w:t> </w:t>
      </w:r>
      <w:r>
        <w:rPr>
          <w:color w:val="231F20"/>
          <w:sz w:val="16"/>
        </w:rPr>
        <w:t>p</w:t>
      </w:r>
      <w:r>
        <w:rPr>
          <w:color w:val="231F20"/>
          <w:spacing w:val="-3"/>
          <w:sz w:val="16"/>
        </w:rPr>
        <w:t> </w:t>
      </w:r>
      <w:r>
        <w:rPr>
          <w:color w:val="231F20"/>
          <w:spacing w:val="-4"/>
          <w:sz w:val="16"/>
        </w:rPr>
        <w:t>241.</w:t>
      </w:r>
    </w:p>
    <w:p>
      <w:pPr>
        <w:pStyle w:val="ListParagraph"/>
        <w:numPr>
          <w:ilvl w:val="0"/>
          <w:numId w:val="3"/>
        </w:numPr>
        <w:tabs>
          <w:tab w:pos="865" w:val="left" w:leader="none"/>
        </w:tabs>
        <w:spacing w:line="240" w:lineRule="auto" w:before="37" w:after="0"/>
        <w:ind w:left="865" w:right="0" w:hanging="353"/>
        <w:jc w:val="left"/>
        <w:rPr>
          <w:i/>
          <w:sz w:val="16"/>
        </w:rPr>
      </w:pPr>
      <w:r>
        <w:rPr>
          <w:color w:val="231F20"/>
          <w:sz w:val="16"/>
        </w:rPr>
        <w:t>See</w:t>
      </w:r>
      <w:r>
        <w:rPr>
          <w:color w:val="231F20"/>
          <w:spacing w:val="9"/>
          <w:sz w:val="16"/>
        </w:rPr>
        <w:t> </w:t>
      </w:r>
      <w:r>
        <w:rPr>
          <w:color w:val="231F20"/>
          <w:sz w:val="16"/>
        </w:rPr>
        <w:t>H.</w:t>
      </w:r>
      <w:r>
        <w:rPr>
          <w:color w:val="231F20"/>
          <w:spacing w:val="11"/>
          <w:sz w:val="16"/>
        </w:rPr>
        <w:t> </w:t>
      </w:r>
      <w:r>
        <w:rPr>
          <w:color w:val="231F20"/>
          <w:sz w:val="16"/>
        </w:rPr>
        <w:t>B</w:t>
      </w:r>
      <w:r>
        <w:rPr>
          <w:color w:val="231F20"/>
          <w:sz w:val="11"/>
        </w:rPr>
        <w:t>EALE</w:t>
      </w:r>
      <w:r>
        <w:rPr>
          <w:color w:val="231F20"/>
          <w:sz w:val="16"/>
        </w:rPr>
        <w:t>,</w:t>
      </w:r>
      <w:r>
        <w:rPr>
          <w:color w:val="231F20"/>
          <w:spacing w:val="11"/>
          <w:sz w:val="16"/>
        </w:rPr>
        <w:t> </w:t>
      </w:r>
      <w:r>
        <w:rPr>
          <w:color w:val="231F20"/>
          <w:sz w:val="16"/>
        </w:rPr>
        <w:t>B.</w:t>
      </w:r>
      <w:r>
        <w:rPr>
          <w:color w:val="231F20"/>
          <w:spacing w:val="10"/>
          <w:sz w:val="16"/>
        </w:rPr>
        <w:t> </w:t>
      </w:r>
      <w:r>
        <w:rPr>
          <w:color w:val="231F20"/>
          <w:sz w:val="16"/>
        </w:rPr>
        <w:t>F</w:t>
      </w:r>
      <w:r>
        <w:rPr>
          <w:color w:val="231F20"/>
          <w:sz w:val="11"/>
        </w:rPr>
        <w:t>AUVARQUE</w:t>
      </w:r>
      <w:r>
        <w:rPr>
          <w:color w:val="231F20"/>
          <w:sz w:val="16"/>
        </w:rPr>
        <w:t>-C</w:t>
      </w:r>
      <w:r>
        <w:rPr>
          <w:color w:val="231F20"/>
          <w:sz w:val="11"/>
        </w:rPr>
        <w:t>OSSON</w:t>
      </w:r>
      <w:r>
        <w:rPr>
          <w:color w:val="231F20"/>
          <w:sz w:val="16"/>
        </w:rPr>
        <w:t>,</w:t>
      </w:r>
      <w:r>
        <w:rPr>
          <w:color w:val="231F20"/>
          <w:spacing w:val="10"/>
          <w:sz w:val="16"/>
        </w:rPr>
        <w:t> </w:t>
      </w:r>
      <w:r>
        <w:rPr>
          <w:color w:val="231F20"/>
          <w:sz w:val="16"/>
        </w:rPr>
        <w:t>J.</w:t>
      </w:r>
      <w:r>
        <w:rPr>
          <w:color w:val="231F20"/>
          <w:spacing w:val="10"/>
          <w:sz w:val="16"/>
        </w:rPr>
        <w:t> </w:t>
      </w:r>
      <w:r>
        <w:rPr>
          <w:color w:val="231F20"/>
          <w:sz w:val="16"/>
        </w:rPr>
        <w:t>R</w:t>
      </w:r>
      <w:r>
        <w:rPr>
          <w:color w:val="231F20"/>
          <w:sz w:val="11"/>
        </w:rPr>
        <w:t>UTGERS</w:t>
      </w:r>
      <w:r>
        <w:rPr>
          <w:color w:val="231F20"/>
          <w:sz w:val="16"/>
        </w:rPr>
        <w:t>,</w:t>
      </w:r>
      <w:r>
        <w:rPr>
          <w:color w:val="231F20"/>
          <w:spacing w:val="10"/>
          <w:sz w:val="16"/>
        </w:rPr>
        <w:t> </w:t>
      </w:r>
      <w:r>
        <w:rPr>
          <w:color w:val="231F20"/>
          <w:sz w:val="16"/>
        </w:rPr>
        <w:t>D.</w:t>
      </w:r>
      <w:r>
        <w:rPr>
          <w:color w:val="231F20"/>
          <w:spacing w:val="10"/>
          <w:sz w:val="16"/>
        </w:rPr>
        <w:t> </w:t>
      </w:r>
      <w:r>
        <w:rPr>
          <w:color w:val="231F20"/>
          <w:sz w:val="16"/>
        </w:rPr>
        <w:t>T</w:t>
      </w:r>
      <w:r>
        <w:rPr>
          <w:color w:val="231F20"/>
          <w:sz w:val="11"/>
        </w:rPr>
        <w:t>ALLON</w:t>
      </w:r>
      <w:r>
        <w:rPr>
          <w:color w:val="231F20"/>
          <w:spacing w:val="22"/>
          <w:sz w:val="11"/>
        </w:rPr>
        <w:t> </w:t>
      </w:r>
      <w:r>
        <w:rPr>
          <w:color w:val="231F20"/>
          <w:sz w:val="16"/>
        </w:rPr>
        <w:t>&amp;</w:t>
      </w:r>
      <w:r>
        <w:rPr>
          <w:color w:val="231F20"/>
          <w:spacing w:val="10"/>
          <w:sz w:val="16"/>
        </w:rPr>
        <w:t> </w:t>
      </w:r>
      <w:r>
        <w:rPr>
          <w:color w:val="231F20"/>
          <w:sz w:val="16"/>
        </w:rPr>
        <w:t>S.</w:t>
      </w:r>
      <w:r>
        <w:rPr>
          <w:color w:val="231F20"/>
          <w:spacing w:val="10"/>
          <w:sz w:val="16"/>
        </w:rPr>
        <w:t> </w:t>
      </w:r>
      <w:r>
        <w:rPr>
          <w:color w:val="231F20"/>
          <w:sz w:val="16"/>
        </w:rPr>
        <w:t>V</w:t>
      </w:r>
      <w:r>
        <w:rPr>
          <w:color w:val="231F20"/>
          <w:sz w:val="11"/>
        </w:rPr>
        <w:t>OGENAUER</w:t>
      </w:r>
      <w:r>
        <w:rPr>
          <w:color w:val="231F20"/>
          <w:sz w:val="16"/>
        </w:rPr>
        <w:t>,</w:t>
      </w:r>
      <w:r>
        <w:rPr>
          <w:color w:val="231F20"/>
          <w:spacing w:val="11"/>
          <w:sz w:val="16"/>
        </w:rPr>
        <w:t> </w:t>
      </w:r>
      <w:r>
        <w:rPr>
          <w:color w:val="231F20"/>
          <w:sz w:val="16"/>
        </w:rPr>
        <w:t>Cases,</w:t>
      </w:r>
      <w:r>
        <w:rPr>
          <w:color w:val="231F20"/>
          <w:spacing w:val="11"/>
          <w:sz w:val="16"/>
        </w:rPr>
        <w:t> </w:t>
      </w:r>
      <w:r>
        <w:rPr>
          <w:i/>
          <w:color w:val="231F20"/>
          <w:sz w:val="16"/>
        </w:rPr>
        <w:t>Materials</w:t>
      </w:r>
      <w:r>
        <w:rPr>
          <w:i/>
          <w:color w:val="231F20"/>
          <w:spacing w:val="10"/>
          <w:sz w:val="16"/>
        </w:rPr>
        <w:t> </w:t>
      </w:r>
      <w:r>
        <w:rPr>
          <w:i/>
          <w:color w:val="231F20"/>
          <w:spacing w:val="-5"/>
          <w:sz w:val="16"/>
        </w:rPr>
        <w:t>and</w:t>
      </w:r>
    </w:p>
    <w:p>
      <w:pPr>
        <w:spacing w:before="35"/>
        <w:ind w:left="866" w:right="0" w:firstLine="0"/>
        <w:jc w:val="left"/>
        <w:rPr>
          <w:sz w:val="16"/>
        </w:rPr>
      </w:pPr>
      <w:r>
        <w:rPr>
          <w:i/>
          <w:color w:val="231F20"/>
          <w:sz w:val="16"/>
        </w:rPr>
        <w:t>Text on</w:t>
      </w:r>
      <w:r>
        <w:rPr>
          <w:i/>
          <w:color w:val="231F20"/>
          <w:spacing w:val="-2"/>
          <w:sz w:val="16"/>
        </w:rPr>
        <w:t> </w:t>
      </w:r>
      <w:r>
        <w:rPr>
          <w:i/>
          <w:color w:val="231F20"/>
          <w:sz w:val="16"/>
        </w:rPr>
        <w:t>Contract Law</w:t>
      </w:r>
      <w:r>
        <w:rPr>
          <w:i/>
          <w:color w:val="231F20"/>
          <w:spacing w:val="-2"/>
          <w:sz w:val="16"/>
        </w:rPr>
        <w:t> </w:t>
      </w:r>
      <w:r>
        <w:rPr>
          <w:color w:val="231F20"/>
          <w:sz w:val="16"/>
        </w:rPr>
        <w:t>(Oxford:</w:t>
      </w:r>
      <w:r>
        <w:rPr>
          <w:color w:val="231F20"/>
          <w:spacing w:val="-2"/>
          <w:sz w:val="16"/>
        </w:rPr>
        <w:t> </w:t>
      </w:r>
      <w:r>
        <w:rPr>
          <w:color w:val="231F20"/>
          <w:sz w:val="16"/>
        </w:rPr>
        <w:t>Hart</w:t>
      </w:r>
      <w:r>
        <w:rPr>
          <w:color w:val="231F20"/>
          <w:spacing w:val="-1"/>
          <w:sz w:val="16"/>
        </w:rPr>
        <w:t> </w:t>
      </w:r>
      <w:r>
        <w:rPr>
          <w:color w:val="231F20"/>
          <w:sz w:val="16"/>
        </w:rPr>
        <w:t>2019),</w:t>
      </w:r>
      <w:r>
        <w:rPr>
          <w:color w:val="231F20"/>
          <w:spacing w:val="-2"/>
          <w:sz w:val="16"/>
        </w:rPr>
        <w:t> </w:t>
      </w:r>
      <w:r>
        <w:rPr>
          <w:color w:val="231F20"/>
          <w:sz w:val="16"/>
        </w:rPr>
        <w:t>pp 487</w:t>
      </w:r>
      <w:r>
        <w:rPr>
          <w:rFonts w:ascii="Arial" w:hAnsi="Arial"/>
          <w:color w:val="231F20"/>
          <w:sz w:val="16"/>
        </w:rPr>
        <w:t>–</w:t>
      </w:r>
      <w:r>
        <w:rPr>
          <w:color w:val="231F20"/>
          <w:sz w:val="16"/>
        </w:rPr>
        <w:t>489</w:t>
      </w:r>
      <w:r>
        <w:rPr>
          <w:color w:val="231F20"/>
          <w:spacing w:val="-2"/>
          <w:sz w:val="16"/>
        </w:rPr>
        <w:t> </w:t>
      </w:r>
      <w:r>
        <w:rPr>
          <w:color w:val="231F20"/>
          <w:sz w:val="16"/>
        </w:rPr>
        <w:t>&amp; </w:t>
      </w:r>
      <w:r>
        <w:rPr>
          <w:color w:val="231F20"/>
          <w:spacing w:val="-2"/>
          <w:sz w:val="16"/>
        </w:rPr>
        <w:t>498</w:t>
      </w:r>
      <w:r>
        <w:rPr>
          <w:rFonts w:ascii="Arial" w:hAnsi="Arial"/>
          <w:color w:val="231F20"/>
          <w:spacing w:val="-2"/>
          <w:sz w:val="16"/>
        </w:rPr>
        <w:t>–</w:t>
      </w:r>
      <w:r>
        <w:rPr>
          <w:color w:val="231F20"/>
          <w:spacing w:val="-2"/>
          <w:sz w:val="16"/>
        </w:rPr>
        <w:t>501.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M.</w:t>
      </w:r>
      <w:r>
        <w:rPr>
          <w:color w:val="231F20"/>
          <w:spacing w:val="-4"/>
          <w:sz w:val="16"/>
        </w:rPr>
        <w:t> </w:t>
      </w:r>
      <w:r>
        <w:rPr>
          <w:color w:val="231F20"/>
          <w:sz w:val="16"/>
        </w:rPr>
        <w:t>E</w:t>
      </w:r>
      <w:r>
        <w:rPr>
          <w:color w:val="231F20"/>
          <w:sz w:val="11"/>
        </w:rPr>
        <w:t>BERS</w:t>
      </w:r>
      <w:r>
        <w:rPr>
          <w:color w:val="231F20"/>
          <w:sz w:val="16"/>
        </w:rPr>
        <w:t>,</w:t>
      </w:r>
      <w:r>
        <w:rPr>
          <w:color w:val="231F20"/>
          <w:spacing w:val="-4"/>
          <w:sz w:val="16"/>
        </w:rPr>
        <w:t> </w:t>
      </w:r>
      <w:r>
        <w:rPr>
          <w:color w:val="231F20"/>
          <w:sz w:val="16"/>
        </w:rPr>
        <w:t>in</w:t>
      </w:r>
      <w:r>
        <w:rPr>
          <w:color w:val="231F20"/>
          <w:spacing w:val="-4"/>
          <w:sz w:val="16"/>
        </w:rPr>
        <w:t> </w:t>
      </w:r>
      <w:r>
        <w:rPr>
          <w:i/>
          <w:color w:val="231F20"/>
          <w:sz w:val="16"/>
        </w:rPr>
        <w:t>EC</w:t>
      </w:r>
      <w:r>
        <w:rPr>
          <w:i/>
          <w:color w:val="231F20"/>
          <w:spacing w:val="-3"/>
          <w:sz w:val="16"/>
        </w:rPr>
        <w:t> </w:t>
      </w:r>
      <w:r>
        <w:rPr>
          <w:i/>
          <w:color w:val="231F20"/>
          <w:sz w:val="16"/>
        </w:rPr>
        <w:t>Consumer</w:t>
      </w:r>
      <w:r>
        <w:rPr>
          <w:i/>
          <w:color w:val="231F20"/>
          <w:spacing w:val="-3"/>
          <w:sz w:val="16"/>
        </w:rPr>
        <w:t> </w:t>
      </w:r>
      <w:r>
        <w:rPr>
          <w:i/>
          <w:color w:val="231F20"/>
          <w:sz w:val="16"/>
        </w:rPr>
        <w:t>Law</w:t>
      </w:r>
      <w:r>
        <w:rPr>
          <w:i/>
          <w:color w:val="231F20"/>
          <w:spacing w:val="-3"/>
          <w:sz w:val="16"/>
        </w:rPr>
        <w:t> </w:t>
      </w:r>
      <w:r>
        <w:rPr>
          <w:i/>
          <w:color w:val="231F20"/>
          <w:sz w:val="16"/>
        </w:rPr>
        <w:t>Compendium</w:t>
      </w:r>
      <w:r>
        <w:rPr>
          <w:color w:val="231F20"/>
          <w:sz w:val="16"/>
        </w:rPr>
        <w:t>,</w:t>
      </w:r>
      <w:r>
        <w:rPr>
          <w:color w:val="231F20"/>
          <w:spacing w:val="-4"/>
          <w:sz w:val="16"/>
        </w:rPr>
        <w:t> </w:t>
      </w:r>
      <w:r>
        <w:rPr>
          <w:color w:val="231F20"/>
          <w:sz w:val="16"/>
        </w:rPr>
        <w:t>p</w:t>
      </w:r>
      <w:r>
        <w:rPr>
          <w:color w:val="231F20"/>
          <w:spacing w:val="-3"/>
          <w:sz w:val="16"/>
        </w:rPr>
        <w:t> </w:t>
      </w:r>
      <w:r>
        <w:rPr>
          <w:color w:val="231F20"/>
          <w:spacing w:val="-4"/>
          <w:sz w:val="16"/>
        </w:rPr>
        <w:t>241.</w:t>
      </w:r>
    </w:p>
    <w:p>
      <w:pPr>
        <w:pStyle w:val="ListParagraph"/>
        <w:numPr>
          <w:ilvl w:val="0"/>
          <w:numId w:val="3"/>
        </w:numPr>
        <w:tabs>
          <w:tab w:pos="866" w:val="left" w:leader="none"/>
        </w:tabs>
        <w:spacing w:line="285" w:lineRule="auto" w:before="37" w:after="0"/>
        <w:ind w:left="866" w:right="868" w:hanging="354"/>
        <w:jc w:val="left"/>
        <w:rPr>
          <w:sz w:val="16"/>
        </w:rPr>
      </w:pPr>
      <w:r>
        <w:rPr>
          <w:color w:val="231F20"/>
          <w:spacing w:val="-2"/>
          <w:sz w:val="16"/>
        </w:rPr>
        <w:t>See</w:t>
      </w:r>
      <w:r>
        <w:rPr>
          <w:color w:val="231F20"/>
          <w:spacing w:val="-8"/>
          <w:sz w:val="16"/>
        </w:rPr>
        <w:t> </w:t>
      </w:r>
      <w:r>
        <w:rPr>
          <w:color w:val="231F20"/>
          <w:spacing w:val="-2"/>
          <w:sz w:val="16"/>
        </w:rPr>
        <w:t>M.</w:t>
      </w:r>
      <w:r>
        <w:rPr>
          <w:color w:val="231F20"/>
          <w:spacing w:val="-8"/>
          <w:sz w:val="16"/>
        </w:rPr>
        <w:t> </w:t>
      </w:r>
      <w:r>
        <w:rPr>
          <w:color w:val="231F20"/>
          <w:spacing w:val="-2"/>
          <w:sz w:val="16"/>
        </w:rPr>
        <w:t>F</w:t>
      </w:r>
      <w:r>
        <w:rPr>
          <w:color w:val="231F20"/>
          <w:spacing w:val="-2"/>
          <w:sz w:val="11"/>
        </w:rPr>
        <w:t>ABRE</w:t>
      </w:r>
      <w:r>
        <w:rPr>
          <w:color w:val="231F20"/>
          <w:spacing w:val="-2"/>
          <w:sz w:val="16"/>
        </w:rPr>
        <w:t>-M</w:t>
      </w:r>
      <w:r>
        <w:rPr>
          <w:color w:val="231F20"/>
          <w:spacing w:val="-2"/>
          <w:sz w:val="11"/>
        </w:rPr>
        <w:t>AGNAN</w:t>
      </w:r>
      <w:r>
        <w:rPr>
          <w:color w:val="231F20"/>
          <w:spacing w:val="-2"/>
          <w:sz w:val="16"/>
        </w:rPr>
        <w:t>,</w:t>
      </w:r>
      <w:r>
        <w:rPr>
          <w:color w:val="231F20"/>
          <w:spacing w:val="-7"/>
          <w:sz w:val="16"/>
        </w:rPr>
        <w:t> </w:t>
      </w:r>
      <w:r>
        <w:rPr>
          <w:i/>
          <w:color w:val="231F20"/>
          <w:spacing w:val="-2"/>
          <w:sz w:val="16"/>
        </w:rPr>
        <w:t>Droit</w:t>
      </w:r>
      <w:r>
        <w:rPr>
          <w:i/>
          <w:color w:val="231F20"/>
          <w:spacing w:val="-8"/>
          <w:sz w:val="16"/>
        </w:rPr>
        <w:t> </w:t>
      </w:r>
      <w:r>
        <w:rPr>
          <w:i/>
          <w:color w:val="231F20"/>
          <w:spacing w:val="-2"/>
          <w:sz w:val="16"/>
        </w:rPr>
        <w:t>des</w:t>
      </w:r>
      <w:r>
        <w:rPr>
          <w:i/>
          <w:color w:val="231F20"/>
          <w:spacing w:val="-8"/>
          <w:sz w:val="16"/>
        </w:rPr>
        <w:t> </w:t>
      </w:r>
      <w:r>
        <w:rPr>
          <w:i/>
          <w:color w:val="231F20"/>
          <w:spacing w:val="-2"/>
          <w:sz w:val="16"/>
        </w:rPr>
        <w:t>obligations.</w:t>
      </w:r>
      <w:r>
        <w:rPr>
          <w:i/>
          <w:color w:val="231F20"/>
          <w:spacing w:val="-7"/>
          <w:sz w:val="16"/>
        </w:rPr>
        <w:t> </w:t>
      </w:r>
      <w:r>
        <w:rPr>
          <w:i/>
          <w:color w:val="231F20"/>
          <w:spacing w:val="-2"/>
          <w:sz w:val="16"/>
        </w:rPr>
        <w:t>1-</w:t>
      </w:r>
      <w:r>
        <w:rPr>
          <w:i/>
          <w:color w:val="231F20"/>
          <w:spacing w:val="-8"/>
          <w:sz w:val="16"/>
        </w:rPr>
        <w:t> </w:t>
      </w:r>
      <w:r>
        <w:rPr>
          <w:i/>
          <w:color w:val="231F20"/>
          <w:spacing w:val="-2"/>
          <w:sz w:val="16"/>
        </w:rPr>
        <w:t>Contrat</w:t>
      </w:r>
      <w:r>
        <w:rPr>
          <w:i/>
          <w:color w:val="231F20"/>
          <w:spacing w:val="-8"/>
          <w:sz w:val="16"/>
        </w:rPr>
        <w:t> </w:t>
      </w:r>
      <w:r>
        <w:rPr>
          <w:i/>
          <w:color w:val="231F20"/>
          <w:spacing w:val="-2"/>
          <w:sz w:val="16"/>
        </w:rPr>
        <w:t>et</w:t>
      </w:r>
      <w:r>
        <w:rPr>
          <w:i/>
          <w:color w:val="231F20"/>
          <w:spacing w:val="-7"/>
          <w:sz w:val="16"/>
        </w:rPr>
        <w:t> </w:t>
      </w:r>
      <w:r>
        <w:rPr>
          <w:i/>
          <w:color w:val="231F20"/>
          <w:spacing w:val="-2"/>
          <w:sz w:val="16"/>
        </w:rPr>
        <w:t>engagement</w:t>
      </w:r>
      <w:r>
        <w:rPr>
          <w:i/>
          <w:color w:val="231F20"/>
          <w:spacing w:val="-8"/>
          <w:sz w:val="16"/>
        </w:rPr>
        <w:t> </w:t>
      </w:r>
      <w:r>
        <w:rPr>
          <w:i/>
          <w:color w:val="231F20"/>
          <w:spacing w:val="-2"/>
          <w:sz w:val="16"/>
        </w:rPr>
        <w:t>unilateral</w:t>
      </w:r>
      <w:r>
        <w:rPr>
          <w:i/>
          <w:color w:val="231F20"/>
          <w:spacing w:val="-8"/>
          <w:sz w:val="16"/>
        </w:rPr>
        <w:t> </w:t>
      </w:r>
      <w:r>
        <w:rPr>
          <w:color w:val="231F20"/>
          <w:spacing w:val="-2"/>
          <w:sz w:val="16"/>
        </w:rPr>
        <w:t>(Paris:</w:t>
      </w:r>
      <w:r>
        <w:rPr>
          <w:color w:val="231F20"/>
          <w:spacing w:val="-7"/>
          <w:sz w:val="16"/>
        </w:rPr>
        <w:t> </w:t>
      </w:r>
      <w:r>
        <w:rPr>
          <w:color w:val="231F20"/>
          <w:spacing w:val="-2"/>
          <w:sz w:val="16"/>
        </w:rPr>
        <w:t>PUF</w:t>
      </w:r>
      <w:r>
        <w:rPr>
          <w:color w:val="231F20"/>
          <w:spacing w:val="-8"/>
          <w:sz w:val="16"/>
        </w:rPr>
        <w:t> </w:t>
      </w:r>
      <w:r>
        <w:rPr>
          <w:color w:val="231F20"/>
          <w:spacing w:val="-2"/>
          <w:sz w:val="16"/>
        </w:rPr>
        <w:t>2016)</w:t>
      </w:r>
      <w:r>
        <w:rPr>
          <w:color w:val="231F20"/>
          <w:spacing w:val="40"/>
          <w:sz w:val="16"/>
        </w:rPr>
        <w:t> </w:t>
      </w:r>
      <w:r>
        <w:rPr>
          <w:color w:val="231F20"/>
          <w:sz w:val="16"/>
        </w:rPr>
        <w:t>pp 522</w:t>
      </w:r>
      <w:r>
        <w:rPr>
          <w:rFonts w:ascii="Arial" w:hAnsi="Arial"/>
          <w:color w:val="231F20"/>
          <w:sz w:val="16"/>
        </w:rPr>
        <w:t>–</w:t>
      </w:r>
      <w:r>
        <w:rPr>
          <w:color w:val="231F20"/>
          <w:sz w:val="16"/>
        </w:rPr>
        <w:t>523.</w:t>
      </w:r>
    </w:p>
    <w:p>
      <w:pPr>
        <w:pStyle w:val="ListParagraph"/>
        <w:numPr>
          <w:ilvl w:val="0"/>
          <w:numId w:val="3"/>
        </w:numPr>
        <w:tabs>
          <w:tab w:pos="866" w:val="left" w:leader="none"/>
        </w:tabs>
        <w:spacing w:line="288" w:lineRule="auto" w:before="1" w:after="0"/>
        <w:ind w:left="866" w:right="869" w:hanging="354"/>
        <w:jc w:val="left"/>
        <w:rPr>
          <w:sz w:val="16"/>
        </w:rPr>
      </w:pPr>
      <w:r>
        <w:rPr>
          <w:color w:val="231F20"/>
          <w:sz w:val="16"/>
        </w:rPr>
        <w:t>ECJ</w:t>
      </w:r>
      <w:r>
        <w:rPr>
          <w:color w:val="231F20"/>
          <w:spacing w:val="-5"/>
          <w:sz w:val="16"/>
        </w:rPr>
        <w:t> </w:t>
      </w:r>
      <w:r>
        <w:rPr>
          <w:color w:val="231F20"/>
          <w:sz w:val="16"/>
        </w:rPr>
        <w:t>21</w:t>
      </w:r>
      <w:r>
        <w:rPr>
          <w:color w:val="231F20"/>
          <w:spacing w:val="-4"/>
          <w:sz w:val="16"/>
        </w:rPr>
        <w:t> </w:t>
      </w:r>
      <w:r>
        <w:rPr>
          <w:color w:val="231F20"/>
          <w:sz w:val="16"/>
        </w:rPr>
        <w:t>Feb.</w:t>
      </w:r>
      <w:r>
        <w:rPr>
          <w:color w:val="231F20"/>
          <w:spacing w:val="-5"/>
          <w:sz w:val="16"/>
        </w:rPr>
        <w:t> </w:t>
      </w:r>
      <w:r>
        <w:rPr>
          <w:color w:val="231F20"/>
          <w:sz w:val="16"/>
        </w:rPr>
        <w:t>2013,</w:t>
      </w:r>
      <w:r>
        <w:rPr>
          <w:color w:val="231F20"/>
          <w:spacing w:val="-5"/>
          <w:sz w:val="16"/>
        </w:rPr>
        <w:t> </w:t>
      </w:r>
      <w:r>
        <w:rPr>
          <w:color w:val="231F20"/>
          <w:sz w:val="16"/>
        </w:rPr>
        <w:t>ECLI:EU:C:2013:88,</w:t>
      </w:r>
      <w:r>
        <w:rPr>
          <w:color w:val="231F20"/>
          <w:spacing w:val="-5"/>
          <w:sz w:val="16"/>
        </w:rPr>
        <w:t> </w:t>
      </w:r>
      <w:r>
        <w:rPr>
          <w:i/>
          <w:color w:val="231F20"/>
          <w:sz w:val="16"/>
        </w:rPr>
        <w:t>Banif</w:t>
      </w:r>
      <w:r>
        <w:rPr>
          <w:i/>
          <w:color w:val="231F20"/>
          <w:spacing w:val="-4"/>
          <w:sz w:val="16"/>
        </w:rPr>
        <w:t> </w:t>
      </w:r>
      <w:r>
        <w:rPr>
          <w:i/>
          <w:color w:val="231F20"/>
          <w:sz w:val="16"/>
        </w:rPr>
        <w:t>Plus</w:t>
      </w:r>
      <w:r>
        <w:rPr>
          <w:i/>
          <w:color w:val="231F20"/>
          <w:spacing w:val="-5"/>
          <w:sz w:val="16"/>
        </w:rPr>
        <w:t> </w:t>
      </w:r>
      <w:r>
        <w:rPr>
          <w:i/>
          <w:color w:val="231F20"/>
          <w:sz w:val="16"/>
        </w:rPr>
        <w:t>Bank</w:t>
      </w:r>
      <w:r>
        <w:rPr>
          <w:i/>
          <w:color w:val="231F20"/>
          <w:spacing w:val="-5"/>
          <w:sz w:val="16"/>
        </w:rPr>
        <w:t> </w:t>
      </w:r>
      <w:r>
        <w:rPr>
          <w:i/>
          <w:color w:val="231F20"/>
          <w:sz w:val="16"/>
        </w:rPr>
        <w:t>Zrt</w:t>
      </w:r>
      <w:r>
        <w:rPr>
          <w:i/>
          <w:color w:val="231F20"/>
          <w:spacing w:val="-5"/>
          <w:sz w:val="16"/>
        </w:rPr>
        <w:t> </w:t>
      </w:r>
      <w:r>
        <w:rPr>
          <w:color w:val="231F20"/>
          <w:sz w:val="16"/>
        </w:rPr>
        <w:t>v.</w:t>
      </w:r>
      <w:r>
        <w:rPr>
          <w:color w:val="231F20"/>
          <w:spacing w:val="-5"/>
          <w:sz w:val="16"/>
        </w:rPr>
        <w:t> </w:t>
      </w:r>
      <w:r>
        <w:rPr>
          <w:i/>
          <w:color w:val="231F20"/>
          <w:sz w:val="16"/>
        </w:rPr>
        <w:t>Csaba</w:t>
      </w:r>
      <w:r>
        <w:rPr>
          <w:i/>
          <w:color w:val="231F20"/>
          <w:spacing w:val="-4"/>
          <w:sz w:val="16"/>
        </w:rPr>
        <w:t> </w:t>
      </w:r>
      <w:r>
        <w:rPr>
          <w:i/>
          <w:color w:val="231F20"/>
          <w:sz w:val="16"/>
        </w:rPr>
        <w:t>Csipai</w:t>
      </w:r>
      <w:r>
        <w:rPr>
          <w:i/>
          <w:color w:val="231F20"/>
          <w:spacing w:val="-5"/>
          <w:sz w:val="16"/>
        </w:rPr>
        <w:t> </w:t>
      </w:r>
      <w:r>
        <w:rPr>
          <w:i/>
          <w:color w:val="231F20"/>
          <w:sz w:val="16"/>
        </w:rPr>
        <w:t>and</w:t>
      </w:r>
      <w:r>
        <w:rPr>
          <w:i/>
          <w:color w:val="231F20"/>
          <w:spacing w:val="-5"/>
          <w:sz w:val="16"/>
        </w:rPr>
        <w:t> </w:t>
      </w:r>
      <w:r>
        <w:rPr>
          <w:i/>
          <w:color w:val="231F20"/>
          <w:sz w:val="16"/>
        </w:rPr>
        <w:t>Viktória</w:t>
      </w:r>
      <w:r>
        <w:rPr>
          <w:i/>
          <w:color w:val="231F20"/>
          <w:spacing w:val="-5"/>
          <w:sz w:val="16"/>
        </w:rPr>
        <w:t> </w:t>
      </w:r>
      <w:r>
        <w:rPr>
          <w:i/>
          <w:color w:val="231F20"/>
          <w:sz w:val="16"/>
        </w:rPr>
        <w:t>Csipai</w:t>
      </w:r>
      <w:r>
        <w:rPr>
          <w:color w:val="231F20"/>
          <w:sz w:val="16"/>
        </w:rPr>
        <w:t>,</w:t>
      </w:r>
      <w:r>
        <w:rPr>
          <w:color w:val="231F20"/>
          <w:spacing w:val="40"/>
          <w:sz w:val="16"/>
        </w:rPr>
        <w:t> </w:t>
      </w:r>
      <w:r>
        <w:rPr>
          <w:color w:val="231F20"/>
          <w:sz w:val="16"/>
        </w:rPr>
        <w:t>curia.europa.eu/juris/liste.jsf?num=C-472, para. 31.</w:t>
      </w:r>
    </w:p>
    <w:p>
      <w:pPr>
        <w:pStyle w:val="ListParagraph"/>
        <w:numPr>
          <w:ilvl w:val="0"/>
          <w:numId w:val="3"/>
        </w:numPr>
        <w:tabs>
          <w:tab w:pos="866" w:val="left" w:leader="none"/>
        </w:tabs>
        <w:spacing w:line="288" w:lineRule="auto" w:before="1" w:after="0"/>
        <w:ind w:left="866" w:right="868" w:hanging="354"/>
        <w:jc w:val="left"/>
        <w:rPr>
          <w:sz w:val="16"/>
        </w:rPr>
      </w:pPr>
      <w:r>
        <w:rPr>
          <w:color w:val="231F20"/>
          <w:sz w:val="16"/>
        </w:rPr>
        <w:t>ECJ</w:t>
      </w:r>
      <w:r>
        <w:rPr>
          <w:color w:val="231F20"/>
          <w:spacing w:val="17"/>
          <w:sz w:val="16"/>
        </w:rPr>
        <w:t> </w:t>
      </w:r>
      <w:r>
        <w:rPr>
          <w:color w:val="231F20"/>
          <w:sz w:val="16"/>
        </w:rPr>
        <w:t>3</w:t>
      </w:r>
      <w:r>
        <w:rPr>
          <w:color w:val="231F20"/>
          <w:spacing w:val="17"/>
          <w:sz w:val="16"/>
        </w:rPr>
        <w:t> </w:t>
      </w:r>
      <w:r>
        <w:rPr>
          <w:color w:val="231F20"/>
          <w:sz w:val="16"/>
        </w:rPr>
        <w:t>Mar.</w:t>
      </w:r>
      <w:r>
        <w:rPr>
          <w:color w:val="231F20"/>
          <w:spacing w:val="17"/>
          <w:sz w:val="16"/>
        </w:rPr>
        <w:t> </w:t>
      </w:r>
      <w:r>
        <w:rPr>
          <w:color w:val="231F20"/>
          <w:sz w:val="16"/>
        </w:rPr>
        <w:t>2020,</w:t>
      </w:r>
      <w:r>
        <w:rPr>
          <w:color w:val="231F20"/>
          <w:spacing w:val="17"/>
          <w:sz w:val="16"/>
        </w:rPr>
        <w:t> </w:t>
      </w:r>
      <w:r>
        <w:rPr>
          <w:color w:val="231F20"/>
          <w:sz w:val="16"/>
        </w:rPr>
        <w:t>ECLI:EU:C:2020:138,</w:t>
      </w:r>
      <w:r>
        <w:rPr>
          <w:color w:val="231F20"/>
          <w:spacing w:val="17"/>
          <w:sz w:val="16"/>
        </w:rPr>
        <w:t> </w:t>
      </w:r>
      <w:r>
        <w:rPr>
          <w:i/>
          <w:color w:val="231F20"/>
          <w:sz w:val="16"/>
        </w:rPr>
        <w:t>Marc</w:t>
      </w:r>
      <w:r>
        <w:rPr>
          <w:i/>
          <w:color w:val="231F20"/>
          <w:spacing w:val="17"/>
          <w:sz w:val="16"/>
        </w:rPr>
        <w:t> </w:t>
      </w:r>
      <w:r>
        <w:rPr>
          <w:i/>
          <w:color w:val="231F20"/>
          <w:sz w:val="16"/>
        </w:rPr>
        <w:t>Gómez</w:t>
      </w:r>
      <w:r>
        <w:rPr>
          <w:i/>
          <w:color w:val="231F20"/>
          <w:spacing w:val="17"/>
          <w:sz w:val="16"/>
        </w:rPr>
        <w:t> </w:t>
      </w:r>
      <w:r>
        <w:rPr>
          <w:i/>
          <w:color w:val="231F20"/>
          <w:sz w:val="16"/>
        </w:rPr>
        <w:t>del</w:t>
      </w:r>
      <w:r>
        <w:rPr>
          <w:i/>
          <w:color w:val="231F20"/>
          <w:spacing w:val="17"/>
          <w:sz w:val="16"/>
        </w:rPr>
        <w:t> </w:t>
      </w:r>
      <w:r>
        <w:rPr>
          <w:i/>
          <w:color w:val="231F20"/>
          <w:sz w:val="16"/>
        </w:rPr>
        <w:t>Moral</w:t>
      </w:r>
      <w:r>
        <w:rPr>
          <w:i/>
          <w:color w:val="231F20"/>
          <w:spacing w:val="17"/>
          <w:sz w:val="16"/>
        </w:rPr>
        <w:t> </w:t>
      </w:r>
      <w:r>
        <w:rPr>
          <w:i/>
          <w:color w:val="231F20"/>
          <w:sz w:val="16"/>
        </w:rPr>
        <w:t>Guasch</w:t>
      </w:r>
      <w:r>
        <w:rPr>
          <w:i/>
          <w:color w:val="231F20"/>
          <w:spacing w:val="18"/>
          <w:sz w:val="16"/>
        </w:rPr>
        <w:t> </w:t>
      </w:r>
      <w:r>
        <w:rPr>
          <w:color w:val="231F20"/>
          <w:sz w:val="16"/>
        </w:rPr>
        <w:t>v.</w:t>
      </w:r>
      <w:r>
        <w:rPr>
          <w:color w:val="231F20"/>
          <w:spacing w:val="17"/>
          <w:sz w:val="16"/>
        </w:rPr>
        <w:t> </w:t>
      </w:r>
      <w:r>
        <w:rPr>
          <w:i/>
          <w:color w:val="231F20"/>
          <w:sz w:val="16"/>
        </w:rPr>
        <w:t>Bankia</w:t>
      </w:r>
      <w:r>
        <w:rPr>
          <w:i/>
          <w:color w:val="231F20"/>
          <w:spacing w:val="18"/>
          <w:sz w:val="16"/>
        </w:rPr>
        <w:t> </w:t>
      </w:r>
      <w:r>
        <w:rPr>
          <w:i/>
          <w:color w:val="231F20"/>
          <w:sz w:val="16"/>
        </w:rPr>
        <w:t>SA</w:t>
      </w:r>
      <w:r>
        <w:rPr>
          <w:color w:val="231F20"/>
          <w:sz w:val="16"/>
        </w:rPr>
        <w:t>,</w:t>
      </w:r>
      <w:r>
        <w:rPr>
          <w:color w:val="231F20"/>
          <w:spacing w:val="17"/>
          <w:sz w:val="16"/>
        </w:rPr>
        <w:t> </w:t>
      </w:r>
      <w:r>
        <w:rPr>
          <w:color w:val="231F20"/>
          <w:sz w:val="16"/>
        </w:rPr>
        <w:t>curia.</w:t>
      </w:r>
      <w:r>
        <w:rPr>
          <w:color w:val="231F20"/>
          <w:spacing w:val="40"/>
          <w:sz w:val="16"/>
        </w:rPr>
        <w:t> </w:t>
      </w:r>
      <w:r>
        <w:rPr>
          <w:color w:val="231F20"/>
          <w:sz w:val="16"/>
        </w:rPr>
        <w:t>europa.eu/juris/documents.jsf?num=C-125/18,</w:t>
      </w:r>
      <w:r>
        <w:rPr>
          <w:color w:val="231F20"/>
          <w:spacing w:val="-7"/>
          <w:sz w:val="16"/>
        </w:rPr>
        <w:t> </w:t>
      </w:r>
      <w:r>
        <w:rPr>
          <w:color w:val="231F20"/>
          <w:sz w:val="16"/>
        </w:rPr>
        <w:t>para.</w:t>
      </w:r>
      <w:r>
        <w:rPr>
          <w:color w:val="231F20"/>
          <w:spacing w:val="-8"/>
          <w:sz w:val="16"/>
        </w:rPr>
        <w:t> </w:t>
      </w:r>
      <w:r>
        <w:rPr>
          <w:color w:val="231F20"/>
          <w:sz w:val="16"/>
        </w:rPr>
        <w:t>58;</w:t>
      </w:r>
      <w:r>
        <w:rPr>
          <w:color w:val="231F20"/>
          <w:spacing w:val="-7"/>
          <w:sz w:val="16"/>
        </w:rPr>
        <w:t> </w:t>
      </w:r>
      <w:r>
        <w:rPr>
          <w:color w:val="231F20"/>
          <w:sz w:val="16"/>
        </w:rPr>
        <w:t>ECJ</w:t>
      </w:r>
      <w:r>
        <w:rPr>
          <w:color w:val="231F20"/>
          <w:spacing w:val="-7"/>
          <w:sz w:val="16"/>
        </w:rPr>
        <w:t> </w:t>
      </w:r>
      <w:r>
        <w:rPr>
          <w:color w:val="231F20"/>
          <w:sz w:val="16"/>
        </w:rPr>
        <w:t>21</w:t>
      </w:r>
      <w:r>
        <w:rPr>
          <w:color w:val="231F20"/>
          <w:spacing w:val="-7"/>
          <w:sz w:val="16"/>
        </w:rPr>
        <w:t> </w:t>
      </w:r>
      <w:r>
        <w:rPr>
          <w:color w:val="231F20"/>
          <w:sz w:val="16"/>
        </w:rPr>
        <w:t>Feb.</w:t>
      </w:r>
      <w:r>
        <w:rPr>
          <w:color w:val="231F20"/>
          <w:spacing w:val="-6"/>
          <w:sz w:val="16"/>
        </w:rPr>
        <w:t> </w:t>
      </w:r>
      <w:r>
        <w:rPr>
          <w:color w:val="231F20"/>
          <w:sz w:val="16"/>
        </w:rPr>
        <w:t>2013,</w:t>
      </w:r>
      <w:r>
        <w:rPr>
          <w:color w:val="231F20"/>
          <w:spacing w:val="-6"/>
          <w:sz w:val="16"/>
        </w:rPr>
        <w:t> </w:t>
      </w:r>
      <w:r>
        <w:rPr>
          <w:color w:val="231F20"/>
          <w:sz w:val="16"/>
        </w:rPr>
        <w:t>ECLI:EU:C:2013:88,</w:t>
      </w:r>
    </w:p>
    <w:p>
      <w:pPr>
        <w:spacing w:before="3"/>
        <w:ind w:left="866" w:right="0" w:firstLine="0"/>
        <w:jc w:val="left"/>
        <w:rPr>
          <w:sz w:val="16"/>
        </w:rPr>
      </w:pPr>
      <w:r>
        <w:rPr>
          <w:i/>
          <w:color w:val="231F20"/>
          <w:sz w:val="16"/>
        </w:rPr>
        <w:t>Banif</w:t>
      </w:r>
      <w:r>
        <w:rPr>
          <w:i/>
          <w:color w:val="231F20"/>
          <w:spacing w:val="-6"/>
          <w:sz w:val="16"/>
        </w:rPr>
        <w:t> </w:t>
      </w:r>
      <w:r>
        <w:rPr>
          <w:i/>
          <w:color w:val="231F20"/>
          <w:sz w:val="16"/>
        </w:rPr>
        <w:t>Plus</w:t>
      </w:r>
      <w:r>
        <w:rPr>
          <w:color w:val="231F20"/>
          <w:sz w:val="16"/>
        </w:rPr>
        <w:t>,</w:t>
      </w:r>
      <w:r>
        <w:rPr>
          <w:color w:val="231F20"/>
          <w:spacing w:val="-3"/>
          <w:sz w:val="16"/>
        </w:rPr>
        <w:t> </w:t>
      </w:r>
      <w:r>
        <w:rPr>
          <w:color w:val="231F20"/>
          <w:sz w:val="16"/>
        </w:rPr>
        <w:t>para.</w:t>
      </w:r>
      <w:r>
        <w:rPr>
          <w:color w:val="231F20"/>
          <w:spacing w:val="-5"/>
          <w:sz w:val="16"/>
        </w:rPr>
        <w:t> </w:t>
      </w:r>
      <w:r>
        <w:rPr>
          <w:color w:val="231F20"/>
          <w:sz w:val="16"/>
        </w:rPr>
        <w:t>27;</w:t>
      </w:r>
      <w:r>
        <w:rPr>
          <w:color w:val="231F20"/>
          <w:spacing w:val="-5"/>
          <w:sz w:val="16"/>
        </w:rPr>
        <w:t> </w:t>
      </w:r>
      <w:r>
        <w:rPr>
          <w:color w:val="231F20"/>
          <w:sz w:val="16"/>
        </w:rPr>
        <w:t>ECJ</w:t>
      </w:r>
      <w:r>
        <w:rPr>
          <w:color w:val="231F20"/>
          <w:spacing w:val="-5"/>
          <w:sz w:val="16"/>
        </w:rPr>
        <w:t> </w:t>
      </w:r>
      <w:r>
        <w:rPr>
          <w:color w:val="231F20"/>
          <w:sz w:val="16"/>
        </w:rPr>
        <w:t>4</w:t>
      </w:r>
      <w:r>
        <w:rPr>
          <w:color w:val="231F20"/>
          <w:spacing w:val="-5"/>
          <w:sz w:val="16"/>
        </w:rPr>
        <w:t> </w:t>
      </w:r>
      <w:r>
        <w:rPr>
          <w:color w:val="231F20"/>
          <w:sz w:val="16"/>
        </w:rPr>
        <w:t>Jun.</w:t>
      </w:r>
      <w:r>
        <w:rPr>
          <w:color w:val="231F20"/>
          <w:spacing w:val="-4"/>
          <w:sz w:val="16"/>
        </w:rPr>
        <w:t> </w:t>
      </w:r>
      <w:r>
        <w:rPr>
          <w:color w:val="231F20"/>
          <w:sz w:val="16"/>
        </w:rPr>
        <w:t>2009,</w:t>
      </w:r>
      <w:r>
        <w:rPr>
          <w:color w:val="231F20"/>
          <w:spacing w:val="-5"/>
          <w:sz w:val="16"/>
        </w:rPr>
        <w:t> </w:t>
      </w:r>
      <w:r>
        <w:rPr>
          <w:color w:val="231F20"/>
          <w:sz w:val="16"/>
        </w:rPr>
        <w:t>ECLI:EU:C:2009:350,</w:t>
      </w:r>
      <w:r>
        <w:rPr>
          <w:color w:val="231F20"/>
          <w:spacing w:val="-5"/>
          <w:sz w:val="16"/>
        </w:rPr>
        <w:t> </w:t>
      </w:r>
      <w:r>
        <w:rPr>
          <w:i/>
          <w:color w:val="231F20"/>
          <w:sz w:val="16"/>
        </w:rPr>
        <w:t>Pannon</w:t>
      </w:r>
      <w:r>
        <w:rPr>
          <w:color w:val="231F20"/>
          <w:sz w:val="16"/>
        </w:rPr>
        <w:t>,</w:t>
      </w:r>
      <w:r>
        <w:rPr>
          <w:color w:val="231F20"/>
          <w:spacing w:val="-5"/>
          <w:sz w:val="16"/>
        </w:rPr>
        <w:t> </w:t>
      </w:r>
      <w:r>
        <w:rPr>
          <w:color w:val="231F20"/>
          <w:sz w:val="16"/>
        </w:rPr>
        <w:t>para.</w:t>
      </w:r>
      <w:r>
        <w:rPr>
          <w:color w:val="231F20"/>
          <w:spacing w:val="-4"/>
          <w:sz w:val="16"/>
        </w:rPr>
        <w:t> </w:t>
      </w:r>
      <w:r>
        <w:rPr>
          <w:color w:val="231F20"/>
          <w:spacing w:val="-5"/>
          <w:sz w:val="16"/>
        </w:rPr>
        <w:t>33.</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ECJ</w:t>
      </w:r>
      <w:r>
        <w:rPr>
          <w:color w:val="231F20"/>
          <w:spacing w:val="-4"/>
          <w:sz w:val="16"/>
        </w:rPr>
        <w:t> </w:t>
      </w:r>
      <w:r>
        <w:rPr>
          <w:color w:val="231F20"/>
          <w:spacing w:val="-2"/>
          <w:sz w:val="16"/>
        </w:rPr>
        <w:t>25</w:t>
      </w:r>
      <w:r>
        <w:rPr>
          <w:color w:val="231F20"/>
          <w:spacing w:val="-4"/>
          <w:sz w:val="16"/>
        </w:rPr>
        <w:t> </w:t>
      </w:r>
      <w:r>
        <w:rPr>
          <w:color w:val="231F20"/>
          <w:spacing w:val="-2"/>
          <w:sz w:val="16"/>
        </w:rPr>
        <w:t>Nov.</w:t>
      </w:r>
      <w:r>
        <w:rPr>
          <w:color w:val="231F20"/>
          <w:spacing w:val="-3"/>
          <w:sz w:val="16"/>
        </w:rPr>
        <w:t> </w:t>
      </w:r>
      <w:r>
        <w:rPr>
          <w:color w:val="231F20"/>
          <w:spacing w:val="-2"/>
          <w:sz w:val="16"/>
        </w:rPr>
        <w:t>2020,</w:t>
      </w:r>
      <w:r>
        <w:rPr>
          <w:color w:val="231F20"/>
          <w:spacing w:val="-4"/>
          <w:sz w:val="16"/>
        </w:rPr>
        <w:t> </w:t>
      </w:r>
      <w:r>
        <w:rPr>
          <w:color w:val="231F20"/>
          <w:spacing w:val="-2"/>
          <w:sz w:val="16"/>
        </w:rPr>
        <w:t>ECLI:EU:C:2020:954,</w:t>
      </w:r>
      <w:r>
        <w:rPr>
          <w:color w:val="231F20"/>
          <w:spacing w:val="-5"/>
          <w:sz w:val="16"/>
        </w:rPr>
        <w:t> </w:t>
      </w:r>
      <w:r>
        <w:rPr>
          <w:i/>
          <w:color w:val="231F20"/>
          <w:spacing w:val="-2"/>
          <w:sz w:val="16"/>
        </w:rPr>
        <w:t>Banca</w:t>
      </w:r>
      <w:r>
        <w:rPr>
          <w:i/>
          <w:color w:val="231F20"/>
          <w:spacing w:val="-4"/>
          <w:sz w:val="16"/>
        </w:rPr>
        <w:t> </w:t>
      </w:r>
      <w:r>
        <w:rPr>
          <w:i/>
          <w:color w:val="231F20"/>
          <w:spacing w:val="-2"/>
          <w:sz w:val="16"/>
        </w:rPr>
        <w:t>B.</w:t>
      </w:r>
      <w:r>
        <w:rPr>
          <w:color w:val="231F20"/>
          <w:spacing w:val="-2"/>
          <w:sz w:val="16"/>
        </w:rPr>
        <w:t>,</w:t>
      </w:r>
      <w:r>
        <w:rPr>
          <w:color w:val="231F20"/>
          <w:spacing w:val="-3"/>
          <w:sz w:val="16"/>
        </w:rPr>
        <w:t> </w:t>
      </w:r>
      <w:r>
        <w:rPr>
          <w:color w:val="231F20"/>
          <w:spacing w:val="-2"/>
          <w:sz w:val="16"/>
        </w:rPr>
        <w:t>para.</w:t>
      </w:r>
      <w:r>
        <w:rPr>
          <w:color w:val="231F20"/>
          <w:spacing w:val="-4"/>
          <w:sz w:val="16"/>
        </w:rPr>
        <w:t> </w:t>
      </w:r>
      <w:r>
        <w:rPr>
          <w:color w:val="231F20"/>
          <w:spacing w:val="-2"/>
          <w:sz w:val="16"/>
        </w:rPr>
        <w:t>38.</w:t>
      </w:r>
      <w:r>
        <w:rPr>
          <w:color w:val="231F20"/>
          <w:spacing w:val="-4"/>
          <w:sz w:val="16"/>
        </w:rPr>
        <w:t> </w:t>
      </w:r>
      <w:r>
        <w:rPr>
          <w:color w:val="231F20"/>
          <w:spacing w:val="-2"/>
          <w:sz w:val="16"/>
        </w:rPr>
        <w:t>Same</w:t>
      </w:r>
      <w:r>
        <w:rPr>
          <w:color w:val="231F20"/>
          <w:spacing w:val="-3"/>
          <w:sz w:val="16"/>
        </w:rPr>
        <w:t> </w:t>
      </w:r>
      <w:r>
        <w:rPr>
          <w:color w:val="231F20"/>
          <w:spacing w:val="-2"/>
          <w:sz w:val="16"/>
        </w:rPr>
        <w:t>in</w:t>
      </w:r>
      <w:r>
        <w:rPr>
          <w:color w:val="231F20"/>
          <w:spacing w:val="-3"/>
          <w:sz w:val="16"/>
        </w:rPr>
        <w:t> </w:t>
      </w:r>
      <w:r>
        <w:rPr>
          <w:color w:val="231F20"/>
          <w:spacing w:val="-2"/>
          <w:sz w:val="16"/>
        </w:rPr>
        <w:t>ECJ</w:t>
      </w:r>
      <w:r>
        <w:rPr>
          <w:color w:val="231F20"/>
          <w:spacing w:val="-4"/>
          <w:sz w:val="16"/>
        </w:rPr>
        <w:t> </w:t>
      </w:r>
      <w:r>
        <w:rPr>
          <w:color w:val="231F20"/>
          <w:spacing w:val="-2"/>
          <w:sz w:val="16"/>
        </w:rPr>
        <w:t>15</w:t>
      </w:r>
      <w:r>
        <w:rPr>
          <w:color w:val="231F20"/>
          <w:spacing w:val="-4"/>
          <w:sz w:val="16"/>
        </w:rPr>
        <w:t> </w:t>
      </w:r>
      <w:r>
        <w:rPr>
          <w:color w:val="231F20"/>
          <w:spacing w:val="-2"/>
          <w:sz w:val="16"/>
        </w:rPr>
        <w:t>Jun.</w:t>
      </w:r>
      <w:r>
        <w:rPr>
          <w:color w:val="231F20"/>
          <w:spacing w:val="-3"/>
          <w:sz w:val="16"/>
        </w:rPr>
        <w:t> </w:t>
      </w:r>
      <w:r>
        <w:rPr>
          <w:color w:val="231F20"/>
          <w:spacing w:val="-2"/>
          <w:sz w:val="16"/>
        </w:rPr>
        <w:t>2023,</w:t>
      </w:r>
      <w:r>
        <w:rPr>
          <w:color w:val="231F20"/>
          <w:spacing w:val="-4"/>
          <w:sz w:val="16"/>
        </w:rPr>
        <w:t> </w:t>
      </w:r>
      <w:r>
        <w:rPr>
          <w:color w:val="231F20"/>
          <w:spacing w:val="-2"/>
          <w:sz w:val="16"/>
        </w:rPr>
        <w:t>ECLI:EU:</w:t>
      </w:r>
    </w:p>
    <w:p>
      <w:pPr>
        <w:spacing w:line="288" w:lineRule="auto" w:before="34"/>
        <w:ind w:left="866" w:right="660" w:firstLine="0"/>
        <w:jc w:val="left"/>
        <w:rPr>
          <w:sz w:val="16"/>
        </w:rPr>
      </w:pPr>
      <w:r>
        <w:rPr>
          <w:color w:val="231F20"/>
          <w:spacing w:val="-2"/>
          <w:sz w:val="16"/>
        </w:rPr>
        <w:t>C:2023:478, </w:t>
      </w:r>
      <w:r>
        <w:rPr>
          <w:i/>
          <w:color w:val="231F20"/>
          <w:spacing w:val="-2"/>
          <w:sz w:val="16"/>
        </w:rPr>
        <w:t>Arkadiusz Szcze</w:t>
      </w:r>
      <w:r>
        <w:rPr>
          <w:rFonts w:ascii="Trebuchet MS" w:hAnsi="Trebuchet MS"/>
          <w:color w:val="231F20"/>
          <w:spacing w:val="-2"/>
          <w:sz w:val="16"/>
        </w:rPr>
        <w:t>ś</w:t>
      </w:r>
      <w:r>
        <w:rPr>
          <w:i/>
          <w:color w:val="231F20"/>
          <w:spacing w:val="-2"/>
          <w:sz w:val="16"/>
        </w:rPr>
        <w:t>niak </w:t>
      </w:r>
      <w:r>
        <w:rPr>
          <w:color w:val="231F20"/>
          <w:spacing w:val="-2"/>
          <w:sz w:val="16"/>
        </w:rPr>
        <w:t>v. </w:t>
      </w:r>
      <w:r>
        <w:rPr>
          <w:i/>
          <w:color w:val="231F20"/>
          <w:spacing w:val="-2"/>
          <w:sz w:val="16"/>
        </w:rPr>
        <w:t>Bank M. SA</w:t>
      </w:r>
      <w:r>
        <w:rPr>
          <w:color w:val="231F20"/>
          <w:spacing w:val="-2"/>
          <w:sz w:val="16"/>
        </w:rPr>
        <w:t>, </w:t>
      </w:r>
      <w:r>
        <w:rPr>
          <w:color w:val="231F20"/>
          <w:spacing w:val="-2"/>
          <w:sz w:val="16"/>
        </w:rPr>
        <w:t>curia.europa.eu/juris/liste.jsf?num=C-520/21,</w:t>
      </w:r>
      <w:r>
        <w:rPr>
          <w:color w:val="231F20"/>
          <w:spacing w:val="40"/>
          <w:sz w:val="16"/>
        </w:rPr>
        <w:t> </w:t>
      </w:r>
      <w:r>
        <w:rPr>
          <w:color w:val="231F20"/>
          <w:sz w:val="16"/>
        </w:rPr>
        <w:t>para. 68.</w:t>
      </w:r>
    </w:p>
    <w:p>
      <w:pPr>
        <w:spacing w:after="0" w:line="288"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8"/>
        <w:jc w:val="both"/>
      </w:pPr>
      <w:r>
        <w:rPr>
          <w:color w:val="231F20"/>
        </w:rPr>
        <w:t>Therefore, equality and dissuasiveness guide the interpretation of Article 6(1) UCTD,</w:t>
      </w:r>
      <w:r>
        <w:rPr>
          <w:color w:val="231F20"/>
          <w:spacing w:val="-2"/>
        </w:rPr>
        <w:t> </w:t>
      </w:r>
      <w:r>
        <w:rPr>
          <w:color w:val="231F20"/>
        </w:rPr>
        <w:t>which</w:t>
      </w:r>
      <w:r>
        <w:rPr>
          <w:color w:val="231F20"/>
          <w:spacing w:val="-3"/>
        </w:rPr>
        <w:t> </w:t>
      </w:r>
      <w:r>
        <w:rPr>
          <w:color w:val="231F20"/>
        </w:rPr>
        <w:t>cannot</w:t>
      </w:r>
      <w:r>
        <w:rPr>
          <w:color w:val="231F20"/>
          <w:spacing w:val="-3"/>
        </w:rPr>
        <w:t> </w:t>
      </w:r>
      <w:r>
        <w:rPr>
          <w:color w:val="231F20"/>
        </w:rPr>
        <w:t>be</w:t>
      </w:r>
      <w:r>
        <w:rPr>
          <w:color w:val="231F20"/>
          <w:spacing w:val="-2"/>
        </w:rPr>
        <w:t> </w:t>
      </w:r>
      <w:r>
        <w:rPr>
          <w:color w:val="231F20"/>
        </w:rPr>
        <w:t>understood</w:t>
      </w:r>
      <w:r>
        <w:rPr>
          <w:color w:val="231F20"/>
          <w:spacing w:val="-2"/>
        </w:rPr>
        <w:t> </w:t>
      </w:r>
      <w:r>
        <w:rPr>
          <w:color w:val="231F20"/>
        </w:rPr>
        <w:t>without</w:t>
      </w:r>
      <w:r>
        <w:rPr>
          <w:color w:val="231F20"/>
          <w:spacing w:val="-3"/>
        </w:rPr>
        <w:t> </w:t>
      </w:r>
      <w:r>
        <w:rPr>
          <w:color w:val="231F20"/>
        </w:rPr>
        <w:t>reference</w:t>
      </w:r>
      <w:r>
        <w:rPr>
          <w:color w:val="231F20"/>
          <w:spacing w:val="-3"/>
        </w:rPr>
        <w:t> </w:t>
      </w:r>
      <w:r>
        <w:rPr>
          <w:color w:val="231F20"/>
        </w:rPr>
        <w:t>to</w:t>
      </w:r>
      <w:r>
        <w:rPr>
          <w:color w:val="231F20"/>
          <w:spacing w:val="-3"/>
        </w:rPr>
        <w:t> </w:t>
      </w:r>
      <w:r>
        <w:rPr>
          <w:color w:val="231F20"/>
        </w:rPr>
        <w:t>those</w:t>
      </w:r>
      <w:r>
        <w:rPr>
          <w:color w:val="231F20"/>
          <w:spacing w:val="-2"/>
        </w:rPr>
        <w:t> </w:t>
      </w:r>
      <w:r>
        <w:rPr>
          <w:color w:val="231F20"/>
        </w:rPr>
        <w:t>goals.</w:t>
      </w:r>
      <w:r>
        <w:rPr>
          <w:color w:val="231F20"/>
          <w:spacing w:val="-3"/>
        </w:rPr>
        <w:t> </w:t>
      </w:r>
      <w:r>
        <w:rPr>
          <w:color w:val="231F20"/>
        </w:rPr>
        <w:t>They</w:t>
      </w:r>
      <w:r>
        <w:rPr>
          <w:color w:val="231F20"/>
          <w:spacing w:val="-3"/>
        </w:rPr>
        <w:t> </w:t>
      </w:r>
      <w:r>
        <w:rPr>
          <w:color w:val="231F20"/>
        </w:rPr>
        <w:t>justify the special nature of Article 6(1) UCTD and explain its differences from similar provisions in national law.</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Article 6(1) UCTD is a contractual remedy that aims to re-establish </w:t>
      </w:r>
      <w:r>
        <w:rPr>
          <w:color w:val="231F20"/>
          <w:sz w:val="19"/>
        </w:rPr>
        <w:t>equality between the parties (the contract perspective). It is also a market regulation instrument that seeks to deter businesses from using unfair terms (the market regulation perspective). The latter characteristic challenges national private law, as it has been historically alien to its functions.</w:t>
      </w:r>
      <w:r>
        <w:rPr>
          <w:color w:val="231F20"/>
          <w:sz w:val="19"/>
          <w:vertAlign w:val="superscript"/>
        </w:rPr>
        <w:t>30</w:t>
      </w:r>
    </w:p>
    <w:p>
      <w:pPr>
        <w:pStyle w:val="ListParagraph"/>
        <w:numPr>
          <w:ilvl w:val="0"/>
          <w:numId w:val="4"/>
        </w:numPr>
        <w:tabs>
          <w:tab w:pos="1324" w:val="left" w:leader="none"/>
        </w:tabs>
        <w:spacing w:line="288" w:lineRule="auto" w:before="120" w:after="0"/>
        <w:ind w:left="871" w:right="869" w:firstLine="0"/>
        <w:jc w:val="both"/>
        <w:rPr>
          <w:sz w:val="19"/>
        </w:rPr>
      </w:pPr>
      <w:r>
        <w:rPr>
          <w:color w:val="231F20"/>
          <w:sz w:val="19"/>
        </w:rPr>
        <w:t>Instead, EU law has recurrently relied on public and private </w:t>
      </w:r>
      <w:r>
        <w:rPr>
          <w:color w:val="231F20"/>
          <w:sz w:val="19"/>
        </w:rPr>
        <w:t>enforcement.</w:t>
      </w:r>
      <w:r>
        <w:rPr>
          <w:color w:val="231F20"/>
          <w:sz w:val="19"/>
          <w:vertAlign w:val="superscript"/>
        </w:rPr>
        <w:t>31</w:t>
      </w:r>
      <w:r>
        <w:rPr>
          <w:color w:val="231F20"/>
          <w:sz w:val="19"/>
          <w:vertAlign w:val="baseline"/>
        </w:rPr>
        <w:t> What is peculiar about Article 6(1) UCTD, as interpreted by the ECJ, is that it encompasses</w:t>
      </w:r>
      <w:r>
        <w:rPr>
          <w:color w:val="231F20"/>
          <w:spacing w:val="-12"/>
          <w:sz w:val="19"/>
          <w:vertAlign w:val="baseline"/>
        </w:rPr>
        <w:t> </w:t>
      </w:r>
      <w:r>
        <w:rPr>
          <w:color w:val="231F20"/>
          <w:sz w:val="19"/>
          <w:vertAlign w:val="baseline"/>
        </w:rPr>
        <w:t>some</w:t>
      </w:r>
      <w:r>
        <w:rPr>
          <w:color w:val="231F20"/>
          <w:spacing w:val="-11"/>
          <w:sz w:val="19"/>
          <w:vertAlign w:val="baseline"/>
        </w:rPr>
        <w:t> </w:t>
      </w:r>
      <w:r>
        <w:rPr>
          <w:color w:val="231F20"/>
          <w:sz w:val="19"/>
          <w:vertAlign w:val="baseline"/>
        </w:rPr>
        <w:t>of</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aims</w:t>
      </w:r>
      <w:r>
        <w:rPr>
          <w:color w:val="231F20"/>
          <w:spacing w:val="-12"/>
          <w:sz w:val="19"/>
          <w:vertAlign w:val="baseline"/>
        </w:rPr>
        <w:t> </w:t>
      </w:r>
      <w:r>
        <w:rPr>
          <w:color w:val="231F20"/>
          <w:sz w:val="19"/>
          <w:vertAlign w:val="baseline"/>
        </w:rPr>
        <w:t>that</w:t>
      </w:r>
      <w:r>
        <w:rPr>
          <w:color w:val="231F20"/>
          <w:spacing w:val="-11"/>
          <w:sz w:val="19"/>
          <w:vertAlign w:val="baseline"/>
        </w:rPr>
        <w:t> </w:t>
      </w:r>
      <w:r>
        <w:rPr>
          <w:color w:val="231F20"/>
          <w:sz w:val="19"/>
          <w:vertAlign w:val="baseline"/>
        </w:rPr>
        <w:t>private</w:t>
      </w:r>
      <w:r>
        <w:rPr>
          <w:color w:val="231F20"/>
          <w:spacing w:val="-12"/>
          <w:sz w:val="19"/>
          <w:vertAlign w:val="baseline"/>
        </w:rPr>
        <w:t> </w:t>
      </w:r>
      <w:r>
        <w:rPr>
          <w:color w:val="231F20"/>
          <w:sz w:val="19"/>
          <w:vertAlign w:val="baseline"/>
        </w:rPr>
        <w:t>and</w:t>
      </w:r>
      <w:r>
        <w:rPr>
          <w:color w:val="231F20"/>
          <w:spacing w:val="-11"/>
          <w:sz w:val="19"/>
          <w:vertAlign w:val="baseline"/>
        </w:rPr>
        <w:t> </w:t>
      </w:r>
      <w:r>
        <w:rPr>
          <w:color w:val="231F20"/>
          <w:sz w:val="19"/>
          <w:vertAlign w:val="baseline"/>
        </w:rPr>
        <w:t>public</w:t>
      </w:r>
      <w:r>
        <w:rPr>
          <w:color w:val="231F20"/>
          <w:spacing w:val="-12"/>
          <w:sz w:val="19"/>
          <w:vertAlign w:val="baseline"/>
        </w:rPr>
        <w:t> </w:t>
      </w:r>
      <w:r>
        <w:rPr>
          <w:color w:val="231F20"/>
          <w:sz w:val="19"/>
          <w:vertAlign w:val="baseline"/>
        </w:rPr>
        <w:t>enforcement</w:t>
      </w:r>
      <w:r>
        <w:rPr>
          <w:color w:val="231F20"/>
          <w:spacing w:val="-11"/>
          <w:sz w:val="19"/>
          <w:vertAlign w:val="baseline"/>
        </w:rPr>
        <w:t> </w:t>
      </w:r>
      <w:r>
        <w:rPr>
          <w:color w:val="231F20"/>
          <w:sz w:val="19"/>
          <w:vertAlign w:val="baseline"/>
        </w:rPr>
        <w:t>seek:</w:t>
      </w:r>
      <w:r>
        <w:rPr>
          <w:color w:val="231F20"/>
          <w:spacing w:val="-12"/>
          <w:sz w:val="19"/>
          <w:vertAlign w:val="baseline"/>
        </w:rPr>
        <w:t> </w:t>
      </w:r>
      <w:r>
        <w:rPr>
          <w:color w:val="231F20"/>
          <w:sz w:val="19"/>
          <w:vertAlign w:val="baseline"/>
        </w:rPr>
        <w:t>restoring individual fairness and enhancing a fair market.</w:t>
      </w:r>
    </w:p>
    <w:p>
      <w:pPr>
        <w:pStyle w:val="ListParagraph"/>
        <w:numPr>
          <w:ilvl w:val="0"/>
          <w:numId w:val="4"/>
        </w:numPr>
        <w:tabs>
          <w:tab w:pos="1324" w:val="left" w:leader="none"/>
        </w:tabs>
        <w:spacing w:line="285" w:lineRule="auto" w:before="119" w:after="0"/>
        <w:ind w:left="871" w:right="867" w:firstLine="0"/>
        <w:jc w:val="both"/>
        <w:rPr>
          <w:sz w:val="19"/>
        </w:rPr>
      </w:pPr>
      <w:r>
        <w:rPr>
          <w:color w:val="231F20"/>
          <w:sz w:val="19"/>
        </w:rPr>
        <w:t>The nexus between them is, in my opinion, the principle of weaker party protection.</w:t>
      </w:r>
      <w:r>
        <w:rPr>
          <w:color w:val="231F20"/>
          <w:sz w:val="19"/>
          <w:vertAlign w:val="superscript"/>
        </w:rPr>
        <w:t>32</w:t>
      </w:r>
      <w:r>
        <w:rPr>
          <w:color w:val="231F20"/>
          <w:sz w:val="19"/>
          <w:vertAlign w:val="baseline"/>
        </w:rPr>
        <w:t> The ECJ has frequently declared that </w:t>
      </w:r>
      <w:r>
        <w:rPr>
          <w:rFonts w:ascii="Arial" w:hAnsi="Arial"/>
          <w:color w:val="231F20"/>
          <w:sz w:val="19"/>
          <w:vertAlign w:val="baseline"/>
        </w:rPr>
        <w:t>‘</w:t>
      </w:r>
      <w:r>
        <w:rPr>
          <w:color w:val="231F20"/>
          <w:sz w:val="19"/>
          <w:vertAlign w:val="baseline"/>
        </w:rPr>
        <w:t>[t]he system of </w:t>
      </w:r>
      <w:r>
        <w:rPr>
          <w:color w:val="231F20"/>
          <w:sz w:val="19"/>
          <w:vertAlign w:val="baseline"/>
        </w:rPr>
        <w:t>protection introduced by Directive 93/13 is based on the idea that the consumer is in a</w:t>
      </w:r>
      <w:r>
        <w:rPr>
          <w:color w:val="231F20"/>
          <w:spacing w:val="80"/>
          <w:sz w:val="19"/>
          <w:vertAlign w:val="baseline"/>
        </w:rPr>
        <w:t> </w:t>
      </w:r>
      <w:r>
        <w:rPr>
          <w:color w:val="231F20"/>
          <w:sz w:val="19"/>
          <w:vertAlign w:val="baseline"/>
        </w:rPr>
        <w:t>weak position vis-à-vis the seller or supplier, as regards both bargaining power and</w:t>
      </w:r>
      <w:r>
        <w:rPr>
          <w:color w:val="231F20"/>
          <w:spacing w:val="-1"/>
          <w:sz w:val="19"/>
          <w:vertAlign w:val="baseline"/>
        </w:rPr>
        <w:t> </w:t>
      </w:r>
      <w:r>
        <w:rPr>
          <w:color w:val="231F20"/>
          <w:sz w:val="19"/>
          <w:vertAlign w:val="baseline"/>
        </w:rPr>
        <w:t>level</w:t>
      </w:r>
      <w:r>
        <w:rPr>
          <w:color w:val="231F20"/>
          <w:spacing w:val="-1"/>
          <w:sz w:val="19"/>
          <w:vertAlign w:val="baseline"/>
        </w:rPr>
        <w:t> </w:t>
      </w:r>
      <w:r>
        <w:rPr>
          <w:color w:val="231F20"/>
          <w:sz w:val="19"/>
          <w:vertAlign w:val="baseline"/>
        </w:rPr>
        <w:t>of</w:t>
      </w:r>
      <w:r>
        <w:rPr>
          <w:color w:val="231F20"/>
          <w:spacing w:val="-1"/>
          <w:sz w:val="19"/>
          <w:vertAlign w:val="baseline"/>
        </w:rPr>
        <w:t> </w:t>
      </w:r>
      <w:r>
        <w:rPr>
          <w:color w:val="231F20"/>
          <w:sz w:val="19"/>
          <w:vertAlign w:val="baseline"/>
        </w:rPr>
        <w:t>knowledge</w:t>
      </w:r>
      <w:r>
        <w:rPr>
          <w:rFonts w:ascii="Arial" w:hAnsi="Arial"/>
          <w:color w:val="231F20"/>
          <w:sz w:val="19"/>
          <w:vertAlign w:val="baseline"/>
        </w:rPr>
        <w:t>’</w:t>
      </w:r>
      <w:r>
        <w:rPr>
          <w:color w:val="231F20"/>
          <w:sz w:val="19"/>
          <w:vertAlign w:val="baseline"/>
        </w:rPr>
        <w:t>.</w:t>
      </w:r>
      <w:r>
        <w:rPr>
          <w:color w:val="231F20"/>
          <w:sz w:val="19"/>
          <w:vertAlign w:val="superscript"/>
        </w:rPr>
        <w:t>33</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main</w:t>
      </w:r>
      <w:r>
        <w:rPr>
          <w:color w:val="231F20"/>
          <w:spacing w:val="-1"/>
          <w:sz w:val="19"/>
          <w:vertAlign w:val="baseline"/>
        </w:rPr>
        <w:t> </w:t>
      </w:r>
      <w:r>
        <w:rPr>
          <w:color w:val="231F20"/>
          <w:sz w:val="19"/>
          <w:vertAlign w:val="baseline"/>
        </w:rPr>
        <w:t>consequence</w:t>
      </w:r>
      <w:r>
        <w:rPr>
          <w:color w:val="231F20"/>
          <w:spacing w:val="-1"/>
          <w:sz w:val="19"/>
          <w:vertAlign w:val="baseline"/>
        </w:rPr>
        <w:t> </w:t>
      </w:r>
      <w:r>
        <w:rPr>
          <w:color w:val="231F20"/>
          <w:sz w:val="19"/>
          <w:vertAlign w:val="baseline"/>
        </w:rPr>
        <w:t>of this</w:t>
      </w:r>
      <w:r>
        <w:rPr>
          <w:color w:val="231F20"/>
          <w:spacing w:val="-1"/>
          <w:sz w:val="19"/>
          <w:vertAlign w:val="baseline"/>
        </w:rPr>
        <w:t> </w:t>
      </w:r>
      <w:r>
        <w:rPr>
          <w:color w:val="231F20"/>
          <w:sz w:val="19"/>
          <w:vertAlign w:val="baseline"/>
        </w:rPr>
        <w:t>principle</w:t>
      </w:r>
      <w:r>
        <w:rPr>
          <w:color w:val="231F20"/>
          <w:spacing w:val="-1"/>
          <w:sz w:val="19"/>
          <w:vertAlign w:val="baseline"/>
        </w:rPr>
        <w:t> </w:t>
      </w:r>
      <w:r>
        <w:rPr>
          <w:color w:val="231F20"/>
          <w:sz w:val="19"/>
          <w:vertAlign w:val="baseline"/>
        </w:rPr>
        <w:t>is</w:t>
      </w:r>
      <w:r>
        <w:rPr>
          <w:color w:val="231F20"/>
          <w:spacing w:val="-1"/>
          <w:sz w:val="19"/>
          <w:vertAlign w:val="baseline"/>
        </w:rPr>
        <w:t> </w:t>
      </w:r>
      <w:r>
        <w:rPr>
          <w:color w:val="231F20"/>
          <w:sz w:val="19"/>
          <w:vertAlign w:val="baseline"/>
        </w:rPr>
        <w:t>that</w:t>
      </w:r>
      <w:r>
        <w:rPr>
          <w:color w:val="231F20"/>
          <w:spacing w:val="-1"/>
          <w:sz w:val="19"/>
          <w:vertAlign w:val="baseline"/>
        </w:rPr>
        <w:t> </w:t>
      </w:r>
      <w:r>
        <w:rPr>
          <w:color w:val="231F20"/>
          <w:sz w:val="19"/>
          <w:vertAlign w:val="baseline"/>
        </w:rPr>
        <w:t>freedom of</w:t>
      </w:r>
      <w:r>
        <w:rPr>
          <w:color w:val="231F20"/>
          <w:spacing w:val="-12"/>
          <w:sz w:val="19"/>
          <w:vertAlign w:val="baseline"/>
        </w:rPr>
        <w:t> </w:t>
      </w:r>
      <w:r>
        <w:rPr>
          <w:color w:val="231F20"/>
          <w:sz w:val="19"/>
          <w:vertAlign w:val="baseline"/>
        </w:rPr>
        <w:t>contract,</w:t>
      </w:r>
      <w:r>
        <w:rPr>
          <w:color w:val="231F20"/>
          <w:spacing w:val="-11"/>
          <w:sz w:val="19"/>
          <w:vertAlign w:val="baseline"/>
        </w:rPr>
        <w:t> </w:t>
      </w:r>
      <w:r>
        <w:rPr>
          <w:color w:val="231F20"/>
          <w:sz w:val="19"/>
          <w:vertAlign w:val="baseline"/>
        </w:rPr>
        <w:t>at</w:t>
      </w:r>
      <w:r>
        <w:rPr>
          <w:color w:val="231F20"/>
          <w:spacing w:val="-12"/>
          <w:sz w:val="19"/>
          <w:vertAlign w:val="baseline"/>
        </w:rPr>
        <w:t> </w:t>
      </w:r>
      <w:r>
        <w:rPr>
          <w:color w:val="231F20"/>
          <w:sz w:val="19"/>
          <w:vertAlign w:val="baseline"/>
        </w:rPr>
        <w:t>least</w:t>
      </w:r>
      <w:r>
        <w:rPr>
          <w:color w:val="231F20"/>
          <w:spacing w:val="-11"/>
          <w:sz w:val="19"/>
          <w:vertAlign w:val="baseline"/>
        </w:rPr>
        <w:t> </w:t>
      </w:r>
      <w:r>
        <w:rPr>
          <w:color w:val="231F20"/>
          <w:sz w:val="19"/>
          <w:vertAlign w:val="baseline"/>
        </w:rPr>
        <w:t>under</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UCTD,</w:t>
      </w:r>
      <w:r>
        <w:rPr>
          <w:color w:val="231F20"/>
          <w:spacing w:val="-12"/>
          <w:sz w:val="19"/>
          <w:vertAlign w:val="baseline"/>
        </w:rPr>
        <w:t> </w:t>
      </w:r>
      <w:r>
        <w:rPr>
          <w:color w:val="231F20"/>
          <w:sz w:val="19"/>
          <w:vertAlign w:val="baseline"/>
        </w:rPr>
        <w:t>is</w:t>
      </w:r>
      <w:r>
        <w:rPr>
          <w:color w:val="231F20"/>
          <w:spacing w:val="-11"/>
          <w:sz w:val="19"/>
          <w:vertAlign w:val="baseline"/>
        </w:rPr>
        <w:t> </w:t>
      </w:r>
      <w:r>
        <w:rPr>
          <w:color w:val="231F20"/>
          <w:sz w:val="19"/>
          <w:vertAlign w:val="baseline"/>
        </w:rPr>
        <w:t>not</w:t>
      </w:r>
      <w:r>
        <w:rPr>
          <w:color w:val="231F20"/>
          <w:spacing w:val="-12"/>
          <w:sz w:val="19"/>
          <w:vertAlign w:val="baseline"/>
        </w:rPr>
        <w:t> </w:t>
      </w:r>
      <w:r>
        <w:rPr>
          <w:color w:val="231F20"/>
          <w:sz w:val="19"/>
          <w:vertAlign w:val="baseline"/>
        </w:rPr>
        <w:t>as</w:t>
      </w:r>
      <w:r>
        <w:rPr>
          <w:color w:val="231F20"/>
          <w:spacing w:val="-11"/>
          <w:sz w:val="19"/>
          <w:vertAlign w:val="baseline"/>
        </w:rPr>
        <w:t> </w:t>
      </w:r>
      <w:r>
        <w:rPr>
          <w:color w:val="231F20"/>
          <w:sz w:val="19"/>
          <w:vertAlign w:val="baseline"/>
        </w:rPr>
        <w:t>extensive</w:t>
      </w:r>
      <w:r>
        <w:rPr>
          <w:color w:val="231F20"/>
          <w:spacing w:val="-12"/>
          <w:sz w:val="19"/>
          <w:vertAlign w:val="baseline"/>
        </w:rPr>
        <w:t> </w:t>
      </w:r>
      <w:r>
        <w:rPr>
          <w:color w:val="231F20"/>
          <w:sz w:val="19"/>
          <w:vertAlign w:val="baseline"/>
        </w:rPr>
        <w:t>as</w:t>
      </w:r>
      <w:r>
        <w:rPr>
          <w:color w:val="231F20"/>
          <w:spacing w:val="-11"/>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national</w:t>
      </w:r>
      <w:r>
        <w:rPr>
          <w:color w:val="231F20"/>
          <w:spacing w:val="-12"/>
          <w:sz w:val="19"/>
          <w:vertAlign w:val="baseline"/>
        </w:rPr>
        <w:t> </w:t>
      </w:r>
      <w:r>
        <w:rPr>
          <w:color w:val="231F20"/>
          <w:sz w:val="19"/>
          <w:vertAlign w:val="baseline"/>
        </w:rPr>
        <w:t>law.</w:t>
      </w:r>
      <w:r>
        <w:rPr>
          <w:color w:val="231F20"/>
          <w:spacing w:val="-11"/>
          <w:sz w:val="19"/>
          <w:vertAlign w:val="baseline"/>
        </w:rPr>
        <w:t> </w:t>
      </w:r>
      <w:r>
        <w:rPr>
          <w:color w:val="231F20"/>
          <w:sz w:val="19"/>
          <w:vertAlign w:val="baseline"/>
        </w:rPr>
        <w:t>Scholars have referred to it as </w:t>
      </w:r>
      <w:r>
        <w:rPr>
          <w:rFonts w:ascii="Arial" w:hAnsi="Arial"/>
          <w:color w:val="231F20"/>
          <w:sz w:val="19"/>
          <w:vertAlign w:val="baseline"/>
        </w:rPr>
        <w:t>‘</w:t>
      </w:r>
      <w:r>
        <w:rPr>
          <w:color w:val="231F20"/>
          <w:sz w:val="19"/>
          <w:vertAlign w:val="baseline"/>
        </w:rPr>
        <w:t>framed autonomy</w:t>
      </w:r>
      <w:r>
        <w:rPr>
          <w:rFonts w:ascii="Arial" w:hAnsi="Arial"/>
          <w:color w:val="231F20"/>
          <w:sz w:val="19"/>
          <w:vertAlign w:val="baseline"/>
        </w:rPr>
        <w:t>’</w:t>
      </w:r>
      <w:r>
        <w:rPr>
          <w:color w:val="231F20"/>
          <w:sz w:val="19"/>
          <w:vertAlign w:val="baseline"/>
        </w:rPr>
        <w:t>.</w:t>
      </w:r>
      <w:r>
        <w:rPr>
          <w:color w:val="231F20"/>
          <w:sz w:val="19"/>
          <w:vertAlign w:val="superscript"/>
        </w:rPr>
        <w:t>34</w:t>
      </w:r>
    </w:p>
    <w:p>
      <w:pPr>
        <w:pStyle w:val="ListParagraph"/>
        <w:numPr>
          <w:ilvl w:val="0"/>
          <w:numId w:val="4"/>
        </w:numPr>
        <w:tabs>
          <w:tab w:pos="1324" w:val="left" w:leader="none"/>
        </w:tabs>
        <w:spacing w:line="288" w:lineRule="auto" w:before="121" w:after="0"/>
        <w:ind w:left="871" w:right="870" w:firstLine="0"/>
        <w:jc w:val="both"/>
        <w:rPr>
          <w:sz w:val="19"/>
        </w:rPr>
      </w:pPr>
      <w:r>
        <w:rPr>
          <w:color w:val="231F20"/>
          <w:sz w:val="19"/>
        </w:rPr>
        <w:t>On the one hand, under the UCTD, the principle of weaker party protection justifies the control of terms that are detrimental to the consumer in order to restore the balance between the parties (the contract perspective). On the other hand,</w:t>
      </w:r>
      <w:r>
        <w:rPr>
          <w:color w:val="231F20"/>
          <w:spacing w:val="-12"/>
          <w:sz w:val="19"/>
        </w:rPr>
        <w:t> </w:t>
      </w:r>
      <w:r>
        <w:rPr>
          <w:color w:val="231F20"/>
          <w:sz w:val="19"/>
        </w:rPr>
        <w:t>the</w:t>
      </w:r>
      <w:r>
        <w:rPr>
          <w:color w:val="231F20"/>
          <w:spacing w:val="-11"/>
          <w:sz w:val="19"/>
        </w:rPr>
        <w:t> </w:t>
      </w:r>
      <w:r>
        <w:rPr>
          <w:color w:val="231F20"/>
          <w:sz w:val="19"/>
        </w:rPr>
        <w:t>EU</w:t>
      </w:r>
      <w:r>
        <w:rPr>
          <w:color w:val="231F20"/>
          <w:spacing w:val="-12"/>
          <w:sz w:val="19"/>
        </w:rPr>
        <w:t> </w:t>
      </w:r>
      <w:r>
        <w:rPr>
          <w:color w:val="231F20"/>
          <w:sz w:val="19"/>
        </w:rPr>
        <w:t>legislative</w:t>
      </w:r>
      <w:r>
        <w:rPr>
          <w:color w:val="231F20"/>
          <w:spacing w:val="-11"/>
          <w:sz w:val="19"/>
        </w:rPr>
        <w:t> </w:t>
      </w:r>
      <w:r>
        <w:rPr>
          <w:color w:val="231F20"/>
          <w:sz w:val="19"/>
        </w:rPr>
        <w:t>intervention</w:t>
      </w:r>
      <w:r>
        <w:rPr>
          <w:color w:val="231F20"/>
          <w:spacing w:val="-12"/>
          <w:sz w:val="19"/>
        </w:rPr>
        <w:t> </w:t>
      </w:r>
      <w:r>
        <w:rPr>
          <w:color w:val="231F20"/>
          <w:sz w:val="19"/>
        </w:rPr>
        <w:t>(harmonization)</w:t>
      </w:r>
      <w:r>
        <w:rPr>
          <w:color w:val="231F20"/>
          <w:spacing w:val="-11"/>
          <w:sz w:val="19"/>
        </w:rPr>
        <w:t> </w:t>
      </w:r>
      <w:r>
        <w:rPr>
          <w:color w:val="231F20"/>
          <w:sz w:val="19"/>
        </w:rPr>
        <w:t>in</w:t>
      </w:r>
      <w:r>
        <w:rPr>
          <w:color w:val="231F20"/>
          <w:spacing w:val="-12"/>
          <w:sz w:val="19"/>
        </w:rPr>
        <w:t> </w:t>
      </w:r>
      <w:r>
        <w:rPr>
          <w:color w:val="231F20"/>
          <w:sz w:val="19"/>
        </w:rPr>
        <w:t>this</w:t>
      </w:r>
      <w:r>
        <w:rPr>
          <w:color w:val="231F20"/>
          <w:spacing w:val="-11"/>
          <w:sz w:val="19"/>
        </w:rPr>
        <w:t> </w:t>
      </w:r>
      <w:r>
        <w:rPr>
          <w:color w:val="231F20"/>
          <w:sz w:val="19"/>
        </w:rPr>
        <w:t>field</w:t>
      </w:r>
      <w:r>
        <w:rPr>
          <w:color w:val="231F20"/>
          <w:spacing w:val="-12"/>
          <w:sz w:val="19"/>
        </w:rPr>
        <w:t> </w:t>
      </w:r>
      <w:r>
        <w:rPr>
          <w:color w:val="231F20"/>
          <w:sz w:val="19"/>
        </w:rPr>
        <w:t>is</w:t>
      </w:r>
      <w:r>
        <w:rPr>
          <w:color w:val="231F20"/>
          <w:spacing w:val="-11"/>
          <w:sz w:val="19"/>
        </w:rPr>
        <w:t> </w:t>
      </w:r>
      <w:r>
        <w:rPr>
          <w:color w:val="231F20"/>
          <w:sz w:val="19"/>
        </w:rPr>
        <w:t>justified</w:t>
      </w:r>
      <w:r>
        <w:rPr>
          <w:color w:val="231F20"/>
          <w:spacing w:val="-12"/>
          <w:sz w:val="19"/>
        </w:rPr>
        <w:t> </w:t>
      </w:r>
      <w:r>
        <w:rPr>
          <w:color w:val="231F20"/>
          <w:sz w:val="19"/>
        </w:rPr>
        <w:t>in</w:t>
      </w:r>
      <w:r>
        <w:rPr>
          <w:color w:val="231F20"/>
          <w:spacing w:val="-11"/>
          <w:sz w:val="19"/>
        </w:rPr>
        <w:t> </w:t>
      </w:r>
      <w:r>
        <w:rPr>
          <w:color w:val="231F20"/>
          <w:sz w:val="19"/>
        </w:rPr>
        <w:t>the objective</w:t>
      </w:r>
      <w:r>
        <w:rPr>
          <w:color w:val="231F20"/>
          <w:spacing w:val="-1"/>
          <w:sz w:val="19"/>
        </w:rPr>
        <w:t> </w:t>
      </w:r>
      <w:r>
        <w:rPr>
          <w:color w:val="231F20"/>
          <w:sz w:val="19"/>
        </w:rPr>
        <w:t>of improving the functioning of the internal market (the market</w:t>
      </w:r>
      <w:r>
        <w:rPr>
          <w:color w:val="231F20"/>
          <w:spacing w:val="-1"/>
          <w:sz w:val="19"/>
        </w:rPr>
        <w:t> </w:t>
      </w:r>
      <w:r>
        <w:rPr>
          <w:color w:val="231F20"/>
          <w:sz w:val="19"/>
        </w:rPr>
        <w:t>regula- tion</w:t>
      </w:r>
      <w:r>
        <w:rPr>
          <w:color w:val="231F20"/>
          <w:spacing w:val="10"/>
          <w:sz w:val="19"/>
        </w:rPr>
        <w:t> </w:t>
      </w:r>
      <w:r>
        <w:rPr>
          <w:color w:val="231F20"/>
          <w:sz w:val="19"/>
        </w:rPr>
        <w:t>perspective),</w:t>
      </w:r>
      <w:r>
        <w:rPr>
          <w:color w:val="231F20"/>
          <w:spacing w:val="11"/>
          <w:sz w:val="19"/>
        </w:rPr>
        <w:t> </w:t>
      </w:r>
      <w:r>
        <w:rPr>
          <w:color w:val="231F20"/>
          <w:sz w:val="19"/>
        </w:rPr>
        <w:t>as</w:t>
      </w:r>
      <w:r>
        <w:rPr>
          <w:color w:val="231F20"/>
          <w:spacing w:val="11"/>
          <w:sz w:val="19"/>
        </w:rPr>
        <w:t> </w:t>
      </w:r>
      <w:r>
        <w:rPr>
          <w:color w:val="231F20"/>
          <w:sz w:val="19"/>
        </w:rPr>
        <w:t>it</w:t>
      </w:r>
      <w:r>
        <w:rPr>
          <w:color w:val="231F20"/>
          <w:spacing w:val="10"/>
          <w:sz w:val="19"/>
        </w:rPr>
        <w:t> </w:t>
      </w:r>
      <w:r>
        <w:rPr>
          <w:color w:val="231F20"/>
          <w:sz w:val="19"/>
        </w:rPr>
        <w:t>relied</w:t>
      </w:r>
      <w:r>
        <w:rPr>
          <w:color w:val="231F20"/>
          <w:spacing w:val="12"/>
          <w:sz w:val="19"/>
        </w:rPr>
        <w:t> </w:t>
      </w:r>
      <w:r>
        <w:rPr>
          <w:color w:val="231F20"/>
          <w:sz w:val="19"/>
        </w:rPr>
        <w:t>on</w:t>
      </w:r>
      <w:r>
        <w:rPr>
          <w:color w:val="231F20"/>
          <w:spacing w:val="12"/>
          <w:sz w:val="19"/>
        </w:rPr>
        <w:t> </w:t>
      </w:r>
      <w:r>
        <w:rPr>
          <w:color w:val="231F20"/>
          <w:sz w:val="19"/>
        </w:rPr>
        <w:t>the</w:t>
      </w:r>
      <w:r>
        <w:rPr>
          <w:color w:val="231F20"/>
          <w:spacing w:val="11"/>
          <w:sz w:val="19"/>
        </w:rPr>
        <w:t> </w:t>
      </w:r>
      <w:r>
        <w:rPr>
          <w:color w:val="231F20"/>
          <w:sz w:val="19"/>
        </w:rPr>
        <w:t>then</w:t>
      </w:r>
      <w:r>
        <w:rPr>
          <w:color w:val="231F20"/>
          <w:spacing w:val="11"/>
          <w:sz w:val="19"/>
        </w:rPr>
        <w:t> </w:t>
      </w:r>
      <w:r>
        <w:rPr>
          <w:color w:val="231F20"/>
          <w:sz w:val="19"/>
        </w:rPr>
        <w:t>Article</w:t>
      </w:r>
      <w:r>
        <w:rPr>
          <w:color w:val="231F20"/>
          <w:spacing w:val="12"/>
          <w:sz w:val="19"/>
        </w:rPr>
        <w:t> </w:t>
      </w:r>
      <w:r>
        <w:rPr>
          <w:color w:val="231F20"/>
          <w:sz w:val="19"/>
        </w:rPr>
        <w:t>100A</w:t>
      </w:r>
      <w:r>
        <w:rPr>
          <w:color w:val="231F20"/>
          <w:spacing w:val="11"/>
          <w:sz w:val="19"/>
        </w:rPr>
        <w:t> </w:t>
      </w:r>
      <w:r>
        <w:rPr>
          <w:color w:val="231F20"/>
          <w:sz w:val="19"/>
        </w:rPr>
        <w:t>of</w:t>
      </w:r>
      <w:r>
        <w:rPr>
          <w:color w:val="231F20"/>
          <w:spacing w:val="15"/>
          <w:sz w:val="19"/>
        </w:rPr>
        <w:t> </w:t>
      </w:r>
      <w:r>
        <w:rPr>
          <w:color w:val="231F20"/>
          <w:sz w:val="19"/>
        </w:rPr>
        <w:t>the</w:t>
      </w:r>
      <w:r>
        <w:rPr>
          <w:color w:val="231F20"/>
          <w:spacing w:val="11"/>
          <w:sz w:val="19"/>
        </w:rPr>
        <w:t> </w:t>
      </w:r>
      <w:r>
        <w:rPr>
          <w:color w:val="231F20"/>
          <w:sz w:val="19"/>
        </w:rPr>
        <w:t>Treaty</w:t>
      </w:r>
      <w:r>
        <w:rPr>
          <w:color w:val="231F20"/>
          <w:spacing w:val="11"/>
          <w:sz w:val="19"/>
        </w:rPr>
        <w:t> </w:t>
      </w:r>
      <w:r>
        <w:rPr>
          <w:color w:val="231F20"/>
          <w:spacing w:val="-2"/>
          <w:sz w:val="19"/>
        </w:rPr>
        <w:t>establishing</w:t>
      </w:r>
    </w:p>
    <w:p>
      <w:pPr>
        <w:pStyle w:val="BodyText"/>
        <w:spacing w:before="171"/>
        <w:rPr>
          <w:sz w:val="20"/>
        </w:rPr>
      </w:pPr>
      <w:r>
        <w:rPr/>
        <mc:AlternateContent>
          <mc:Choice Requires="wps">
            <w:drawing>
              <wp:anchor distT="0" distB="0" distL="0" distR="0" allowOverlap="1" layoutInCell="1" locked="0" behindDoc="1" simplePos="0" relativeHeight="487591936">
                <wp:simplePos x="0" y="0"/>
                <wp:positionH relativeFrom="page">
                  <wp:posOffset>1979993</wp:posOffset>
                </wp:positionH>
                <wp:positionV relativeFrom="paragraph">
                  <wp:posOffset>268121</wp:posOffset>
                </wp:positionV>
                <wp:extent cx="1656080" cy="4445"/>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1.111902pt;width:130.394pt;height:.34018pt;mso-position-horizontal-relative:page;mso-position-vertical-relative:paragraph;z-index:-15724544;mso-wrap-distance-left:0;mso-wrap-distance-right:0" id="docshape11"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6" w:val="left" w:leader="none"/>
        </w:tabs>
        <w:spacing w:line="285" w:lineRule="auto" w:before="1" w:after="0"/>
        <w:ind w:left="866" w:right="868" w:hanging="354"/>
        <w:jc w:val="both"/>
        <w:rPr>
          <w:sz w:val="16"/>
        </w:rPr>
      </w:pPr>
      <w:r>
        <w:rPr>
          <w:color w:val="231F20"/>
          <w:sz w:val="16"/>
        </w:rPr>
        <w:t>See M. S</w:t>
      </w:r>
      <w:r>
        <w:rPr>
          <w:color w:val="231F20"/>
          <w:sz w:val="11"/>
        </w:rPr>
        <w:t>AFJAN</w:t>
      </w:r>
      <w:r>
        <w:rPr>
          <w:color w:val="231F20"/>
          <w:sz w:val="16"/>
        </w:rPr>
        <w:t>, </w:t>
      </w:r>
      <w:r>
        <w:rPr>
          <w:rFonts w:ascii="Arial" w:hAnsi="Arial"/>
          <w:color w:val="231F20"/>
          <w:sz w:val="16"/>
        </w:rPr>
        <w:t>‘</w:t>
      </w:r>
      <w:r>
        <w:rPr>
          <w:color w:val="231F20"/>
          <w:sz w:val="16"/>
        </w:rPr>
        <w:t>European Law versus Private Law: Transformation or Deformation of the</w:t>
      </w:r>
      <w:r>
        <w:rPr>
          <w:color w:val="231F20"/>
          <w:spacing w:val="40"/>
          <w:sz w:val="16"/>
        </w:rPr>
        <w:t> </w:t>
      </w:r>
      <w:r>
        <w:rPr>
          <w:color w:val="231F20"/>
          <w:sz w:val="16"/>
        </w:rPr>
        <w:t>Paradigm?</w:t>
      </w:r>
      <w:r>
        <w:rPr>
          <w:rFonts w:ascii="Arial" w:hAnsi="Arial"/>
          <w:color w:val="231F20"/>
          <w:sz w:val="16"/>
        </w:rPr>
        <w:t>’</w:t>
      </w:r>
      <w:r>
        <w:rPr>
          <w:color w:val="231F20"/>
          <w:sz w:val="16"/>
        </w:rPr>
        <w:t>, in</w:t>
      </w:r>
      <w:r>
        <w:rPr>
          <w:color w:val="231F20"/>
          <w:spacing w:val="-1"/>
          <w:sz w:val="16"/>
        </w:rPr>
        <w:t> </w:t>
      </w:r>
      <w:r>
        <w:rPr>
          <w:color w:val="231F20"/>
          <w:sz w:val="16"/>
        </w:rPr>
        <w:t>U.</w:t>
      </w:r>
      <w:r>
        <w:rPr>
          <w:color w:val="231F20"/>
          <w:spacing w:val="-1"/>
          <w:sz w:val="16"/>
        </w:rPr>
        <w:t> </w:t>
      </w:r>
      <w:r>
        <w:rPr>
          <w:color w:val="231F20"/>
          <w:sz w:val="16"/>
        </w:rPr>
        <w:t>Bernitz,</w:t>
      </w:r>
      <w:r>
        <w:rPr>
          <w:color w:val="231F20"/>
          <w:spacing w:val="-1"/>
          <w:sz w:val="16"/>
        </w:rPr>
        <w:t> </w:t>
      </w:r>
      <w:r>
        <w:rPr>
          <w:color w:val="231F20"/>
          <w:sz w:val="16"/>
        </w:rPr>
        <w:t>X.</w:t>
      </w:r>
      <w:r>
        <w:rPr>
          <w:color w:val="231F20"/>
          <w:spacing w:val="-1"/>
          <w:sz w:val="16"/>
        </w:rPr>
        <w:t> </w:t>
      </w:r>
      <w:r>
        <w:rPr>
          <w:color w:val="231F20"/>
          <w:sz w:val="16"/>
        </w:rPr>
        <w:t>Groussot and</w:t>
      </w:r>
      <w:r>
        <w:rPr>
          <w:color w:val="231F20"/>
          <w:spacing w:val="-1"/>
          <w:sz w:val="16"/>
        </w:rPr>
        <w:t> </w:t>
      </w:r>
      <w:r>
        <w:rPr>
          <w:color w:val="231F20"/>
          <w:sz w:val="16"/>
        </w:rPr>
        <w:t>F.</w:t>
      </w:r>
      <w:r>
        <w:rPr>
          <w:color w:val="231F20"/>
          <w:spacing w:val="-1"/>
          <w:sz w:val="16"/>
        </w:rPr>
        <w:t> </w:t>
      </w:r>
      <w:r>
        <w:rPr>
          <w:color w:val="231F20"/>
          <w:sz w:val="16"/>
        </w:rPr>
        <w:t>Schulyok</w:t>
      </w:r>
      <w:r>
        <w:rPr>
          <w:color w:val="231F20"/>
          <w:spacing w:val="-2"/>
          <w:sz w:val="16"/>
        </w:rPr>
        <w:t> </w:t>
      </w:r>
      <w:r>
        <w:rPr>
          <w:color w:val="231F20"/>
          <w:sz w:val="16"/>
        </w:rPr>
        <w:t>(eds),</w:t>
      </w:r>
      <w:r>
        <w:rPr>
          <w:color w:val="231F20"/>
          <w:spacing w:val="-1"/>
          <w:sz w:val="16"/>
        </w:rPr>
        <w:t> </w:t>
      </w:r>
      <w:r>
        <w:rPr>
          <w:i/>
          <w:color w:val="231F20"/>
          <w:sz w:val="16"/>
        </w:rPr>
        <w:t>General</w:t>
      </w:r>
      <w:r>
        <w:rPr>
          <w:i/>
          <w:color w:val="231F20"/>
          <w:spacing w:val="-1"/>
          <w:sz w:val="16"/>
        </w:rPr>
        <w:t> </w:t>
      </w:r>
      <w:r>
        <w:rPr>
          <w:i/>
          <w:color w:val="231F20"/>
          <w:sz w:val="16"/>
        </w:rPr>
        <w:t>Principles</w:t>
      </w:r>
      <w:r>
        <w:rPr>
          <w:i/>
          <w:color w:val="231F20"/>
          <w:spacing w:val="-1"/>
          <w:sz w:val="16"/>
        </w:rPr>
        <w:t> </w:t>
      </w:r>
      <w:r>
        <w:rPr>
          <w:i/>
          <w:color w:val="231F20"/>
          <w:sz w:val="16"/>
        </w:rPr>
        <w:t>of</w:t>
      </w:r>
      <w:r>
        <w:rPr>
          <w:i/>
          <w:color w:val="231F20"/>
          <w:spacing w:val="-1"/>
          <w:sz w:val="16"/>
        </w:rPr>
        <w:t> </w:t>
      </w:r>
      <w:r>
        <w:rPr>
          <w:i/>
          <w:color w:val="231F20"/>
          <w:sz w:val="16"/>
        </w:rPr>
        <w:t>EU Law and</w:t>
      </w:r>
      <w:r>
        <w:rPr>
          <w:i/>
          <w:color w:val="231F20"/>
          <w:spacing w:val="40"/>
          <w:sz w:val="16"/>
        </w:rPr>
        <w:t> </w:t>
      </w:r>
      <w:r>
        <w:rPr>
          <w:i/>
          <w:color w:val="231F20"/>
          <w:sz w:val="16"/>
        </w:rPr>
        <w:t>European Private Law </w:t>
      </w:r>
      <w:r>
        <w:rPr>
          <w:color w:val="231F20"/>
          <w:sz w:val="16"/>
        </w:rPr>
        <w:t>(Alphen aan den Rijn: Kluwer 2013), p (155) at 164 ff.</w:t>
      </w:r>
    </w:p>
    <w:p>
      <w:pPr>
        <w:pStyle w:val="ListParagraph"/>
        <w:numPr>
          <w:ilvl w:val="0"/>
          <w:numId w:val="3"/>
        </w:numPr>
        <w:tabs>
          <w:tab w:pos="865" w:val="left" w:leader="none"/>
        </w:tabs>
        <w:spacing w:line="240" w:lineRule="auto" w:before="4" w:after="0"/>
        <w:ind w:left="865" w:right="0" w:hanging="353"/>
        <w:jc w:val="both"/>
        <w:rPr>
          <w:sz w:val="16"/>
        </w:rPr>
      </w:pPr>
      <w:r>
        <w:rPr>
          <w:color w:val="231F20"/>
          <w:spacing w:val="-4"/>
          <w:sz w:val="16"/>
        </w:rPr>
        <w:t>Compare</w:t>
      </w:r>
      <w:r>
        <w:rPr>
          <w:color w:val="231F20"/>
          <w:spacing w:val="-2"/>
          <w:sz w:val="16"/>
        </w:rPr>
        <w:t> </w:t>
      </w:r>
      <w:r>
        <w:rPr>
          <w:color w:val="231F20"/>
          <w:spacing w:val="-4"/>
          <w:sz w:val="16"/>
        </w:rPr>
        <w:t>the</w:t>
      </w:r>
      <w:r>
        <w:rPr>
          <w:color w:val="231F20"/>
          <w:spacing w:val="1"/>
          <w:sz w:val="16"/>
        </w:rPr>
        <w:t> </w:t>
      </w:r>
      <w:r>
        <w:rPr>
          <w:color w:val="231F20"/>
          <w:spacing w:val="-4"/>
          <w:sz w:val="16"/>
        </w:rPr>
        <w:t>situation</w:t>
      </w:r>
      <w:r>
        <w:rPr>
          <w:color w:val="231F20"/>
          <w:sz w:val="16"/>
        </w:rPr>
        <w:t> </w:t>
      </w:r>
      <w:r>
        <w:rPr>
          <w:color w:val="231F20"/>
          <w:spacing w:val="-4"/>
          <w:sz w:val="16"/>
        </w:rPr>
        <w:t>following</w:t>
      </w:r>
      <w:r>
        <w:rPr>
          <w:color w:val="231F20"/>
          <w:spacing w:val="-2"/>
          <w:sz w:val="16"/>
        </w:rPr>
        <w:t> </w:t>
      </w:r>
      <w:r>
        <w:rPr>
          <w:color w:val="231F20"/>
          <w:spacing w:val="-4"/>
          <w:sz w:val="16"/>
        </w:rPr>
        <w:t>the</w:t>
      </w:r>
      <w:r>
        <w:rPr>
          <w:color w:val="231F20"/>
          <w:spacing w:val="-1"/>
          <w:sz w:val="16"/>
        </w:rPr>
        <w:t> </w:t>
      </w:r>
      <w:r>
        <w:rPr>
          <w:color w:val="231F20"/>
          <w:spacing w:val="-4"/>
          <w:sz w:val="16"/>
        </w:rPr>
        <w:t>Omnibus</w:t>
      </w:r>
      <w:r>
        <w:rPr>
          <w:color w:val="231F20"/>
          <w:sz w:val="16"/>
        </w:rPr>
        <w:t> </w:t>
      </w:r>
      <w:r>
        <w:rPr>
          <w:color w:val="231F20"/>
          <w:spacing w:val="-4"/>
          <w:sz w:val="16"/>
        </w:rPr>
        <w:t>Directive</w:t>
      </w:r>
      <w:r>
        <w:rPr>
          <w:color w:val="231F20"/>
          <w:spacing w:val="1"/>
          <w:sz w:val="16"/>
        </w:rPr>
        <w:t> </w:t>
      </w:r>
      <w:r>
        <w:rPr>
          <w:color w:val="231F20"/>
          <w:spacing w:val="-4"/>
          <w:sz w:val="16"/>
        </w:rPr>
        <w:t>(Dir.</w:t>
      </w:r>
      <w:r>
        <w:rPr>
          <w:color w:val="231F20"/>
          <w:spacing w:val="1"/>
          <w:sz w:val="16"/>
        </w:rPr>
        <w:t> </w:t>
      </w:r>
      <w:r>
        <w:rPr>
          <w:color w:val="231F20"/>
          <w:spacing w:val="-4"/>
          <w:sz w:val="16"/>
        </w:rPr>
        <w:t>2019/2161)</w:t>
      </w:r>
      <w:r>
        <w:rPr>
          <w:color w:val="231F20"/>
          <w:spacing w:val="-1"/>
          <w:sz w:val="16"/>
        </w:rPr>
        <w:t> </w:t>
      </w:r>
      <w:r>
        <w:rPr>
          <w:color w:val="231F20"/>
          <w:spacing w:val="-4"/>
          <w:sz w:val="16"/>
        </w:rPr>
        <w:t>to</w:t>
      </w:r>
      <w:r>
        <w:rPr>
          <w:color w:val="231F20"/>
          <w:spacing w:val="-3"/>
          <w:sz w:val="16"/>
        </w:rPr>
        <w:t> </w:t>
      </w:r>
      <w:r>
        <w:rPr>
          <w:color w:val="231F20"/>
          <w:spacing w:val="-4"/>
          <w:sz w:val="16"/>
        </w:rPr>
        <w:t>that</w:t>
      </w:r>
      <w:r>
        <w:rPr>
          <w:color w:val="231F20"/>
          <w:spacing w:val="1"/>
          <w:sz w:val="16"/>
        </w:rPr>
        <w:t> </w:t>
      </w:r>
      <w:r>
        <w:rPr>
          <w:color w:val="231F20"/>
          <w:spacing w:val="-4"/>
          <w:sz w:val="16"/>
        </w:rPr>
        <w:t>described</w:t>
      </w:r>
      <w:r>
        <w:rPr>
          <w:color w:val="231F20"/>
          <w:spacing w:val="-2"/>
          <w:sz w:val="16"/>
        </w:rPr>
        <w:t> </w:t>
      </w:r>
      <w:r>
        <w:rPr>
          <w:color w:val="231F20"/>
          <w:spacing w:val="-4"/>
          <w:sz w:val="16"/>
        </w:rPr>
        <w:t>in</w:t>
      </w:r>
      <w:r>
        <w:rPr>
          <w:color w:val="231F20"/>
          <w:sz w:val="16"/>
        </w:rPr>
        <w:t> </w:t>
      </w:r>
      <w:r>
        <w:rPr>
          <w:color w:val="231F20"/>
          <w:spacing w:val="-4"/>
          <w:sz w:val="16"/>
        </w:rPr>
        <w:t>2015</w:t>
      </w:r>
      <w:r>
        <w:rPr>
          <w:color w:val="231F20"/>
          <w:spacing w:val="-1"/>
          <w:sz w:val="16"/>
        </w:rPr>
        <w:t> </w:t>
      </w:r>
      <w:r>
        <w:rPr>
          <w:color w:val="231F20"/>
          <w:spacing w:val="-5"/>
          <w:sz w:val="16"/>
        </w:rPr>
        <w:t>by</w:t>
      </w:r>
    </w:p>
    <w:p>
      <w:pPr>
        <w:spacing w:line="285" w:lineRule="auto" w:before="34"/>
        <w:ind w:left="866" w:right="867" w:firstLine="0"/>
        <w:jc w:val="both"/>
        <w:rPr>
          <w:sz w:val="16"/>
        </w:rPr>
      </w:pPr>
      <w:r>
        <w:rPr>
          <w:color w:val="231F20"/>
          <w:sz w:val="16"/>
        </w:rPr>
        <w:t>O.O.</w:t>
      </w:r>
      <w:r>
        <w:rPr>
          <w:color w:val="231F20"/>
          <w:spacing w:val="-10"/>
          <w:sz w:val="16"/>
        </w:rPr>
        <w:t> </w:t>
      </w:r>
      <w:r>
        <w:rPr>
          <w:color w:val="231F20"/>
          <w:sz w:val="16"/>
        </w:rPr>
        <w:t>C</w:t>
      </w:r>
      <w:r>
        <w:rPr>
          <w:color w:val="231F20"/>
          <w:sz w:val="11"/>
        </w:rPr>
        <w:t>HEREDNYCHENKO</w:t>
      </w:r>
      <w:r>
        <w:rPr>
          <w:color w:val="231F20"/>
          <w:sz w:val="16"/>
        </w:rPr>
        <w:t>,</w:t>
      </w:r>
      <w:r>
        <w:rPr>
          <w:color w:val="231F20"/>
          <w:spacing w:val="-10"/>
          <w:sz w:val="16"/>
        </w:rPr>
        <w:t> </w:t>
      </w:r>
      <w:r>
        <w:rPr>
          <w:rFonts w:ascii="Arial" w:hAnsi="Arial"/>
          <w:color w:val="231F20"/>
          <w:sz w:val="16"/>
        </w:rPr>
        <w:t>‘</w:t>
      </w:r>
      <w:r>
        <w:rPr>
          <w:color w:val="231F20"/>
          <w:sz w:val="16"/>
        </w:rPr>
        <w:t>Public</w:t>
      </w:r>
      <w:r>
        <w:rPr>
          <w:color w:val="231F20"/>
          <w:spacing w:val="-9"/>
          <w:sz w:val="16"/>
        </w:rPr>
        <w:t> </w:t>
      </w:r>
      <w:r>
        <w:rPr>
          <w:color w:val="231F20"/>
          <w:sz w:val="16"/>
        </w:rPr>
        <w:t>and</w:t>
      </w:r>
      <w:r>
        <w:rPr>
          <w:color w:val="231F20"/>
          <w:spacing w:val="-10"/>
          <w:sz w:val="16"/>
        </w:rPr>
        <w:t> </w:t>
      </w:r>
      <w:r>
        <w:rPr>
          <w:color w:val="231F20"/>
          <w:sz w:val="16"/>
        </w:rPr>
        <w:t>Private</w:t>
      </w:r>
      <w:r>
        <w:rPr>
          <w:color w:val="231F20"/>
          <w:spacing w:val="-10"/>
          <w:sz w:val="16"/>
        </w:rPr>
        <w:t> </w:t>
      </w:r>
      <w:r>
        <w:rPr>
          <w:color w:val="231F20"/>
          <w:sz w:val="16"/>
        </w:rPr>
        <w:t>Enforcement</w:t>
      </w:r>
      <w:r>
        <w:rPr>
          <w:color w:val="231F20"/>
          <w:spacing w:val="-9"/>
          <w:sz w:val="16"/>
        </w:rPr>
        <w:t> </w:t>
      </w:r>
      <w:r>
        <w:rPr>
          <w:color w:val="231F20"/>
          <w:sz w:val="16"/>
        </w:rPr>
        <w:t>of</w:t>
      </w:r>
      <w:r>
        <w:rPr>
          <w:color w:val="231F20"/>
          <w:spacing w:val="-10"/>
          <w:sz w:val="16"/>
        </w:rPr>
        <w:t> </w:t>
      </w:r>
      <w:r>
        <w:rPr>
          <w:color w:val="231F20"/>
          <w:sz w:val="16"/>
        </w:rPr>
        <w:t>European</w:t>
      </w:r>
      <w:r>
        <w:rPr>
          <w:color w:val="231F20"/>
          <w:spacing w:val="-10"/>
          <w:sz w:val="16"/>
        </w:rPr>
        <w:t> </w:t>
      </w:r>
      <w:r>
        <w:rPr>
          <w:color w:val="231F20"/>
          <w:sz w:val="16"/>
        </w:rPr>
        <w:t>Private</w:t>
      </w:r>
      <w:r>
        <w:rPr>
          <w:color w:val="231F20"/>
          <w:spacing w:val="-9"/>
          <w:sz w:val="16"/>
        </w:rPr>
        <w:t> </w:t>
      </w:r>
      <w:r>
        <w:rPr>
          <w:color w:val="231F20"/>
          <w:sz w:val="16"/>
        </w:rPr>
        <w:t>Law:</w:t>
      </w:r>
      <w:r>
        <w:rPr>
          <w:color w:val="231F20"/>
          <w:spacing w:val="-10"/>
          <w:sz w:val="16"/>
        </w:rPr>
        <w:t> </w:t>
      </w:r>
      <w:r>
        <w:rPr>
          <w:color w:val="231F20"/>
          <w:sz w:val="16"/>
        </w:rPr>
        <w:t>Perspectives</w:t>
      </w:r>
      <w:r>
        <w:rPr>
          <w:color w:val="231F20"/>
          <w:spacing w:val="-10"/>
          <w:sz w:val="16"/>
        </w:rPr>
        <w:t> </w:t>
      </w:r>
      <w:r>
        <w:rPr>
          <w:color w:val="231F20"/>
          <w:sz w:val="16"/>
        </w:rPr>
        <w:t>and</w:t>
      </w:r>
      <w:r>
        <w:rPr>
          <w:color w:val="231F20"/>
          <w:spacing w:val="40"/>
          <w:sz w:val="16"/>
        </w:rPr>
        <w:t> </w:t>
      </w:r>
      <w:r>
        <w:rPr>
          <w:color w:val="231F20"/>
          <w:sz w:val="16"/>
        </w:rPr>
        <w:t>Challenges</w:t>
      </w:r>
      <w:r>
        <w:rPr>
          <w:rFonts w:ascii="Arial" w:hAnsi="Arial"/>
          <w:color w:val="231F20"/>
          <w:sz w:val="16"/>
        </w:rPr>
        <w:t>’</w:t>
      </w:r>
      <w:r>
        <w:rPr>
          <w:color w:val="231F20"/>
          <w:sz w:val="16"/>
        </w:rPr>
        <w:t>, 23. </w:t>
      </w:r>
      <w:r>
        <w:rPr>
          <w:i/>
          <w:color w:val="231F20"/>
          <w:sz w:val="16"/>
        </w:rPr>
        <w:t>ERPL </w:t>
      </w:r>
      <w:r>
        <w:rPr>
          <w:color w:val="231F20"/>
          <w:sz w:val="16"/>
        </w:rPr>
        <w:t>2015, p (481) at 485</w:t>
      </w:r>
      <w:r>
        <w:rPr>
          <w:rFonts w:ascii="Arial" w:hAnsi="Arial"/>
          <w:color w:val="231F20"/>
          <w:sz w:val="16"/>
        </w:rPr>
        <w:t>–</w:t>
      </w:r>
      <w:r>
        <w:rPr>
          <w:color w:val="231F20"/>
          <w:sz w:val="16"/>
        </w:rPr>
        <w:t>486, doi: 10.54648/ERPL2015034. For an updated</w:t>
      </w:r>
      <w:r>
        <w:rPr>
          <w:color w:val="231F20"/>
          <w:spacing w:val="40"/>
          <w:sz w:val="16"/>
        </w:rPr>
        <w:t> </w:t>
      </w:r>
      <w:r>
        <w:rPr>
          <w:color w:val="231F20"/>
          <w:sz w:val="16"/>
        </w:rPr>
        <w:t>picture</w:t>
      </w:r>
      <w:r>
        <w:rPr>
          <w:color w:val="231F20"/>
          <w:spacing w:val="-4"/>
          <w:sz w:val="16"/>
        </w:rPr>
        <w:t> </w:t>
      </w:r>
      <w:r>
        <w:rPr>
          <w:color w:val="231F20"/>
          <w:sz w:val="16"/>
        </w:rPr>
        <w:t>see</w:t>
      </w:r>
      <w:r>
        <w:rPr>
          <w:color w:val="231F20"/>
          <w:spacing w:val="-3"/>
          <w:sz w:val="16"/>
        </w:rPr>
        <w:t> </w:t>
      </w:r>
      <w:r>
        <w:rPr>
          <w:color w:val="231F20"/>
          <w:sz w:val="16"/>
        </w:rPr>
        <w:t>O.O.</w:t>
      </w:r>
      <w:r>
        <w:rPr>
          <w:color w:val="231F20"/>
          <w:spacing w:val="-3"/>
          <w:sz w:val="16"/>
        </w:rPr>
        <w:t> </w:t>
      </w:r>
      <w:r>
        <w:rPr>
          <w:color w:val="231F20"/>
          <w:sz w:val="16"/>
        </w:rPr>
        <w:t>C</w:t>
      </w:r>
      <w:r>
        <w:rPr>
          <w:color w:val="231F20"/>
          <w:sz w:val="11"/>
        </w:rPr>
        <w:t>HEREDNYCHENKO</w:t>
      </w:r>
      <w:r>
        <w:rPr>
          <w:color w:val="231F20"/>
          <w:sz w:val="16"/>
        </w:rPr>
        <w:t>,</w:t>
      </w:r>
      <w:r>
        <w:rPr>
          <w:color w:val="231F20"/>
          <w:spacing w:val="-3"/>
          <w:sz w:val="16"/>
        </w:rPr>
        <w:t> </w:t>
      </w:r>
      <w:r>
        <w:rPr>
          <w:rFonts w:ascii="Arial" w:hAnsi="Arial"/>
          <w:color w:val="231F20"/>
          <w:sz w:val="16"/>
        </w:rPr>
        <w:t>‘</w:t>
      </w:r>
      <w:r>
        <w:rPr>
          <w:color w:val="231F20"/>
          <w:sz w:val="16"/>
        </w:rPr>
        <w:t>Private</w:t>
      </w:r>
      <w:r>
        <w:rPr>
          <w:color w:val="231F20"/>
          <w:spacing w:val="-3"/>
          <w:sz w:val="16"/>
        </w:rPr>
        <w:t> </w:t>
      </w:r>
      <w:r>
        <w:rPr>
          <w:color w:val="231F20"/>
          <w:sz w:val="16"/>
        </w:rPr>
        <w:t>enforcement</w:t>
      </w:r>
      <w:r>
        <w:rPr>
          <w:color w:val="231F20"/>
          <w:spacing w:val="-4"/>
          <w:sz w:val="16"/>
        </w:rPr>
        <w:t> </w:t>
      </w:r>
      <w:r>
        <w:rPr>
          <w:color w:val="231F20"/>
          <w:sz w:val="16"/>
        </w:rPr>
        <w:t>of</w:t>
      </w:r>
      <w:r>
        <w:rPr>
          <w:color w:val="231F20"/>
          <w:spacing w:val="-5"/>
          <w:sz w:val="16"/>
        </w:rPr>
        <w:t> </w:t>
      </w:r>
      <w:r>
        <w:rPr>
          <w:color w:val="231F20"/>
          <w:sz w:val="16"/>
        </w:rPr>
        <w:t>EU</w:t>
      </w:r>
      <w:r>
        <w:rPr>
          <w:color w:val="231F20"/>
          <w:spacing w:val="-4"/>
          <w:sz w:val="16"/>
        </w:rPr>
        <w:t> </w:t>
      </w:r>
      <w:r>
        <w:rPr>
          <w:color w:val="231F20"/>
          <w:sz w:val="16"/>
        </w:rPr>
        <w:t>law</w:t>
      </w:r>
      <w:r>
        <w:rPr>
          <w:rFonts w:ascii="Arial" w:hAnsi="Arial"/>
          <w:color w:val="231F20"/>
          <w:sz w:val="16"/>
        </w:rPr>
        <w:t>’</w:t>
      </w:r>
      <w:r>
        <w:rPr>
          <w:color w:val="231F20"/>
          <w:sz w:val="16"/>
        </w:rPr>
        <w:t>,</w:t>
      </w:r>
      <w:r>
        <w:rPr>
          <w:color w:val="231F20"/>
          <w:spacing w:val="-3"/>
          <w:sz w:val="16"/>
        </w:rPr>
        <w:t> </w:t>
      </w:r>
      <w:r>
        <w:rPr>
          <w:color w:val="231F20"/>
          <w:sz w:val="16"/>
        </w:rPr>
        <w:t>in</w:t>
      </w:r>
      <w:r>
        <w:rPr>
          <w:color w:val="231F20"/>
          <w:spacing w:val="-3"/>
          <w:sz w:val="16"/>
        </w:rPr>
        <w:t> </w:t>
      </w:r>
      <w:r>
        <w:rPr>
          <w:color w:val="231F20"/>
          <w:sz w:val="16"/>
        </w:rPr>
        <w:t>M.</w:t>
      </w:r>
      <w:r>
        <w:rPr>
          <w:color w:val="231F20"/>
          <w:spacing w:val="-5"/>
          <w:sz w:val="16"/>
        </w:rPr>
        <w:t> </w:t>
      </w:r>
      <w:r>
        <w:rPr>
          <w:color w:val="231F20"/>
          <w:sz w:val="16"/>
        </w:rPr>
        <w:t>Scholten</w:t>
      </w:r>
      <w:r>
        <w:rPr>
          <w:color w:val="231F20"/>
          <w:spacing w:val="-5"/>
          <w:sz w:val="16"/>
        </w:rPr>
        <w:t> </w:t>
      </w:r>
      <w:r>
        <w:rPr>
          <w:color w:val="231F20"/>
          <w:sz w:val="16"/>
        </w:rPr>
        <w:t>(ed.),</w:t>
      </w:r>
      <w:r>
        <w:rPr>
          <w:color w:val="231F20"/>
          <w:spacing w:val="-4"/>
          <w:sz w:val="16"/>
        </w:rPr>
        <w:t> </w:t>
      </w:r>
      <w:r>
        <w:rPr>
          <w:i/>
          <w:color w:val="231F20"/>
          <w:sz w:val="16"/>
        </w:rPr>
        <w:t>Research</w:t>
      </w:r>
      <w:r>
        <w:rPr>
          <w:i/>
          <w:color w:val="231F20"/>
          <w:spacing w:val="40"/>
          <w:sz w:val="16"/>
        </w:rPr>
        <w:t> </w:t>
      </w:r>
      <w:r>
        <w:rPr>
          <w:i/>
          <w:color w:val="231F20"/>
          <w:spacing w:val="-2"/>
          <w:sz w:val="16"/>
        </w:rPr>
        <w:t>Handbook</w:t>
      </w:r>
      <w:r>
        <w:rPr>
          <w:i/>
          <w:color w:val="231F20"/>
          <w:spacing w:val="-3"/>
          <w:sz w:val="16"/>
        </w:rPr>
        <w:t> </w:t>
      </w:r>
      <w:r>
        <w:rPr>
          <w:i/>
          <w:color w:val="231F20"/>
          <w:spacing w:val="-2"/>
          <w:sz w:val="16"/>
        </w:rPr>
        <w:t>on</w:t>
      </w:r>
      <w:r>
        <w:rPr>
          <w:i/>
          <w:color w:val="231F20"/>
          <w:spacing w:val="-3"/>
          <w:sz w:val="16"/>
        </w:rPr>
        <w:t> </w:t>
      </w:r>
      <w:r>
        <w:rPr>
          <w:i/>
          <w:color w:val="231F20"/>
          <w:spacing w:val="-2"/>
          <w:sz w:val="16"/>
        </w:rPr>
        <w:t>the Enforcement</w:t>
      </w:r>
      <w:r>
        <w:rPr>
          <w:i/>
          <w:color w:val="231F20"/>
          <w:spacing w:val="-3"/>
          <w:sz w:val="16"/>
        </w:rPr>
        <w:t> </w:t>
      </w:r>
      <w:r>
        <w:rPr>
          <w:i/>
          <w:color w:val="231F20"/>
          <w:spacing w:val="-2"/>
          <w:sz w:val="16"/>
        </w:rPr>
        <w:t>of</w:t>
      </w:r>
      <w:r>
        <w:rPr>
          <w:i/>
          <w:color w:val="231F20"/>
          <w:spacing w:val="-4"/>
          <w:sz w:val="16"/>
        </w:rPr>
        <w:t> </w:t>
      </w:r>
      <w:r>
        <w:rPr>
          <w:i/>
          <w:color w:val="231F20"/>
          <w:spacing w:val="-2"/>
          <w:sz w:val="16"/>
        </w:rPr>
        <w:t>EU</w:t>
      </w:r>
      <w:r>
        <w:rPr>
          <w:i/>
          <w:color w:val="231F20"/>
          <w:spacing w:val="-3"/>
          <w:sz w:val="16"/>
        </w:rPr>
        <w:t> </w:t>
      </w:r>
      <w:r>
        <w:rPr>
          <w:i/>
          <w:color w:val="231F20"/>
          <w:spacing w:val="-2"/>
          <w:sz w:val="16"/>
        </w:rPr>
        <w:t>Law </w:t>
      </w:r>
      <w:r>
        <w:rPr>
          <w:color w:val="231F20"/>
          <w:spacing w:val="-2"/>
          <w:sz w:val="16"/>
        </w:rPr>
        <w:t>(Cheltenham:</w:t>
      </w:r>
      <w:r>
        <w:rPr>
          <w:color w:val="231F20"/>
          <w:spacing w:val="-3"/>
          <w:sz w:val="16"/>
        </w:rPr>
        <w:t> </w:t>
      </w:r>
      <w:r>
        <w:rPr>
          <w:color w:val="231F20"/>
          <w:spacing w:val="-2"/>
          <w:sz w:val="16"/>
        </w:rPr>
        <w:t>Edward Elgar</w:t>
      </w:r>
      <w:r>
        <w:rPr>
          <w:color w:val="231F20"/>
          <w:spacing w:val="-3"/>
          <w:sz w:val="16"/>
        </w:rPr>
        <w:t> </w:t>
      </w:r>
      <w:r>
        <w:rPr>
          <w:color w:val="231F20"/>
          <w:spacing w:val="-2"/>
          <w:sz w:val="16"/>
        </w:rPr>
        <w:t>2023),</w:t>
      </w:r>
    </w:p>
    <w:p>
      <w:pPr>
        <w:spacing w:before="0"/>
        <w:ind w:left="866" w:right="0" w:firstLine="0"/>
        <w:jc w:val="both"/>
        <w:rPr>
          <w:sz w:val="16"/>
        </w:rPr>
      </w:pPr>
      <w:r>
        <w:rPr>
          <w:color w:val="231F20"/>
          <w:sz w:val="16"/>
        </w:rPr>
        <w:t>pp</w:t>
      </w:r>
      <w:r>
        <w:rPr>
          <w:color w:val="231F20"/>
          <w:spacing w:val="-8"/>
          <w:sz w:val="16"/>
        </w:rPr>
        <w:t> </w:t>
      </w:r>
      <w:r>
        <w:rPr>
          <w:color w:val="231F20"/>
          <w:spacing w:val="-2"/>
          <w:sz w:val="16"/>
        </w:rPr>
        <w:t>19</w:t>
      </w:r>
      <w:r>
        <w:rPr>
          <w:rFonts w:ascii="Arial" w:hAnsi="Arial"/>
          <w:color w:val="231F20"/>
          <w:spacing w:val="-2"/>
          <w:sz w:val="16"/>
        </w:rPr>
        <w:t>–</w:t>
      </w:r>
      <w:r>
        <w:rPr>
          <w:color w:val="231F20"/>
          <w:spacing w:val="-2"/>
          <w:sz w:val="16"/>
        </w:rPr>
        <w:t>37.</w:t>
      </w:r>
    </w:p>
    <w:p>
      <w:pPr>
        <w:pStyle w:val="ListParagraph"/>
        <w:numPr>
          <w:ilvl w:val="0"/>
          <w:numId w:val="3"/>
        </w:numPr>
        <w:tabs>
          <w:tab w:pos="865" w:val="left" w:leader="none"/>
        </w:tabs>
        <w:spacing w:line="240" w:lineRule="auto" w:before="33" w:after="0"/>
        <w:ind w:left="865" w:right="0" w:hanging="353"/>
        <w:jc w:val="both"/>
        <w:rPr>
          <w:sz w:val="16"/>
        </w:rPr>
      </w:pPr>
      <w:r>
        <w:rPr>
          <w:color w:val="231F20"/>
          <w:sz w:val="16"/>
        </w:rPr>
        <w:t>N.</w:t>
      </w:r>
      <w:r>
        <w:rPr>
          <w:color w:val="231F20"/>
          <w:spacing w:val="-4"/>
          <w:sz w:val="16"/>
        </w:rPr>
        <w:t> </w:t>
      </w:r>
      <w:r>
        <w:rPr>
          <w:color w:val="231F20"/>
          <w:sz w:val="16"/>
        </w:rPr>
        <w:t>R</w:t>
      </w:r>
      <w:r>
        <w:rPr>
          <w:color w:val="231F20"/>
          <w:sz w:val="11"/>
        </w:rPr>
        <w:t>EICH</w:t>
      </w:r>
      <w:r>
        <w:rPr>
          <w:color w:val="231F20"/>
          <w:sz w:val="16"/>
        </w:rPr>
        <w:t>,</w:t>
      </w:r>
      <w:r>
        <w:rPr>
          <w:color w:val="231F20"/>
          <w:spacing w:val="-3"/>
          <w:sz w:val="16"/>
        </w:rPr>
        <w:t> </w:t>
      </w:r>
      <w:r>
        <w:rPr>
          <w:i/>
          <w:color w:val="231F20"/>
          <w:sz w:val="16"/>
        </w:rPr>
        <w:t>General</w:t>
      </w:r>
      <w:r>
        <w:rPr>
          <w:i/>
          <w:color w:val="231F20"/>
          <w:spacing w:val="-4"/>
          <w:sz w:val="16"/>
        </w:rPr>
        <w:t> </w:t>
      </w:r>
      <w:r>
        <w:rPr>
          <w:i/>
          <w:color w:val="231F20"/>
          <w:sz w:val="16"/>
        </w:rPr>
        <w:t>Principles</w:t>
      </w:r>
      <w:r>
        <w:rPr>
          <w:i/>
          <w:color w:val="231F20"/>
          <w:spacing w:val="-3"/>
          <w:sz w:val="16"/>
        </w:rPr>
        <w:t> </w:t>
      </w:r>
      <w:r>
        <w:rPr>
          <w:i/>
          <w:color w:val="231F20"/>
          <w:sz w:val="16"/>
        </w:rPr>
        <w:t>of</w:t>
      </w:r>
      <w:r>
        <w:rPr>
          <w:i/>
          <w:color w:val="231F20"/>
          <w:spacing w:val="-4"/>
          <w:sz w:val="16"/>
        </w:rPr>
        <w:t> </w:t>
      </w:r>
      <w:r>
        <w:rPr>
          <w:i/>
          <w:color w:val="231F20"/>
          <w:sz w:val="16"/>
        </w:rPr>
        <w:t>EU</w:t>
      </w:r>
      <w:r>
        <w:rPr>
          <w:i/>
          <w:color w:val="231F20"/>
          <w:spacing w:val="-2"/>
          <w:sz w:val="16"/>
        </w:rPr>
        <w:t> </w:t>
      </w:r>
      <w:r>
        <w:rPr>
          <w:i/>
          <w:color w:val="231F20"/>
          <w:sz w:val="16"/>
        </w:rPr>
        <w:t>Civil</w:t>
      </w:r>
      <w:r>
        <w:rPr>
          <w:i/>
          <w:color w:val="231F20"/>
          <w:spacing w:val="-4"/>
          <w:sz w:val="16"/>
        </w:rPr>
        <w:t> </w:t>
      </w:r>
      <w:r>
        <w:rPr>
          <w:i/>
          <w:color w:val="231F20"/>
          <w:sz w:val="16"/>
        </w:rPr>
        <w:t>Law</w:t>
      </w:r>
      <w:r>
        <w:rPr>
          <w:i/>
          <w:color w:val="231F20"/>
          <w:spacing w:val="-3"/>
          <w:sz w:val="16"/>
        </w:rPr>
        <w:t> </w:t>
      </w:r>
      <w:r>
        <w:rPr>
          <w:color w:val="231F20"/>
          <w:sz w:val="16"/>
        </w:rPr>
        <w:t>(Cambridge:</w:t>
      </w:r>
      <w:r>
        <w:rPr>
          <w:color w:val="231F20"/>
          <w:spacing w:val="-3"/>
          <w:sz w:val="16"/>
        </w:rPr>
        <w:t> </w:t>
      </w:r>
      <w:r>
        <w:rPr>
          <w:color w:val="231F20"/>
          <w:sz w:val="16"/>
        </w:rPr>
        <w:t>Intersentia</w:t>
      </w:r>
      <w:r>
        <w:rPr>
          <w:color w:val="231F20"/>
          <w:spacing w:val="-4"/>
          <w:sz w:val="16"/>
        </w:rPr>
        <w:t> </w:t>
      </w:r>
      <w:r>
        <w:rPr>
          <w:color w:val="231F20"/>
          <w:sz w:val="16"/>
        </w:rPr>
        <w:t>2014),</w:t>
      </w:r>
      <w:r>
        <w:rPr>
          <w:color w:val="231F20"/>
          <w:spacing w:val="-3"/>
          <w:sz w:val="16"/>
        </w:rPr>
        <w:t> </w:t>
      </w:r>
      <w:r>
        <w:rPr>
          <w:color w:val="231F20"/>
          <w:sz w:val="16"/>
        </w:rPr>
        <w:t>pp</w:t>
      </w:r>
      <w:r>
        <w:rPr>
          <w:color w:val="231F20"/>
          <w:spacing w:val="-4"/>
          <w:sz w:val="16"/>
        </w:rPr>
        <w:t> </w:t>
      </w:r>
      <w:r>
        <w:rPr>
          <w:color w:val="231F20"/>
          <w:spacing w:val="-2"/>
          <w:sz w:val="16"/>
        </w:rPr>
        <w:t>37</w:t>
      </w:r>
      <w:r>
        <w:rPr>
          <w:rFonts w:ascii="Arial" w:hAnsi="Arial"/>
          <w:color w:val="231F20"/>
          <w:spacing w:val="-2"/>
          <w:sz w:val="16"/>
        </w:rPr>
        <w:t>–</w:t>
      </w:r>
      <w:r>
        <w:rPr>
          <w:color w:val="231F20"/>
          <w:spacing w:val="-2"/>
          <w:sz w:val="16"/>
        </w:rPr>
        <w:t>58.</w:t>
      </w:r>
    </w:p>
    <w:p>
      <w:pPr>
        <w:pStyle w:val="ListParagraph"/>
        <w:numPr>
          <w:ilvl w:val="0"/>
          <w:numId w:val="3"/>
        </w:numPr>
        <w:tabs>
          <w:tab w:pos="866" w:val="left" w:leader="none"/>
        </w:tabs>
        <w:spacing w:line="290" w:lineRule="auto" w:before="37" w:after="0"/>
        <w:ind w:left="866" w:right="868" w:hanging="354"/>
        <w:jc w:val="both"/>
        <w:rPr>
          <w:sz w:val="16"/>
        </w:rPr>
      </w:pPr>
      <w:r>
        <w:rPr>
          <w:color w:val="231F20"/>
          <w:sz w:val="16"/>
        </w:rPr>
        <w:t>This understanding is recurrent, having started early in the case law of the ECJ in the ruling 27</w:t>
      </w:r>
      <w:r>
        <w:rPr>
          <w:color w:val="231F20"/>
          <w:spacing w:val="40"/>
          <w:sz w:val="16"/>
        </w:rPr>
        <w:t> </w:t>
      </w:r>
      <w:r>
        <w:rPr>
          <w:color w:val="231F20"/>
          <w:spacing w:val="-2"/>
          <w:sz w:val="16"/>
        </w:rPr>
        <w:t>Jun.</w:t>
      </w:r>
      <w:r>
        <w:rPr>
          <w:color w:val="231F20"/>
          <w:spacing w:val="-2"/>
          <w:sz w:val="16"/>
        </w:rPr>
        <w:t> 2000,</w:t>
      </w:r>
      <w:r>
        <w:rPr>
          <w:color w:val="231F20"/>
          <w:spacing w:val="-2"/>
          <w:sz w:val="16"/>
        </w:rPr>
        <w:t> ECLI:EU:C:2000:346,</w:t>
      </w:r>
      <w:r>
        <w:rPr>
          <w:color w:val="231F20"/>
          <w:spacing w:val="-2"/>
          <w:sz w:val="16"/>
        </w:rPr>
        <w:t> </w:t>
      </w:r>
      <w:r>
        <w:rPr>
          <w:i/>
          <w:color w:val="231F20"/>
          <w:spacing w:val="-2"/>
          <w:sz w:val="16"/>
        </w:rPr>
        <w:t>Océano</w:t>
      </w:r>
      <w:r>
        <w:rPr>
          <w:i/>
          <w:color w:val="231F20"/>
          <w:spacing w:val="-2"/>
          <w:sz w:val="16"/>
        </w:rPr>
        <w:t> Grupo</w:t>
      </w:r>
      <w:r>
        <w:rPr>
          <w:color w:val="231F20"/>
          <w:spacing w:val="-2"/>
          <w:sz w:val="16"/>
        </w:rPr>
        <w:t>,</w:t>
      </w:r>
      <w:r>
        <w:rPr>
          <w:color w:val="231F20"/>
          <w:spacing w:val="-2"/>
          <w:sz w:val="16"/>
        </w:rPr>
        <w:t> </w:t>
      </w:r>
      <w:r>
        <w:rPr>
          <w:color w:val="231F20"/>
          <w:spacing w:val="-2"/>
          <w:sz w:val="16"/>
        </w:rPr>
        <w:t>curia.europa.eu/juris/liste.jsf?num=C-240/98,</w:t>
      </w:r>
      <w:r>
        <w:rPr>
          <w:color w:val="231F20"/>
          <w:spacing w:val="40"/>
          <w:sz w:val="16"/>
        </w:rPr>
        <w:t> </w:t>
      </w:r>
      <w:r>
        <w:rPr>
          <w:color w:val="231F20"/>
          <w:sz w:val="16"/>
        </w:rPr>
        <w:t>para. 25.</w:t>
      </w:r>
    </w:p>
    <w:p>
      <w:pPr>
        <w:pStyle w:val="ListParagraph"/>
        <w:numPr>
          <w:ilvl w:val="0"/>
          <w:numId w:val="3"/>
        </w:numPr>
        <w:tabs>
          <w:tab w:pos="866" w:val="left" w:leader="none"/>
        </w:tabs>
        <w:spacing w:line="283" w:lineRule="auto" w:before="0" w:after="0"/>
        <w:ind w:left="866" w:right="870" w:hanging="354"/>
        <w:jc w:val="both"/>
        <w:rPr>
          <w:sz w:val="16"/>
        </w:rPr>
      </w:pPr>
      <w:r>
        <w:rPr>
          <w:color w:val="231F20"/>
          <w:sz w:val="16"/>
        </w:rPr>
        <w:t>N. R</w:t>
      </w:r>
      <w:r>
        <w:rPr>
          <w:color w:val="231F20"/>
          <w:sz w:val="11"/>
        </w:rPr>
        <w:t>EICH</w:t>
      </w:r>
      <w:r>
        <w:rPr>
          <w:color w:val="231F20"/>
          <w:sz w:val="16"/>
        </w:rPr>
        <w:t>, </w:t>
      </w:r>
      <w:r>
        <w:rPr>
          <w:i/>
          <w:color w:val="231F20"/>
          <w:sz w:val="16"/>
        </w:rPr>
        <w:t>General Principles</w:t>
      </w:r>
      <w:r>
        <w:rPr>
          <w:color w:val="231F20"/>
          <w:sz w:val="16"/>
        </w:rPr>
        <w:t>, pp 17</w:t>
      </w:r>
      <w:r>
        <w:rPr>
          <w:rFonts w:ascii="Arial" w:hAnsi="Arial"/>
          <w:color w:val="231F20"/>
          <w:sz w:val="16"/>
        </w:rPr>
        <w:t>–</w:t>
      </w:r>
      <w:r>
        <w:rPr>
          <w:color w:val="231F20"/>
          <w:sz w:val="16"/>
        </w:rPr>
        <w:t>36. Critically, J. B</w:t>
      </w:r>
      <w:r>
        <w:rPr>
          <w:color w:val="231F20"/>
          <w:sz w:val="11"/>
        </w:rPr>
        <w:t>ASEDOW</w:t>
      </w:r>
      <w:r>
        <w:rPr>
          <w:color w:val="231F20"/>
          <w:sz w:val="16"/>
        </w:rPr>
        <w:t>, </w:t>
      </w:r>
      <w:r>
        <w:rPr>
          <w:rFonts w:ascii="Arial" w:hAnsi="Arial"/>
          <w:color w:val="231F20"/>
          <w:sz w:val="16"/>
        </w:rPr>
        <w:t>‘</w:t>
      </w:r>
      <w:r>
        <w:rPr>
          <w:color w:val="231F20"/>
          <w:sz w:val="16"/>
        </w:rPr>
        <w:t>Freedom of Contract in the</w:t>
      </w:r>
      <w:r>
        <w:rPr>
          <w:color w:val="231F20"/>
          <w:spacing w:val="40"/>
          <w:sz w:val="16"/>
        </w:rPr>
        <w:t> </w:t>
      </w:r>
      <w:r>
        <w:rPr>
          <w:color w:val="231F20"/>
          <w:sz w:val="16"/>
        </w:rPr>
        <w:t>European Union</w:t>
      </w:r>
      <w:r>
        <w:rPr>
          <w:rFonts w:ascii="Arial" w:hAnsi="Arial"/>
          <w:color w:val="231F20"/>
          <w:sz w:val="16"/>
        </w:rPr>
        <w:t>’</w:t>
      </w:r>
      <w:r>
        <w:rPr>
          <w:color w:val="231F20"/>
          <w:sz w:val="16"/>
        </w:rPr>
        <w:t>, 16. </w:t>
      </w:r>
      <w:r>
        <w:rPr>
          <w:i/>
          <w:color w:val="231F20"/>
          <w:sz w:val="16"/>
        </w:rPr>
        <w:t>ERPL </w:t>
      </w:r>
      <w:r>
        <w:rPr>
          <w:color w:val="231F20"/>
          <w:sz w:val="16"/>
        </w:rPr>
        <w:t>2008 p 901.</w:t>
      </w:r>
    </w:p>
    <w:p>
      <w:pPr>
        <w:spacing w:after="0" w:line="283"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the European Economic Community,</w:t>
      </w:r>
      <w:r>
        <w:rPr>
          <w:color w:val="231F20"/>
          <w:vertAlign w:val="superscript"/>
        </w:rPr>
        <w:t>35</w:t>
      </w:r>
      <w:r>
        <w:rPr>
          <w:color w:val="231F20"/>
          <w:vertAlign w:val="baseline"/>
        </w:rPr>
        <w:t> currently Article 114 of the Treaty on </w:t>
      </w:r>
      <w:r>
        <w:rPr>
          <w:color w:val="231F20"/>
          <w:vertAlign w:val="baseline"/>
        </w:rPr>
        <w:t>the Functioning of the European Union (TFUE).</w:t>
      </w:r>
      <w:r>
        <w:rPr>
          <w:color w:val="231F20"/>
          <w:vertAlign w:val="superscript"/>
        </w:rPr>
        <w:t>36</w:t>
      </w:r>
      <w:r>
        <w:rPr>
          <w:color w:val="231F20"/>
          <w:vertAlign w:val="baseline"/>
        </w:rPr>
        <w:t> EU consumer law is rooted in market regulation.</w:t>
      </w:r>
    </w:p>
    <w:p>
      <w:pPr>
        <w:pStyle w:val="ListParagraph"/>
        <w:numPr>
          <w:ilvl w:val="0"/>
          <w:numId w:val="4"/>
        </w:numPr>
        <w:tabs>
          <w:tab w:pos="1324" w:val="left" w:leader="none"/>
        </w:tabs>
        <w:spacing w:line="288" w:lineRule="auto" w:before="120" w:after="0"/>
        <w:ind w:left="871" w:right="867" w:firstLine="0"/>
        <w:jc w:val="both"/>
        <w:rPr>
          <w:sz w:val="19"/>
        </w:rPr>
      </w:pPr>
      <w:r>
        <w:rPr>
          <w:color w:val="231F20"/>
          <w:sz w:val="19"/>
        </w:rPr>
        <w:t>Therefore,</w:t>
      </w:r>
      <w:r>
        <w:rPr>
          <w:color w:val="231F20"/>
          <w:spacing w:val="-5"/>
          <w:sz w:val="19"/>
        </w:rPr>
        <w:t> </w:t>
      </w:r>
      <w:r>
        <w:rPr>
          <w:color w:val="231F20"/>
          <w:sz w:val="19"/>
        </w:rPr>
        <w:t>it</w:t>
      </w:r>
      <w:r>
        <w:rPr>
          <w:color w:val="231F20"/>
          <w:spacing w:val="-5"/>
          <w:sz w:val="19"/>
        </w:rPr>
        <w:t> </w:t>
      </w:r>
      <w:r>
        <w:rPr>
          <w:color w:val="231F20"/>
          <w:sz w:val="19"/>
        </w:rPr>
        <w:t>flows</w:t>
      </w:r>
      <w:r>
        <w:rPr>
          <w:color w:val="231F20"/>
          <w:spacing w:val="-5"/>
          <w:sz w:val="19"/>
        </w:rPr>
        <w:t> </w:t>
      </w:r>
      <w:r>
        <w:rPr>
          <w:color w:val="231F20"/>
          <w:sz w:val="19"/>
        </w:rPr>
        <w:t>naturally</w:t>
      </w:r>
      <w:r>
        <w:rPr>
          <w:color w:val="231F20"/>
          <w:spacing w:val="-7"/>
          <w:sz w:val="19"/>
        </w:rPr>
        <w:t> </w:t>
      </w:r>
      <w:r>
        <w:rPr>
          <w:color w:val="231F20"/>
          <w:sz w:val="19"/>
        </w:rPr>
        <w:t>that</w:t>
      </w:r>
      <w:r>
        <w:rPr>
          <w:color w:val="231F20"/>
          <w:spacing w:val="-5"/>
          <w:sz w:val="19"/>
        </w:rPr>
        <w:t> </w:t>
      </w:r>
      <w:r>
        <w:rPr>
          <w:color w:val="231F20"/>
          <w:sz w:val="19"/>
        </w:rPr>
        <w:t>Article</w:t>
      </w:r>
      <w:r>
        <w:rPr>
          <w:color w:val="231F20"/>
          <w:spacing w:val="-6"/>
          <w:sz w:val="19"/>
        </w:rPr>
        <w:t> </w:t>
      </w:r>
      <w:r>
        <w:rPr>
          <w:color w:val="231F20"/>
          <w:sz w:val="19"/>
        </w:rPr>
        <w:t>6(1)</w:t>
      </w:r>
      <w:r>
        <w:rPr>
          <w:color w:val="231F20"/>
          <w:spacing w:val="-6"/>
          <w:sz w:val="19"/>
        </w:rPr>
        <w:t> </w:t>
      </w:r>
      <w:r>
        <w:rPr>
          <w:color w:val="231F20"/>
          <w:sz w:val="19"/>
        </w:rPr>
        <w:t>UCTD</w:t>
      </w:r>
      <w:r>
        <w:rPr>
          <w:color w:val="231F20"/>
          <w:spacing w:val="-5"/>
          <w:sz w:val="19"/>
        </w:rPr>
        <w:t> </w:t>
      </w:r>
      <w:r>
        <w:rPr>
          <w:color w:val="231F20"/>
          <w:sz w:val="19"/>
        </w:rPr>
        <w:t>enshrines</w:t>
      </w:r>
      <w:r>
        <w:rPr>
          <w:color w:val="231F20"/>
          <w:spacing w:val="-6"/>
          <w:sz w:val="19"/>
        </w:rPr>
        <w:t> </w:t>
      </w:r>
      <w:r>
        <w:rPr>
          <w:color w:val="231F20"/>
          <w:sz w:val="19"/>
        </w:rPr>
        <w:t>an</w:t>
      </w:r>
      <w:r>
        <w:rPr>
          <w:color w:val="231F20"/>
          <w:spacing w:val="-6"/>
          <w:sz w:val="19"/>
        </w:rPr>
        <w:t> </w:t>
      </w:r>
      <w:r>
        <w:rPr>
          <w:color w:val="231F20"/>
          <w:sz w:val="19"/>
        </w:rPr>
        <w:t>EU</w:t>
      </w:r>
      <w:r>
        <w:rPr>
          <w:color w:val="231F20"/>
          <w:spacing w:val="-7"/>
          <w:sz w:val="19"/>
        </w:rPr>
        <w:t> </w:t>
      </w:r>
      <w:r>
        <w:rPr>
          <w:color w:val="231F20"/>
          <w:sz w:val="19"/>
        </w:rPr>
        <w:t>remedy </w:t>
      </w:r>
      <w:r>
        <w:rPr>
          <w:color w:val="231F20"/>
          <w:spacing w:val="-2"/>
          <w:sz w:val="19"/>
        </w:rPr>
        <w:t>that aims</w:t>
      </w:r>
      <w:r>
        <w:rPr>
          <w:color w:val="231F20"/>
          <w:spacing w:val="-4"/>
          <w:sz w:val="19"/>
        </w:rPr>
        <w:t> </w:t>
      </w:r>
      <w:r>
        <w:rPr>
          <w:color w:val="231F20"/>
          <w:spacing w:val="-2"/>
          <w:sz w:val="19"/>
        </w:rPr>
        <w:t>to</w:t>
      </w:r>
      <w:r>
        <w:rPr>
          <w:color w:val="231F20"/>
          <w:spacing w:val="-5"/>
          <w:sz w:val="19"/>
        </w:rPr>
        <w:t> </w:t>
      </w:r>
      <w:r>
        <w:rPr>
          <w:color w:val="231F20"/>
          <w:spacing w:val="-2"/>
          <w:sz w:val="19"/>
        </w:rPr>
        <w:t>achieve</w:t>
      </w:r>
      <w:r>
        <w:rPr>
          <w:color w:val="231F20"/>
          <w:spacing w:val="-6"/>
          <w:sz w:val="19"/>
        </w:rPr>
        <w:t> </w:t>
      </w:r>
      <w:r>
        <w:rPr>
          <w:color w:val="231F20"/>
          <w:spacing w:val="-2"/>
          <w:sz w:val="19"/>
        </w:rPr>
        <w:t>both</w:t>
      </w:r>
      <w:r>
        <w:rPr>
          <w:color w:val="231F20"/>
          <w:spacing w:val="-4"/>
          <w:sz w:val="19"/>
        </w:rPr>
        <w:t> </w:t>
      </w:r>
      <w:r>
        <w:rPr>
          <w:color w:val="231F20"/>
          <w:spacing w:val="-2"/>
          <w:sz w:val="19"/>
        </w:rPr>
        <w:t>contractual</w:t>
      </w:r>
      <w:r>
        <w:rPr>
          <w:color w:val="231F20"/>
          <w:spacing w:val="-4"/>
          <w:sz w:val="19"/>
        </w:rPr>
        <w:t> </w:t>
      </w:r>
      <w:r>
        <w:rPr>
          <w:color w:val="231F20"/>
          <w:spacing w:val="-2"/>
          <w:sz w:val="19"/>
        </w:rPr>
        <w:t>and</w:t>
      </w:r>
      <w:r>
        <w:rPr>
          <w:color w:val="231F20"/>
          <w:spacing w:val="-5"/>
          <w:sz w:val="19"/>
        </w:rPr>
        <w:t> </w:t>
      </w:r>
      <w:r>
        <w:rPr>
          <w:color w:val="231F20"/>
          <w:spacing w:val="-2"/>
          <w:sz w:val="19"/>
        </w:rPr>
        <w:t>regulatory</w:t>
      </w:r>
      <w:r>
        <w:rPr>
          <w:color w:val="231F20"/>
          <w:spacing w:val="-4"/>
          <w:sz w:val="19"/>
        </w:rPr>
        <w:t> </w:t>
      </w:r>
      <w:r>
        <w:rPr>
          <w:color w:val="231F20"/>
          <w:spacing w:val="-2"/>
          <w:sz w:val="19"/>
        </w:rPr>
        <w:t>goals.</w:t>
      </w:r>
      <w:r>
        <w:rPr>
          <w:color w:val="231F20"/>
          <w:spacing w:val="-4"/>
          <w:sz w:val="19"/>
        </w:rPr>
        <w:t> </w:t>
      </w:r>
      <w:r>
        <w:rPr>
          <w:color w:val="231F20"/>
          <w:spacing w:val="-2"/>
          <w:sz w:val="19"/>
        </w:rPr>
        <w:t>Taking</w:t>
      </w:r>
      <w:r>
        <w:rPr>
          <w:color w:val="231F20"/>
          <w:spacing w:val="-5"/>
          <w:sz w:val="19"/>
        </w:rPr>
        <w:t> </w:t>
      </w:r>
      <w:r>
        <w:rPr>
          <w:color w:val="231F20"/>
          <w:spacing w:val="-2"/>
          <w:sz w:val="19"/>
        </w:rPr>
        <w:t>the</w:t>
      </w:r>
      <w:r>
        <w:rPr>
          <w:color w:val="231F20"/>
          <w:spacing w:val="-4"/>
          <w:sz w:val="19"/>
        </w:rPr>
        <w:t> </w:t>
      </w:r>
      <w:r>
        <w:rPr>
          <w:color w:val="231F20"/>
          <w:spacing w:val="-2"/>
          <w:sz w:val="19"/>
        </w:rPr>
        <w:t>protection</w:t>
      </w:r>
      <w:r>
        <w:rPr>
          <w:color w:val="231F20"/>
          <w:spacing w:val="-5"/>
          <w:sz w:val="19"/>
        </w:rPr>
        <w:t> </w:t>
      </w:r>
      <w:r>
        <w:rPr>
          <w:color w:val="231F20"/>
          <w:spacing w:val="-2"/>
          <w:sz w:val="19"/>
        </w:rPr>
        <w:t>of </w:t>
      </w:r>
      <w:r>
        <w:rPr>
          <w:color w:val="231F20"/>
          <w:sz w:val="19"/>
        </w:rPr>
        <w:t>the weaker party as a market regulation aim, the UCTD creates a system of protection that is mandatory in nature. It also seeks to protect an EU public interest, i.e., the functioning of the internal market. The ECJ has underscored that</w:t>
      </w:r>
      <w:r>
        <w:rPr>
          <w:color w:val="231F20"/>
          <w:spacing w:val="-3"/>
          <w:sz w:val="19"/>
        </w:rPr>
        <w:t> </w:t>
      </w:r>
      <w:r>
        <w:rPr>
          <w:color w:val="231F20"/>
          <w:sz w:val="19"/>
        </w:rPr>
        <w:t>the</w:t>
      </w:r>
      <w:r>
        <w:rPr>
          <w:color w:val="231F20"/>
          <w:spacing w:val="-2"/>
          <w:sz w:val="19"/>
        </w:rPr>
        <w:t> </w:t>
      </w:r>
      <w:r>
        <w:rPr>
          <w:color w:val="231F20"/>
          <w:sz w:val="19"/>
        </w:rPr>
        <w:t>UCTD</w:t>
      </w:r>
      <w:r>
        <w:rPr>
          <w:color w:val="231F20"/>
          <w:spacing w:val="-3"/>
          <w:sz w:val="19"/>
        </w:rPr>
        <w:t> </w:t>
      </w:r>
      <w:r>
        <w:rPr>
          <w:color w:val="231F20"/>
          <w:sz w:val="19"/>
        </w:rPr>
        <w:t>is</w:t>
      </w:r>
      <w:r>
        <w:rPr>
          <w:color w:val="231F20"/>
          <w:spacing w:val="-3"/>
          <w:sz w:val="19"/>
        </w:rPr>
        <w:t> </w:t>
      </w:r>
      <w:r>
        <w:rPr>
          <w:color w:val="231F20"/>
          <w:sz w:val="19"/>
        </w:rPr>
        <w:t>essential</w:t>
      </w:r>
      <w:r>
        <w:rPr>
          <w:color w:val="231F20"/>
          <w:spacing w:val="-4"/>
          <w:sz w:val="19"/>
        </w:rPr>
        <w:t> </w:t>
      </w:r>
      <w:r>
        <w:rPr>
          <w:color w:val="231F20"/>
          <w:sz w:val="19"/>
        </w:rPr>
        <w:t>for</w:t>
      </w:r>
      <w:r>
        <w:rPr>
          <w:color w:val="231F20"/>
          <w:spacing w:val="-5"/>
          <w:sz w:val="19"/>
        </w:rPr>
        <w:t> </w:t>
      </w:r>
      <w:r>
        <w:rPr>
          <w:rFonts w:ascii="Arial" w:hAnsi="Arial"/>
          <w:color w:val="231F20"/>
          <w:sz w:val="19"/>
        </w:rPr>
        <w:t>‘</w:t>
      </w:r>
      <w:r>
        <w:rPr>
          <w:color w:val="231F20"/>
          <w:sz w:val="19"/>
        </w:rPr>
        <w:t>raising</w:t>
      </w:r>
      <w:r>
        <w:rPr>
          <w:color w:val="231F20"/>
          <w:spacing w:val="-4"/>
          <w:sz w:val="19"/>
        </w:rPr>
        <w:t> </w:t>
      </w:r>
      <w:r>
        <w:rPr>
          <w:color w:val="231F20"/>
          <w:sz w:val="19"/>
        </w:rPr>
        <w:t>the</w:t>
      </w:r>
      <w:r>
        <w:rPr>
          <w:color w:val="231F20"/>
          <w:spacing w:val="-2"/>
          <w:sz w:val="19"/>
        </w:rPr>
        <w:t> </w:t>
      </w:r>
      <w:r>
        <w:rPr>
          <w:color w:val="231F20"/>
          <w:sz w:val="19"/>
        </w:rPr>
        <w:t>standard</w:t>
      </w:r>
      <w:r>
        <w:rPr>
          <w:color w:val="231F20"/>
          <w:spacing w:val="-2"/>
          <w:sz w:val="19"/>
        </w:rPr>
        <w:t> </w:t>
      </w:r>
      <w:r>
        <w:rPr>
          <w:color w:val="231F20"/>
          <w:sz w:val="19"/>
        </w:rPr>
        <w:t>of living</w:t>
      </w:r>
      <w:r>
        <w:rPr>
          <w:color w:val="231F20"/>
          <w:spacing w:val="-1"/>
          <w:sz w:val="19"/>
        </w:rPr>
        <w:t> </w:t>
      </w:r>
      <w:r>
        <w:rPr>
          <w:color w:val="231F20"/>
          <w:sz w:val="19"/>
        </w:rPr>
        <w:t>and</w:t>
      </w:r>
      <w:r>
        <w:rPr>
          <w:color w:val="231F20"/>
          <w:spacing w:val="-2"/>
          <w:sz w:val="19"/>
        </w:rPr>
        <w:t> </w:t>
      </w:r>
      <w:r>
        <w:rPr>
          <w:color w:val="231F20"/>
          <w:sz w:val="19"/>
        </w:rPr>
        <w:t>the</w:t>
      </w:r>
      <w:r>
        <w:rPr>
          <w:color w:val="231F20"/>
          <w:spacing w:val="-4"/>
          <w:sz w:val="19"/>
        </w:rPr>
        <w:t> </w:t>
      </w:r>
      <w:r>
        <w:rPr>
          <w:color w:val="231F20"/>
          <w:sz w:val="19"/>
        </w:rPr>
        <w:t>quality</w:t>
      </w:r>
      <w:r>
        <w:rPr>
          <w:color w:val="231F20"/>
          <w:spacing w:val="-5"/>
          <w:sz w:val="19"/>
        </w:rPr>
        <w:t> </w:t>
      </w:r>
      <w:r>
        <w:rPr>
          <w:color w:val="231F20"/>
          <w:sz w:val="19"/>
        </w:rPr>
        <w:t>of life throughout the EU</w:t>
      </w:r>
      <w:r>
        <w:rPr>
          <w:rFonts w:ascii="Arial" w:hAnsi="Arial"/>
          <w:color w:val="231F20"/>
          <w:sz w:val="19"/>
        </w:rPr>
        <w:t>’</w:t>
      </w:r>
      <w:r>
        <w:rPr>
          <w:color w:val="231F20"/>
          <w:sz w:val="19"/>
        </w:rPr>
        <w:t>.</w:t>
      </w:r>
      <w:r>
        <w:rPr>
          <w:color w:val="231F20"/>
          <w:sz w:val="19"/>
          <w:vertAlign w:val="superscript"/>
        </w:rPr>
        <w:t>37</w:t>
      </w:r>
      <w:r>
        <w:rPr>
          <w:color w:val="231F20"/>
          <w:sz w:val="19"/>
          <w:vertAlign w:val="baseline"/>
        </w:rPr>
        <w:t> Even though this might feel like an overstatement by </w:t>
      </w:r>
      <w:r>
        <w:rPr>
          <w:color w:val="231F20"/>
          <w:sz w:val="19"/>
          <w:vertAlign w:val="baseline"/>
        </w:rPr>
        <w:t>the Court on the UCTD, it can easily be referred to Article 114 TFUE (and its predecessors), and quite literally, to Article 2 of the Treaty establishing the European Community. It connects to the idea that access to the internal market would result in an improvement in the standard of</w:t>
      </w:r>
      <w:r>
        <w:rPr>
          <w:color w:val="231F20"/>
          <w:spacing w:val="26"/>
          <w:sz w:val="19"/>
          <w:vertAlign w:val="baseline"/>
        </w:rPr>
        <w:t> </w:t>
      </w:r>
      <w:r>
        <w:rPr>
          <w:color w:val="231F20"/>
          <w:sz w:val="19"/>
          <w:vertAlign w:val="baseline"/>
        </w:rPr>
        <w:t>living of consumers.</w:t>
      </w:r>
      <w:r>
        <w:rPr>
          <w:color w:val="231F20"/>
          <w:sz w:val="19"/>
          <w:vertAlign w:val="superscript"/>
        </w:rPr>
        <w:t>38</w:t>
      </w:r>
    </w:p>
    <w:p>
      <w:pPr>
        <w:pStyle w:val="ListParagraph"/>
        <w:numPr>
          <w:ilvl w:val="0"/>
          <w:numId w:val="4"/>
        </w:numPr>
        <w:tabs>
          <w:tab w:pos="1324" w:val="left" w:leader="none"/>
        </w:tabs>
        <w:spacing w:line="288" w:lineRule="auto" w:before="105" w:after="0"/>
        <w:ind w:left="871" w:right="868" w:firstLine="0"/>
        <w:jc w:val="both"/>
        <w:rPr>
          <w:sz w:val="19"/>
        </w:rPr>
      </w:pPr>
      <w:r>
        <w:rPr>
          <w:color w:val="231F20"/>
          <w:sz w:val="19"/>
        </w:rPr>
        <w:t>The</w:t>
      </w:r>
      <w:r>
        <w:rPr>
          <w:color w:val="231F20"/>
          <w:spacing w:val="-12"/>
          <w:sz w:val="19"/>
        </w:rPr>
        <w:t> </w:t>
      </w:r>
      <w:r>
        <w:rPr>
          <w:color w:val="231F20"/>
          <w:sz w:val="19"/>
        </w:rPr>
        <w:t>dual</w:t>
      </w:r>
      <w:r>
        <w:rPr>
          <w:color w:val="231F20"/>
          <w:spacing w:val="-11"/>
          <w:sz w:val="19"/>
        </w:rPr>
        <w:t> </w:t>
      </w:r>
      <w:r>
        <w:rPr>
          <w:color w:val="231F20"/>
          <w:sz w:val="19"/>
        </w:rPr>
        <w:t>aims</w:t>
      </w:r>
      <w:r>
        <w:rPr>
          <w:color w:val="231F20"/>
          <w:spacing w:val="-12"/>
          <w:sz w:val="19"/>
        </w:rPr>
        <w:t> </w:t>
      </w:r>
      <w:r>
        <w:rPr>
          <w:color w:val="231F20"/>
          <w:sz w:val="19"/>
        </w:rPr>
        <w:t>of</w:t>
      </w:r>
      <w:r>
        <w:rPr>
          <w:color w:val="231F20"/>
          <w:spacing w:val="-11"/>
          <w:sz w:val="19"/>
        </w:rPr>
        <w:t> </w:t>
      </w:r>
      <w:r>
        <w:rPr>
          <w:color w:val="231F20"/>
          <w:sz w:val="19"/>
        </w:rPr>
        <w:t>Article</w:t>
      </w:r>
      <w:r>
        <w:rPr>
          <w:color w:val="231F20"/>
          <w:spacing w:val="-12"/>
          <w:sz w:val="19"/>
        </w:rPr>
        <w:t> </w:t>
      </w:r>
      <w:r>
        <w:rPr>
          <w:color w:val="231F20"/>
          <w:sz w:val="19"/>
        </w:rPr>
        <w:t>6(1)</w:t>
      </w:r>
      <w:r>
        <w:rPr>
          <w:color w:val="231F20"/>
          <w:spacing w:val="-11"/>
          <w:sz w:val="19"/>
        </w:rPr>
        <w:t> </w:t>
      </w:r>
      <w:r>
        <w:rPr>
          <w:color w:val="231F20"/>
          <w:sz w:val="19"/>
        </w:rPr>
        <w:t>UCTD</w:t>
      </w:r>
      <w:r>
        <w:rPr>
          <w:color w:val="231F20"/>
          <w:spacing w:val="-12"/>
          <w:sz w:val="19"/>
        </w:rPr>
        <w:t> </w:t>
      </w:r>
      <w:r>
        <w:rPr>
          <w:rFonts w:ascii="Arial" w:hAnsi="Arial"/>
          <w:color w:val="231F20"/>
          <w:sz w:val="19"/>
        </w:rPr>
        <w:t>–</w:t>
      </w:r>
      <w:r>
        <w:rPr>
          <w:rFonts w:ascii="Arial" w:hAnsi="Arial"/>
          <w:color w:val="231F20"/>
          <w:spacing w:val="-13"/>
          <w:sz w:val="19"/>
        </w:rPr>
        <w:t> </w:t>
      </w:r>
      <w:r>
        <w:rPr>
          <w:color w:val="231F20"/>
          <w:sz w:val="19"/>
        </w:rPr>
        <w:t>contractual</w:t>
      </w:r>
      <w:r>
        <w:rPr>
          <w:color w:val="231F20"/>
          <w:spacing w:val="-11"/>
          <w:sz w:val="19"/>
        </w:rPr>
        <w:t> </w:t>
      </w:r>
      <w:r>
        <w:rPr>
          <w:color w:val="231F20"/>
          <w:sz w:val="19"/>
        </w:rPr>
        <w:t>and</w:t>
      </w:r>
      <w:r>
        <w:rPr>
          <w:color w:val="231F20"/>
          <w:spacing w:val="-12"/>
          <w:sz w:val="19"/>
        </w:rPr>
        <w:t> </w:t>
      </w:r>
      <w:r>
        <w:rPr>
          <w:color w:val="231F20"/>
          <w:sz w:val="19"/>
        </w:rPr>
        <w:t>regulatory</w:t>
      </w:r>
      <w:r>
        <w:rPr>
          <w:color w:val="231F20"/>
          <w:sz w:val="19"/>
          <w:vertAlign w:val="superscript"/>
        </w:rPr>
        <w:t>39</w:t>
      </w:r>
      <w:r>
        <w:rPr>
          <w:color w:val="231F20"/>
          <w:spacing w:val="-11"/>
          <w:sz w:val="19"/>
          <w:vertAlign w:val="baseline"/>
        </w:rPr>
        <w:t> </w:t>
      </w:r>
      <w:r>
        <w:rPr>
          <w:rFonts w:ascii="Arial" w:hAnsi="Arial"/>
          <w:color w:val="231F20"/>
          <w:sz w:val="19"/>
          <w:vertAlign w:val="baseline"/>
        </w:rPr>
        <w:t>–</w:t>
      </w:r>
      <w:r>
        <w:rPr>
          <w:rFonts w:ascii="Arial" w:hAnsi="Arial"/>
          <w:color w:val="231F20"/>
          <w:spacing w:val="-13"/>
          <w:sz w:val="19"/>
          <w:vertAlign w:val="baseline"/>
        </w:rPr>
        <w:t> </w:t>
      </w:r>
      <w:r>
        <w:rPr>
          <w:color w:val="231F20"/>
          <w:sz w:val="19"/>
          <w:vertAlign w:val="baseline"/>
        </w:rPr>
        <w:t>make</w:t>
      </w:r>
      <w:r>
        <w:rPr>
          <w:color w:val="231F20"/>
          <w:spacing w:val="-12"/>
          <w:sz w:val="19"/>
          <w:vertAlign w:val="baseline"/>
        </w:rPr>
        <w:t> </w:t>
      </w:r>
      <w:r>
        <w:rPr>
          <w:color w:val="231F20"/>
          <w:sz w:val="19"/>
          <w:vertAlign w:val="baseline"/>
        </w:rPr>
        <w:t>it</w:t>
      </w:r>
      <w:r>
        <w:rPr>
          <w:color w:val="231F20"/>
          <w:spacing w:val="-8"/>
          <w:sz w:val="19"/>
          <w:vertAlign w:val="baseline"/>
        </w:rPr>
        <w:t> </w:t>
      </w:r>
      <w:r>
        <w:rPr>
          <w:color w:val="231F20"/>
          <w:sz w:val="19"/>
          <w:vertAlign w:val="baseline"/>
        </w:rPr>
        <w:t>a mandatory</w:t>
      </w:r>
      <w:r>
        <w:rPr>
          <w:color w:val="231F20"/>
          <w:spacing w:val="-4"/>
          <w:sz w:val="19"/>
          <w:vertAlign w:val="baseline"/>
        </w:rPr>
        <w:t> </w:t>
      </w:r>
      <w:r>
        <w:rPr>
          <w:color w:val="231F20"/>
          <w:sz w:val="19"/>
          <w:vertAlign w:val="baseline"/>
        </w:rPr>
        <w:t>provision</w:t>
      </w:r>
      <w:r>
        <w:rPr>
          <w:color w:val="231F20"/>
          <w:spacing w:val="-5"/>
          <w:sz w:val="19"/>
          <w:vertAlign w:val="baseline"/>
        </w:rPr>
        <w:t> </w:t>
      </w:r>
      <w:r>
        <w:rPr>
          <w:color w:val="231F20"/>
          <w:sz w:val="19"/>
          <w:vertAlign w:val="baseline"/>
        </w:rPr>
        <w:t>with</w:t>
      </w:r>
      <w:r>
        <w:rPr>
          <w:color w:val="231F20"/>
          <w:spacing w:val="-4"/>
          <w:sz w:val="19"/>
          <w:vertAlign w:val="baseline"/>
        </w:rPr>
        <w:t> </w:t>
      </w:r>
      <w:r>
        <w:rPr>
          <w:color w:val="231F20"/>
          <w:sz w:val="19"/>
          <w:vertAlign w:val="baseline"/>
        </w:rPr>
        <w:t>characteristics</w:t>
      </w:r>
      <w:r>
        <w:rPr>
          <w:color w:val="231F20"/>
          <w:spacing w:val="-4"/>
          <w:sz w:val="19"/>
          <w:vertAlign w:val="baseline"/>
        </w:rPr>
        <w:t> </w:t>
      </w:r>
      <w:r>
        <w:rPr>
          <w:color w:val="231F20"/>
          <w:sz w:val="19"/>
          <w:vertAlign w:val="baseline"/>
        </w:rPr>
        <w:t>of</w:t>
      </w:r>
      <w:r>
        <w:rPr>
          <w:color w:val="231F20"/>
          <w:spacing w:val="-3"/>
          <w:sz w:val="19"/>
          <w:vertAlign w:val="baseline"/>
        </w:rPr>
        <w:t> </w:t>
      </w:r>
      <w:r>
        <w:rPr>
          <w:color w:val="231F20"/>
          <w:sz w:val="19"/>
          <w:vertAlign w:val="baseline"/>
        </w:rPr>
        <w:t>EU</w:t>
      </w:r>
      <w:r>
        <w:rPr>
          <w:color w:val="231F20"/>
          <w:spacing w:val="-4"/>
          <w:sz w:val="19"/>
          <w:vertAlign w:val="baseline"/>
        </w:rPr>
        <w:t> </w:t>
      </w:r>
      <w:r>
        <w:rPr>
          <w:color w:val="231F20"/>
          <w:sz w:val="19"/>
          <w:vertAlign w:val="baseline"/>
        </w:rPr>
        <w:t>law,</w:t>
      </w:r>
      <w:r>
        <w:rPr>
          <w:color w:val="231F20"/>
          <w:spacing w:val="-3"/>
          <w:sz w:val="19"/>
          <w:vertAlign w:val="baseline"/>
        </w:rPr>
        <w:t> </w:t>
      </w:r>
      <w:r>
        <w:rPr>
          <w:color w:val="231F20"/>
          <w:sz w:val="19"/>
          <w:vertAlign w:val="baseline"/>
        </w:rPr>
        <w:t>which</w:t>
      </w:r>
      <w:r>
        <w:rPr>
          <w:color w:val="231F20"/>
          <w:spacing w:val="-4"/>
          <w:sz w:val="19"/>
          <w:vertAlign w:val="baseline"/>
        </w:rPr>
        <w:t> </w:t>
      </w:r>
      <w:r>
        <w:rPr>
          <w:color w:val="231F20"/>
          <w:sz w:val="19"/>
          <w:vertAlign w:val="baseline"/>
        </w:rPr>
        <w:t>could</w:t>
      </w:r>
      <w:r>
        <w:rPr>
          <w:color w:val="231F20"/>
          <w:spacing w:val="-4"/>
          <w:sz w:val="19"/>
          <w:vertAlign w:val="baseline"/>
        </w:rPr>
        <w:t> </w:t>
      </w:r>
      <w:r>
        <w:rPr>
          <w:color w:val="231F20"/>
          <w:sz w:val="19"/>
          <w:vertAlign w:val="baseline"/>
        </w:rPr>
        <w:t>explain</w:t>
      </w:r>
      <w:r>
        <w:rPr>
          <w:color w:val="231F20"/>
          <w:spacing w:val="-4"/>
          <w:sz w:val="19"/>
          <w:vertAlign w:val="baseline"/>
        </w:rPr>
        <w:t> </w:t>
      </w:r>
      <w:r>
        <w:rPr>
          <w:color w:val="231F20"/>
          <w:sz w:val="19"/>
          <w:vertAlign w:val="baseline"/>
        </w:rPr>
        <w:t>its</w:t>
      </w:r>
      <w:r>
        <w:rPr>
          <w:color w:val="231F20"/>
          <w:spacing w:val="-4"/>
          <w:sz w:val="19"/>
          <w:vertAlign w:val="baseline"/>
        </w:rPr>
        <w:t> </w:t>
      </w:r>
      <w:r>
        <w:rPr>
          <w:color w:val="231F20"/>
          <w:sz w:val="19"/>
          <w:vertAlign w:val="baseline"/>
        </w:rPr>
        <w:t>other features, as interpreted by the ECJ. They will be addressed in the subsequent sections of this paper.</w:t>
      </w:r>
    </w:p>
    <w:p>
      <w:pPr>
        <w:pStyle w:val="BodyText"/>
        <w:spacing w:before="56"/>
      </w:pPr>
    </w:p>
    <w:p>
      <w:pPr>
        <w:pStyle w:val="Heading1"/>
        <w:numPr>
          <w:ilvl w:val="0"/>
          <w:numId w:val="1"/>
        </w:numPr>
        <w:tabs>
          <w:tab w:pos="865" w:val="left" w:leader="none"/>
        </w:tabs>
        <w:spacing w:line="240" w:lineRule="auto" w:before="0" w:after="0"/>
        <w:ind w:left="865" w:right="0" w:hanging="353"/>
        <w:jc w:val="left"/>
      </w:pPr>
      <w:r>
        <w:rPr>
          <w:color w:val="231F20"/>
          <w:w w:val="105"/>
        </w:rPr>
        <w:t>A</w:t>
      </w:r>
      <w:r>
        <w:rPr>
          <w:color w:val="231F20"/>
          <w:spacing w:val="12"/>
          <w:w w:val="105"/>
        </w:rPr>
        <w:t> </w:t>
      </w:r>
      <w:r>
        <w:rPr>
          <w:color w:val="231F20"/>
          <w:w w:val="105"/>
        </w:rPr>
        <w:t>Remedy</w:t>
      </w:r>
      <w:r>
        <w:rPr>
          <w:color w:val="231F20"/>
          <w:spacing w:val="13"/>
          <w:w w:val="105"/>
        </w:rPr>
        <w:t> </w:t>
      </w:r>
      <w:r>
        <w:rPr>
          <w:color w:val="231F20"/>
          <w:w w:val="105"/>
        </w:rPr>
        <w:t>for</w:t>
      </w:r>
      <w:r>
        <w:rPr>
          <w:color w:val="231F20"/>
          <w:spacing w:val="13"/>
          <w:w w:val="105"/>
        </w:rPr>
        <w:t> </w:t>
      </w:r>
      <w:r>
        <w:rPr>
          <w:color w:val="231F20"/>
          <w:w w:val="105"/>
        </w:rPr>
        <w:t>Unfair</w:t>
      </w:r>
      <w:r>
        <w:rPr>
          <w:color w:val="231F20"/>
          <w:spacing w:val="14"/>
          <w:w w:val="105"/>
        </w:rPr>
        <w:t> </w:t>
      </w:r>
      <w:r>
        <w:rPr>
          <w:color w:val="231F20"/>
          <w:w w:val="105"/>
        </w:rPr>
        <w:t>and</w:t>
      </w:r>
      <w:r>
        <w:rPr>
          <w:color w:val="231F20"/>
          <w:spacing w:val="12"/>
          <w:w w:val="105"/>
        </w:rPr>
        <w:t> </w:t>
      </w:r>
      <w:r>
        <w:rPr>
          <w:color w:val="231F20"/>
          <w:w w:val="105"/>
        </w:rPr>
        <w:t>Non-transparent</w:t>
      </w:r>
      <w:r>
        <w:rPr>
          <w:color w:val="231F20"/>
          <w:spacing w:val="13"/>
          <w:w w:val="105"/>
        </w:rPr>
        <w:t> </w:t>
      </w:r>
      <w:r>
        <w:rPr>
          <w:color w:val="231F20"/>
          <w:spacing w:val="-4"/>
          <w:w w:val="105"/>
        </w:rPr>
        <w:t>Terms</w:t>
      </w:r>
    </w:p>
    <w:p>
      <w:pPr>
        <w:pStyle w:val="ListParagraph"/>
        <w:numPr>
          <w:ilvl w:val="0"/>
          <w:numId w:val="4"/>
        </w:numPr>
        <w:tabs>
          <w:tab w:pos="1324" w:val="left" w:leader="none"/>
        </w:tabs>
        <w:spacing w:line="285" w:lineRule="auto" w:before="165" w:after="0"/>
        <w:ind w:left="871" w:right="868" w:firstLine="0"/>
        <w:jc w:val="both"/>
        <w:rPr>
          <w:sz w:val="19"/>
        </w:rPr>
      </w:pPr>
      <w:r>
        <w:rPr>
          <w:color w:val="231F20"/>
          <w:sz w:val="19"/>
        </w:rPr>
        <w:t>Article</w:t>
      </w:r>
      <w:r>
        <w:rPr>
          <w:color w:val="231F20"/>
          <w:spacing w:val="-12"/>
          <w:sz w:val="19"/>
        </w:rPr>
        <w:t> </w:t>
      </w:r>
      <w:r>
        <w:rPr>
          <w:color w:val="231F20"/>
          <w:sz w:val="19"/>
        </w:rPr>
        <w:t>5</w:t>
      </w:r>
      <w:r>
        <w:rPr>
          <w:color w:val="231F20"/>
          <w:spacing w:val="-11"/>
          <w:sz w:val="19"/>
        </w:rPr>
        <w:t> </w:t>
      </w:r>
      <w:r>
        <w:rPr>
          <w:color w:val="231F20"/>
          <w:sz w:val="19"/>
        </w:rPr>
        <w:t>UCTD</w:t>
      </w:r>
      <w:r>
        <w:rPr>
          <w:color w:val="231F20"/>
          <w:spacing w:val="-12"/>
          <w:sz w:val="19"/>
        </w:rPr>
        <w:t> </w:t>
      </w:r>
      <w:r>
        <w:rPr>
          <w:color w:val="231F20"/>
          <w:sz w:val="19"/>
        </w:rPr>
        <w:t>enshrines</w:t>
      </w:r>
      <w:r>
        <w:rPr>
          <w:color w:val="231F20"/>
          <w:spacing w:val="-11"/>
          <w:sz w:val="19"/>
        </w:rPr>
        <w:t> </w:t>
      </w:r>
      <w:r>
        <w:rPr>
          <w:color w:val="231F20"/>
          <w:sz w:val="19"/>
        </w:rPr>
        <w:t>the</w:t>
      </w:r>
      <w:r>
        <w:rPr>
          <w:color w:val="231F20"/>
          <w:spacing w:val="-12"/>
          <w:sz w:val="19"/>
        </w:rPr>
        <w:t> </w:t>
      </w:r>
      <w:r>
        <w:rPr>
          <w:color w:val="231F20"/>
          <w:sz w:val="19"/>
        </w:rPr>
        <w:t>requirement</w:t>
      </w:r>
      <w:r>
        <w:rPr>
          <w:color w:val="231F20"/>
          <w:spacing w:val="-11"/>
          <w:sz w:val="19"/>
        </w:rPr>
        <w:t> </w:t>
      </w:r>
      <w:r>
        <w:rPr>
          <w:color w:val="231F20"/>
          <w:sz w:val="19"/>
        </w:rPr>
        <w:t>of</w:t>
      </w:r>
      <w:r>
        <w:rPr>
          <w:color w:val="231F20"/>
          <w:spacing w:val="-12"/>
          <w:sz w:val="19"/>
        </w:rPr>
        <w:t> </w:t>
      </w:r>
      <w:r>
        <w:rPr>
          <w:color w:val="231F20"/>
          <w:sz w:val="19"/>
        </w:rPr>
        <w:t>transparency,</w:t>
      </w:r>
      <w:r>
        <w:rPr>
          <w:color w:val="231F20"/>
          <w:spacing w:val="-11"/>
          <w:sz w:val="19"/>
        </w:rPr>
        <w:t> </w:t>
      </w:r>
      <w:r>
        <w:rPr>
          <w:color w:val="231F20"/>
          <w:sz w:val="19"/>
        </w:rPr>
        <w:t>mandating</w:t>
      </w:r>
      <w:r>
        <w:rPr>
          <w:color w:val="231F20"/>
          <w:spacing w:val="-12"/>
          <w:sz w:val="19"/>
        </w:rPr>
        <w:t> </w:t>
      </w:r>
      <w:r>
        <w:rPr>
          <w:color w:val="231F20"/>
          <w:sz w:val="19"/>
        </w:rPr>
        <w:t>terms to be drafted in </w:t>
      </w:r>
      <w:r>
        <w:rPr>
          <w:rFonts w:ascii="Arial" w:hAnsi="Arial"/>
          <w:color w:val="231F20"/>
          <w:sz w:val="19"/>
        </w:rPr>
        <w:t>‘</w:t>
      </w:r>
      <w:r>
        <w:rPr>
          <w:color w:val="231F20"/>
          <w:sz w:val="19"/>
        </w:rPr>
        <w:t>plain intelligible language</w:t>
      </w:r>
      <w:r>
        <w:rPr>
          <w:rFonts w:ascii="Arial" w:hAnsi="Arial"/>
          <w:color w:val="231F20"/>
          <w:sz w:val="19"/>
        </w:rPr>
        <w:t>’</w:t>
      </w:r>
      <w:r>
        <w:rPr>
          <w:color w:val="231F20"/>
          <w:sz w:val="19"/>
        </w:rPr>
        <w:t>. Also on transparency, Article 4(2) UCTD excludes the control of the so-called main terms of the contract insofar as they are drafted in </w:t>
      </w:r>
      <w:r>
        <w:rPr>
          <w:rFonts w:ascii="Arial" w:hAnsi="Arial"/>
          <w:color w:val="231F20"/>
          <w:sz w:val="19"/>
        </w:rPr>
        <w:t>‘</w:t>
      </w:r>
      <w:r>
        <w:rPr>
          <w:color w:val="231F20"/>
          <w:sz w:val="19"/>
        </w:rPr>
        <w:t>plain intelligible language</w:t>
      </w:r>
      <w:r>
        <w:rPr>
          <w:rFonts w:ascii="Arial" w:hAnsi="Arial"/>
          <w:color w:val="231F20"/>
          <w:sz w:val="19"/>
        </w:rPr>
        <w:t>’</w:t>
      </w:r>
      <w:r>
        <w:rPr>
          <w:color w:val="231F20"/>
          <w:sz w:val="19"/>
        </w:rPr>
        <w:t>.</w:t>
      </w:r>
      <w:r>
        <w:rPr>
          <w:color w:val="231F20"/>
          <w:sz w:val="19"/>
          <w:vertAlign w:val="superscript"/>
        </w:rPr>
        <w:t>40</w:t>
      </w:r>
      <w:r>
        <w:rPr>
          <w:color w:val="231F20"/>
          <w:sz w:val="19"/>
          <w:vertAlign w:val="baseline"/>
        </w:rPr>
        <w:t> However, Articles 4(2) and 5 UCTD do not regulate a remedy for unintelligible terms.</w:t>
      </w:r>
    </w:p>
    <w:p>
      <w:pPr>
        <w:pStyle w:val="ListParagraph"/>
        <w:numPr>
          <w:ilvl w:val="0"/>
          <w:numId w:val="4"/>
        </w:numPr>
        <w:tabs>
          <w:tab w:pos="1324" w:val="left" w:leader="none"/>
        </w:tabs>
        <w:spacing w:line="285" w:lineRule="auto" w:before="118" w:after="0"/>
        <w:ind w:left="871" w:right="869" w:firstLine="0"/>
        <w:jc w:val="both"/>
        <w:rPr>
          <w:sz w:val="19"/>
        </w:rPr>
      </w:pPr>
      <w:r>
        <w:rPr>
          <w:color w:val="231F20"/>
          <w:sz w:val="19"/>
        </w:rPr>
        <w:t>For individual actions only, Article 5 UCTD prescribes: </w:t>
      </w:r>
      <w:r>
        <w:rPr>
          <w:rFonts w:ascii="Arial" w:hAnsi="Arial"/>
          <w:color w:val="231F20"/>
          <w:sz w:val="19"/>
        </w:rPr>
        <w:t>‘</w:t>
      </w:r>
      <w:r>
        <w:rPr>
          <w:color w:val="231F20"/>
          <w:sz w:val="19"/>
        </w:rPr>
        <w:t>[w]here there is doubt about the meaning of a term, the interpretation most favourable to the consumer</w:t>
      </w:r>
      <w:r>
        <w:rPr>
          <w:color w:val="231F20"/>
          <w:spacing w:val="46"/>
          <w:sz w:val="19"/>
        </w:rPr>
        <w:t> </w:t>
      </w:r>
      <w:r>
        <w:rPr>
          <w:color w:val="231F20"/>
          <w:sz w:val="19"/>
        </w:rPr>
        <w:t>shall</w:t>
      </w:r>
      <w:r>
        <w:rPr>
          <w:color w:val="231F20"/>
          <w:spacing w:val="46"/>
          <w:sz w:val="19"/>
        </w:rPr>
        <w:t> </w:t>
      </w:r>
      <w:r>
        <w:rPr>
          <w:color w:val="231F20"/>
          <w:sz w:val="19"/>
        </w:rPr>
        <w:t>prevail</w:t>
      </w:r>
      <w:r>
        <w:rPr>
          <w:rFonts w:ascii="Arial" w:hAnsi="Arial"/>
          <w:color w:val="231F20"/>
          <w:sz w:val="19"/>
        </w:rPr>
        <w:t>’</w:t>
      </w:r>
      <w:r>
        <w:rPr>
          <w:color w:val="231F20"/>
          <w:sz w:val="19"/>
        </w:rPr>
        <w:t>.</w:t>
      </w:r>
      <w:r>
        <w:rPr>
          <w:color w:val="231F20"/>
          <w:spacing w:val="46"/>
          <w:sz w:val="19"/>
        </w:rPr>
        <w:t> </w:t>
      </w:r>
      <w:r>
        <w:rPr>
          <w:color w:val="231F20"/>
          <w:sz w:val="19"/>
        </w:rPr>
        <w:t>Therefore,</w:t>
      </w:r>
      <w:r>
        <w:rPr>
          <w:color w:val="231F20"/>
          <w:spacing w:val="44"/>
          <w:sz w:val="19"/>
        </w:rPr>
        <w:t> </w:t>
      </w:r>
      <w:r>
        <w:rPr>
          <w:color w:val="231F20"/>
          <w:sz w:val="19"/>
        </w:rPr>
        <w:t>it</w:t>
      </w:r>
      <w:r>
        <w:rPr>
          <w:color w:val="231F20"/>
          <w:spacing w:val="46"/>
          <w:sz w:val="19"/>
        </w:rPr>
        <w:t> </w:t>
      </w:r>
      <w:r>
        <w:rPr>
          <w:color w:val="231F20"/>
          <w:sz w:val="19"/>
        </w:rPr>
        <w:t>provides</w:t>
      </w:r>
      <w:r>
        <w:rPr>
          <w:color w:val="231F20"/>
          <w:spacing w:val="45"/>
          <w:sz w:val="19"/>
        </w:rPr>
        <w:t> </w:t>
      </w:r>
      <w:r>
        <w:rPr>
          <w:color w:val="231F20"/>
          <w:sz w:val="19"/>
        </w:rPr>
        <w:t>a</w:t>
      </w:r>
      <w:r>
        <w:rPr>
          <w:color w:val="231F20"/>
          <w:spacing w:val="47"/>
          <w:sz w:val="19"/>
        </w:rPr>
        <w:t> </w:t>
      </w:r>
      <w:r>
        <w:rPr>
          <w:color w:val="231F20"/>
          <w:sz w:val="19"/>
        </w:rPr>
        <w:t>rule</w:t>
      </w:r>
      <w:r>
        <w:rPr>
          <w:color w:val="231F20"/>
          <w:spacing w:val="45"/>
          <w:sz w:val="19"/>
        </w:rPr>
        <w:t> </w:t>
      </w:r>
      <w:r>
        <w:rPr>
          <w:color w:val="231F20"/>
          <w:sz w:val="19"/>
        </w:rPr>
        <w:t>to</w:t>
      </w:r>
      <w:r>
        <w:rPr>
          <w:color w:val="231F20"/>
          <w:spacing w:val="47"/>
          <w:sz w:val="19"/>
        </w:rPr>
        <w:t> </w:t>
      </w:r>
      <w:r>
        <w:rPr>
          <w:color w:val="231F20"/>
          <w:sz w:val="19"/>
        </w:rPr>
        <w:t>interpret</w:t>
      </w:r>
      <w:r>
        <w:rPr>
          <w:color w:val="231F20"/>
          <w:spacing w:val="49"/>
          <w:sz w:val="19"/>
        </w:rPr>
        <w:t> </w:t>
      </w:r>
      <w:r>
        <w:rPr>
          <w:color w:val="231F20"/>
          <w:spacing w:val="-2"/>
          <w:sz w:val="19"/>
        </w:rPr>
        <w:t>ambiguous</w:t>
      </w:r>
    </w:p>
    <w:p>
      <w:pPr>
        <w:pStyle w:val="BodyText"/>
        <w:rPr>
          <w:sz w:val="20"/>
        </w:rPr>
      </w:pPr>
    </w:p>
    <w:p>
      <w:pPr>
        <w:pStyle w:val="BodyText"/>
        <w:spacing w:before="35"/>
        <w:rPr>
          <w:sz w:val="20"/>
        </w:rPr>
      </w:pPr>
      <w:r>
        <w:rPr/>
        <mc:AlternateContent>
          <mc:Choice Requires="wps">
            <w:drawing>
              <wp:anchor distT="0" distB="0" distL="0" distR="0" allowOverlap="1" layoutInCell="1" locked="0" behindDoc="1" simplePos="0" relativeHeight="487592448">
                <wp:simplePos x="0" y="0"/>
                <wp:positionH relativeFrom="page">
                  <wp:posOffset>1979993</wp:posOffset>
                </wp:positionH>
                <wp:positionV relativeFrom="paragraph">
                  <wp:posOffset>182275</wp:posOffset>
                </wp:positionV>
                <wp:extent cx="1656080" cy="4445"/>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4.352386pt;width:130.394pt;height:.34015pt;mso-position-horizontal-relative:page;mso-position-vertical-relative:paragraph;z-index:-15724032;mso-wrap-distance-left:0;mso-wrap-distance-right:0" id="docshape12"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pacing w:val="-2"/>
          <w:sz w:val="16"/>
        </w:rPr>
        <w:t>data.europa.eu/eli/treaty/teec/sign.</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data.europa.eu/eli/treaty/tfeu_2012/oj.</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1"/>
          <w:sz w:val="16"/>
        </w:rPr>
        <w:t> </w:t>
      </w:r>
      <w:r>
        <w:rPr>
          <w:color w:val="231F20"/>
          <w:sz w:val="16"/>
        </w:rPr>
        <w:t>4</w:t>
      </w:r>
      <w:r>
        <w:rPr>
          <w:color w:val="231F20"/>
          <w:spacing w:val="2"/>
          <w:sz w:val="16"/>
        </w:rPr>
        <w:t> </w:t>
      </w:r>
      <w:r>
        <w:rPr>
          <w:color w:val="231F20"/>
          <w:sz w:val="16"/>
        </w:rPr>
        <w:t>Jun.</w:t>
      </w:r>
      <w:r>
        <w:rPr>
          <w:color w:val="231F20"/>
          <w:spacing w:val="1"/>
          <w:sz w:val="16"/>
        </w:rPr>
        <w:t> </w:t>
      </w:r>
      <w:r>
        <w:rPr>
          <w:color w:val="231F20"/>
          <w:sz w:val="16"/>
        </w:rPr>
        <w:t>2009, ECLI:C:2009:350,</w:t>
      </w:r>
      <w:r>
        <w:rPr>
          <w:color w:val="231F20"/>
          <w:spacing w:val="1"/>
          <w:sz w:val="16"/>
        </w:rPr>
        <w:t> </w:t>
      </w:r>
      <w:r>
        <w:rPr>
          <w:i/>
          <w:color w:val="231F20"/>
          <w:sz w:val="16"/>
        </w:rPr>
        <w:t>Pannon</w:t>
      </w:r>
      <w:r>
        <w:rPr>
          <w:color w:val="231F20"/>
          <w:sz w:val="16"/>
        </w:rPr>
        <w:t>,</w:t>
      </w:r>
      <w:r>
        <w:rPr>
          <w:color w:val="231F20"/>
          <w:spacing w:val="1"/>
          <w:sz w:val="16"/>
        </w:rPr>
        <w:t> </w:t>
      </w:r>
      <w:r>
        <w:rPr>
          <w:color w:val="231F20"/>
          <w:sz w:val="16"/>
        </w:rPr>
        <w:t>para. 26;</w:t>
      </w:r>
      <w:r>
        <w:rPr>
          <w:color w:val="231F20"/>
          <w:spacing w:val="2"/>
          <w:sz w:val="16"/>
        </w:rPr>
        <w:t> </w:t>
      </w:r>
      <w:r>
        <w:rPr>
          <w:color w:val="231F20"/>
          <w:sz w:val="16"/>
        </w:rPr>
        <w:t>ECJ 14</w:t>
      </w:r>
      <w:r>
        <w:rPr>
          <w:color w:val="231F20"/>
          <w:spacing w:val="1"/>
          <w:sz w:val="16"/>
        </w:rPr>
        <w:t> </w:t>
      </w:r>
      <w:r>
        <w:rPr>
          <w:color w:val="231F20"/>
          <w:sz w:val="16"/>
        </w:rPr>
        <w:t>Jun.</w:t>
      </w:r>
      <w:r>
        <w:rPr>
          <w:color w:val="231F20"/>
          <w:spacing w:val="1"/>
          <w:sz w:val="16"/>
        </w:rPr>
        <w:t> </w:t>
      </w:r>
      <w:r>
        <w:rPr>
          <w:color w:val="231F20"/>
          <w:sz w:val="16"/>
        </w:rPr>
        <w:t>2012, </w:t>
      </w:r>
      <w:r>
        <w:rPr>
          <w:color w:val="231F20"/>
          <w:spacing w:val="-2"/>
          <w:sz w:val="16"/>
        </w:rPr>
        <w:t>ECLI:EU:C:2012:349,</w:t>
      </w:r>
    </w:p>
    <w:p>
      <w:pPr>
        <w:spacing w:before="37"/>
        <w:ind w:left="866" w:right="0" w:firstLine="0"/>
        <w:jc w:val="left"/>
        <w:rPr>
          <w:sz w:val="16"/>
        </w:rPr>
      </w:pPr>
      <w:r>
        <w:rPr>
          <w:i/>
          <w:color w:val="231F20"/>
          <w:sz w:val="16"/>
        </w:rPr>
        <w:t>Banco</w:t>
      </w:r>
      <w:r>
        <w:rPr>
          <w:i/>
          <w:color w:val="231F20"/>
          <w:spacing w:val="-1"/>
          <w:sz w:val="16"/>
        </w:rPr>
        <w:t> </w:t>
      </w:r>
      <w:r>
        <w:rPr>
          <w:i/>
          <w:color w:val="231F20"/>
          <w:sz w:val="16"/>
        </w:rPr>
        <w:t>Español</w:t>
      </w:r>
      <w:r>
        <w:rPr>
          <w:color w:val="231F20"/>
          <w:sz w:val="16"/>
        </w:rPr>
        <w:t>, para. 67; ECJ 30 May 2013, ECLI:EU:C:2013:341, </w:t>
      </w:r>
      <w:r>
        <w:rPr>
          <w:i/>
          <w:color w:val="231F20"/>
          <w:sz w:val="16"/>
        </w:rPr>
        <w:t>Asbeek</w:t>
      </w:r>
      <w:r>
        <w:rPr>
          <w:color w:val="231F20"/>
          <w:sz w:val="16"/>
        </w:rPr>
        <w:t>, para. </w:t>
      </w:r>
      <w:r>
        <w:rPr>
          <w:color w:val="231F20"/>
          <w:spacing w:val="-5"/>
          <w:sz w:val="16"/>
        </w:rPr>
        <w:t>44.</w:t>
      </w:r>
    </w:p>
    <w:p>
      <w:pPr>
        <w:pStyle w:val="ListParagraph"/>
        <w:numPr>
          <w:ilvl w:val="0"/>
          <w:numId w:val="3"/>
        </w:numPr>
        <w:tabs>
          <w:tab w:pos="866" w:val="left" w:leader="none"/>
        </w:tabs>
        <w:spacing w:line="285" w:lineRule="auto" w:before="37" w:after="0"/>
        <w:ind w:left="866" w:right="869" w:hanging="354"/>
        <w:jc w:val="both"/>
        <w:rPr>
          <w:sz w:val="16"/>
        </w:rPr>
      </w:pPr>
      <w:r>
        <w:rPr>
          <w:color w:val="231F20"/>
          <w:sz w:val="16"/>
        </w:rPr>
        <w:t>H.-W. M</w:t>
      </w:r>
      <w:r>
        <w:rPr>
          <w:color w:val="231F20"/>
          <w:sz w:val="11"/>
        </w:rPr>
        <w:t>ICKLITZ</w:t>
      </w:r>
      <w:r>
        <w:rPr>
          <w:color w:val="231F20"/>
          <w:sz w:val="16"/>
        </w:rPr>
        <w:t>, </w:t>
      </w:r>
      <w:r>
        <w:rPr>
          <w:i/>
          <w:color w:val="231F20"/>
          <w:sz w:val="16"/>
        </w:rPr>
        <w:t>The Politics of Justice in European Private Law. Social Justice, Access Justice,</w:t>
      </w:r>
      <w:r>
        <w:rPr>
          <w:i/>
          <w:color w:val="231F20"/>
          <w:spacing w:val="40"/>
          <w:sz w:val="16"/>
        </w:rPr>
        <w:t> </w:t>
      </w:r>
      <w:r>
        <w:rPr>
          <w:i/>
          <w:color w:val="231F20"/>
          <w:sz w:val="16"/>
        </w:rPr>
        <w:t>Societal Justice </w:t>
      </w:r>
      <w:r>
        <w:rPr>
          <w:color w:val="231F20"/>
          <w:sz w:val="16"/>
        </w:rPr>
        <w:t>(Cambridge: CUP 2018), pp 161</w:t>
      </w:r>
      <w:r>
        <w:rPr>
          <w:rFonts w:ascii="Arial" w:hAnsi="Arial"/>
          <w:color w:val="231F20"/>
          <w:sz w:val="16"/>
        </w:rPr>
        <w:t>–</w:t>
      </w:r>
      <w:r>
        <w:rPr>
          <w:color w:val="231F20"/>
          <w:sz w:val="16"/>
        </w:rPr>
        <w:t>280. Also, H-W. M</w:t>
      </w:r>
      <w:r>
        <w:rPr>
          <w:color w:val="231F20"/>
          <w:sz w:val="11"/>
        </w:rPr>
        <w:t>ICKLITZ</w:t>
      </w:r>
      <w:r>
        <w:rPr>
          <w:color w:val="231F20"/>
          <w:sz w:val="16"/>
        </w:rPr>
        <w:t>, </w:t>
      </w:r>
      <w:r>
        <w:rPr>
          <w:rFonts w:ascii="Arial" w:hAnsi="Arial"/>
          <w:color w:val="231F20"/>
          <w:sz w:val="16"/>
        </w:rPr>
        <w:t>‘</w:t>
      </w:r>
      <w:r>
        <w:rPr>
          <w:color w:val="231F20"/>
          <w:sz w:val="16"/>
        </w:rPr>
        <w:t>The Visible Hand of</w:t>
      </w:r>
      <w:r>
        <w:rPr>
          <w:color w:val="231F20"/>
          <w:spacing w:val="40"/>
          <w:sz w:val="16"/>
        </w:rPr>
        <w:t> </w:t>
      </w:r>
      <w:r>
        <w:rPr>
          <w:color w:val="231F20"/>
          <w:spacing w:val="-2"/>
          <w:sz w:val="16"/>
        </w:rPr>
        <w:t>European Regulatory Private Law </w:t>
      </w:r>
      <w:r>
        <w:rPr>
          <w:rFonts w:ascii="Arial" w:hAnsi="Arial"/>
          <w:color w:val="231F20"/>
          <w:spacing w:val="-2"/>
          <w:sz w:val="16"/>
        </w:rPr>
        <w:t>–</w:t>
      </w:r>
      <w:r>
        <w:rPr>
          <w:rFonts w:ascii="Arial" w:hAnsi="Arial"/>
          <w:color w:val="231F20"/>
          <w:spacing w:val="-6"/>
          <w:sz w:val="16"/>
        </w:rPr>
        <w:t> </w:t>
      </w:r>
      <w:r>
        <w:rPr>
          <w:color w:val="231F20"/>
          <w:spacing w:val="-2"/>
          <w:sz w:val="16"/>
        </w:rPr>
        <w:t>The Transformation of European Private Law from </w:t>
      </w:r>
      <w:r>
        <w:rPr>
          <w:color w:val="231F20"/>
          <w:spacing w:val="-2"/>
          <w:sz w:val="16"/>
        </w:rPr>
        <w:t>Autonomy</w:t>
      </w:r>
      <w:r>
        <w:rPr>
          <w:color w:val="231F20"/>
          <w:spacing w:val="40"/>
          <w:sz w:val="16"/>
        </w:rPr>
        <w:t> </w:t>
      </w:r>
      <w:r>
        <w:rPr>
          <w:color w:val="231F20"/>
          <w:spacing w:val="-2"/>
          <w:sz w:val="16"/>
        </w:rPr>
        <w:t>to</w:t>
      </w:r>
      <w:r>
        <w:rPr>
          <w:color w:val="231F20"/>
          <w:spacing w:val="-5"/>
          <w:sz w:val="16"/>
        </w:rPr>
        <w:t> </w:t>
      </w:r>
      <w:r>
        <w:rPr>
          <w:color w:val="231F20"/>
          <w:spacing w:val="-2"/>
          <w:sz w:val="16"/>
        </w:rPr>
        <w:t>Functionalism</w:t>
      </w:r>
      <w:r>
        <w:rPr>
          <w:color w:val="231F20"/>
          <w:spacing w:val="-5"/>
          <w:sz w:val="16"/>
        </w:rPr>
        <w:t> </w:t>
      </w:r>
      <w:r>
        <w:rPr>
          <w:color w:val="231F20"/>
          <w:spacing w:val="-2"/>
          <w:sz w:val="16"/>
        </w:rPr>
        <w:t>in</w:t>
      </w:r>
      <w:r>
        <w:rPr>
          <w:color w:val="231F20"/>
          <w:spacing w:val="-4"/>
          <w:sz w:val="16"/>
        </w:rPr>
        <w:t> </w:t>
      </w:r>
      <w:r>
        <w:rPr>
          <w:color w:val="231F20"/>
          <w:spacing w:val="-2"/>
          <w:sz w:val="16"/>
        </w:rPr>
        <w:t>Competition</w:t>
      </w:r>
      <w:r>
        <w:rPr>
          <w:color w:val="231F20"/>
          <w:spacing w:val="-4"/>
          <w:sz w:val="16"/>
        </w:rPr>
        <w:t> </w:t>
      </w:r>
      <w:r>
        <w:rPr>
          <w:color w:val="231F20"/>
          <w:spacing w:val="-2"/>
          <w:sz w:val="16"/>
        </w:rPr>
        <w:t>and</w:t>
      </w:r>
      <w:r>
        <w:rPr>
          <w:color w:val="231F20"/>
          <w:spacing w:val="-4"/>
          <w:sz w:val="16"/>
        </w:rPr>
        <w:t> </w:t>
      </w:r>
      <w:r>
        <w:rPr>
          <w:color w:val="231F20"/>
          <w:spacing w:val="-2"/>
          <w:sz w:val="16"/>
        </w:rPr>
        <w:t>Regulation</w:t>
      </w:r>
      <w:r>
        <w:rPr>
          <w:rFonts w:ascii="Arial" w:hAnsi="Arial"/>
          <w:color w:val="231F20"/>
          <w:spacing w:val="-2"/>
          <w:sz w:val="16"/>
        </w:rPr>
        <w:t>’</w:t>
      </w:r>
      <w:r>
        <w:rPr>
          <w:color w:val="231F20"/>
          <w:spacing w:val="-2"/>
          <w:sz w:val="16"/>
        </w:rPr>
        <w:t>,</w:t>
      </w:r>
      <w:r>
        <w:rPr>
          <w:color w:val="231F20"/>
          <w:spacing w:val="-4"/>
          <w:sz w:val="16"/>
        </w:rPr>
        <w:t> </w:t>
      </w:r>
      <w:r>
        <w:rPr>
          <w:color w:val="231F20"/>
          <w:spacing w:val="-2"/>
          <w:sz w:val="16"/>
        </w:rPr>
        <w:t>28.</w:t>
      </w:r>
      <w:r>
        <w:rPr>
          <w:color w:val="231F20"/>
          <w:spacing w:val="-4"/>
          <w:sz w:val="16"/>
        </w:rPr>
        <w:t> </w:t>
      </w:r>
      <w:r>
        <w:rPr>
          <w:i/>
          <w:color w:val="231F20"/>
          <w:spacing w:val="-2"/>
          <w:sz w:val="16"/>
        </w:rPr>
        <w:t>Yearbook</w:t>
      </w:r>
      <w:r>
        <w:rPr>
          <w:i/>
          <w:color w:val="231F20"/>
          <w:spacing w:val="-4"/>
          <w:sz w:val="16"/>
        </w:rPr>
        <w:t> </w:t>
      </w:r>
      <w:r>
        <w:rPr>
          <w:i/>
          <w:color w:val="231F20"/>
          <w:spacing w:val="-2"/>
          <w:sz w:val="16"/>
        </w:rPr>
        <w:t>of</w:t>
      </w:r>
      <w:r>
        <w:rPr>
          <w:i/>
          <w:color w:val="231F20"/>
          <w:spacing w:val="-4"/>
          <w:sz w:val="16"/>
        </w:rPr>
        <w:t> </w:t>
      </w:r>
      <w:r>
        <w:rPr>
          <w:i/>
          <w:color w:val="231F20"/>
          <w:spacing w:val="-2"/>
          <w:sz w:val="16"/>
        </w:rPr>
        <w:t>European</w:t>
      </w:r>
      <w:r>
        <w:rPr>
          <w:i/>
          <w:color w:val="231F20"/>
          <w:spacing w:val="-4"/>
          <w:sz w:val="16"/>
        </w:rPr>
        <w:t> </w:t>
      </w:r>
      <w:r>
        <w:rPr>
          <w:i/>
          <w:color w:val="231F20"/>
          <w:spacing w:val="-2"/>
          <w:sz w:val="16"/>
        </w:rPr>
        <w:t>Law</w:t>
      </w:r>
      <w:r>
        <w:rPr>
          <w:i/>
          <w:color w:val="231F20"/>
          <w:spacing w:val="-4"/>
          <w:sz w:val="16"/>
        </w:rPr>
        <w:t> </w:t>
      </w:r>
      <w:r>
        <w:rPr>
          <w:i/>
          <w:color w:val="231F20"/>
          <w:spacing w:val="-2"/>
          <w:sz w:val="16"/>
        </w:rPr>
        <w:t>(YEL)</w:t>
      </w:r>
      <w:r>
        <w:rPr>
          <w:i/>
          <w:color w:val="231F20"/>
          <w:spacing w:val="-4"/>
          <w:sz w:val="16"/>
        </w:rPr>
        <w:t> </w:t>
      </w:r>
      <w:r>
        <w:rPr>
          <w:color w:val="231F20"/>
          <w:spacing w:val="-2"/>
          <w:sz w:val="16"/>
        </w:rPr>
        <w:t>2009,</w:t>
      </w:r>
      <w:r>
        <w:rPr>
          <w:color w:val="231F20"/>
          <w:spacing w:val="-4"/>
          <w:sz w:val="16"/>
        </w:rPr>
        <w:t> </w:t>
      </w:r>
      <w:r>
        <w:rPr>
          <w:color w:val="231F20"/>
          <w:spacing w:val="-2"/>
          <w:sz w:val="16"/>
        </w:rPr>
        <w:t>p</w:t>
      </w:r>
      <w:r>
        <w:rPr>
          <w:color w:val="231F20"/>
          <w:spacing w:val="-4"/>
          <w:sz w:val="16"/>
        </w:rPr>
        <w:t> </w:t>
      </w:r>
      <w:r>
        <w:rPr>
          <w:color w:val="231F20"/>
          <w:spacing w:val="-2"/>
          <w:sz w:val="16"/>
        </w:rPr>
        <w:t>3,</w:t>
      </w:r>
      <w:r>
        <w:rPr>
          <w:color w:val="231F20"/>
          <w:spacing w:val="40"/>
          <w:sz w:val="16"/>
        </w:rPr>
        <w:t> </w:t>
      </w:r>
      <w:r>
        <w:rPr>
          <w:color w:val="231F20"/>
          <w:sz w:val="16"/>
        </w:rPr>
        <w:t>doi: 10.1093/yel/28.1.3.</w:t>
      </w:r>
    </w:p>
    <w:p>
      <w:pPr>
        <w:pStyle w:val="ListParagraph"/>
        <w:numPr>
          <w:ilvl w:val="0"/>
          <w:numId w:val="3"/>
        </w:numPr>
        <w:tabs>
          <w:tab w:pos="865" w:val="left" w:leader="none"/>
        </w:tabs>
        <w:spacing w:line="184" w:lineRule="exact" w:before="0" w:after="0"/>
        <w:ind w:left="865" w:right="0" w:hanging="353"/>
        <w:jc w:val="both"/>
        <w:rPr>
          <w:sz w:val="16"/>
        </w:rPr>
      </w:pPr>
      <w:r>
        <w:rPr>
          <w:color w:val="231F20"/>
          <w:sz w:val="16"/>
        </w:rPr>
        <w:t>M.</w:t>
      </w:r>
      <w:r>
        <w:rPr>
          <w:color w:val="231F20"/>
          <w:spacing w:val="5"/>
          <w:sz w:val="16"/>
        </w:rPr>
        <w:t> </w:t>
      </w:r>
      <w:r>
        <w:rPr>
          <w:color w:val="231F20"/>
          <w:sz w:val="16"/>
        </w:rPr>
        <w:t>F</w:t>
      </w:r>
      <w:r>
        <w:rPr>
          <w:color w:val="231F20"/>
          <w:sz w:val="11"/>
        </w:rPr>
        <w:t>ARINA</w:t>
      </w:r>
      <w:r>
        <w:rPr>
          <w:color w:val="231F20"/>
          <w:sz w:val="16"/>
        </w:rPr>
        <w:t>,</w:t>
      </w:r>
      <w:r>
        <w:rPr>
          <w:color w:val="231F20"/>
          <w:spacing w:val="5"/>
          <w:sz w:val="16"/>
        </w:rPr>
        <w:t> </w:t>
      </w:r>
      <w:r>
        <w:rPr>
          <w:rFonts w:ascii="Arial" w:hAnsi="Arial"/>
          <w:color w:val="231F20"/>
          <w:sz w:val="16"/>
        </w:rPr>
        <w:t>‘</w:t>
      </w:r>
      <w:r>
        <w:rPr>
          <w:color w:val="231F20"/>
          <w:sz w:val="16"/>
        </w:rPr>
        <w:t>Unfair</w:t>
      </w:r>
      <w:r>
        <w:rPr>
          <w:color w:val="231F20"/>
          <w:spacing w:val="4"/>
          <w:sz w:val="16"/>
        </w:rPr>
        <w:t> </w:t>
      </w:r>
      <w:r>
        <w:rPr>
          <w:color w:val="231F20"/>
          <w:sz w:val="16"/>
        </w:rPr>
        <w:t>Terms</w:t>
      </w:r>
      <w:r>
        <w:rPr>
          <w:color w:val="231F20"/>
          <w:spacing w:val="6"/>
          <w:sz w:val="16"/>
        </w:rPr>
        <w:t> </w:t>
      </w:r>
      <w:r>
        <w:rPr>
          <w:color w:val="231F20"/>
          <w:sz w:val="16"/>
        </w:rPr>
        <w:t>and</w:t>
      </w:r>
      <w:r>
        <w:rPr>
          <w:color w:val="231F20"/>
          <w:spacing w:val="6"/>
          <w:sz w:val="16"/>
        </w:rPr>
        <w:t> </w:t>
      </w:r>
      <w:r>
        <w:rPr>
          <w:color w:val="231F20"/>
          <w:sz w:val="16"/>
        </w:rPr>
        <w:t>Supplementation</w:t>
      </w:r>
      <w:r>
        <w:rPr>
          <w:color w:val="231F20"/>
          <w:spacing w:val="6"/>
          <w:sz w:val="16"/>
        </w:rPr>
        <w:t> </w:t>
      </w:r>
      <w:r>
        <w:rPr>
          <w:color w:val="231F20"/>
          <w:sz w:val="16"/>
        </w:rPr>
        <w:t>of</w:t>
      </w:r>
      <w:r>
        <w:rPr>
          <w:color w:val="231F20"/>
          <w:spacing w:val="8"/>
          <w:sz w:val="16"/>
        </w:rPr>
        <w:t> </w:t>
      </w:r>
      <w:r>
        <w:rPr>
          <w:color w:val="231F20"/>
          <w:sz w:val="16"/>
        </w:rPr>
        <w:t>the</w:t>
      </w:r>
      <w:r>
        <w:rPr>
          <w:color w:val="231F20"/>
          <w:spacing w:val="6"/>
          <w:sz w:val="16"/>
        </w:rPr>
        <w:t> </w:t>
      </w:r>
      <w:r>
        <w:rPr>
          <w:color w:val="231F20"/>
          <w:sz w:val="16"/>
        </w:rPr>
        <w:t>Contract</w:t>
      </w:r>
      <w:r>
        <w:rPr>
          <w:rFonts w:ascii="Arial" w:hAnsi="Arial"/>
          <w:color w:val="231F20"/>
          <w:sz w:val="16"/>
        </w:rPr>
        <w:t>’</w:t>
      </w:r>
      <w:r>
        <w:rPr>
          <w:color w:val="231F20"/>
          <w:sz w:val="16"/>
        </w:rPr>
        <w:t>,</w:t>
      </w:r>
      <w:r>
        <w:rPr>
          <w:color w:val="231F20"/>
          <w:spacing w:val="5"/>
          <w:sz w:val="16"/>
        </w:rPr>
        <w:t> </w:t>
      </w:r>
      <w:r>
        <w:rPr>
          <w:color w:val="231F20"/>
          <w:sz w:val="16"/>
        </w:rPr>
        <w:t>29.</w:t>
      </w:r>
      <w:r>
        <w:rPr>
          <w:color w:val="231F20"/>
          <w:spacing w:val="5"/>
          <w:sz w:val="16"/>
        </w:rPr>
        <w:t> </w:t>
      </w:r>
      <w:r>
        <w:rPr>
          <w:i/>
          <w:color w:val="231F20"/>
          <w:sz w:val="16"/>
        </w:rPr>
        <w:t>ERPL</w:t>
      </w:r>
      <w:r>
        <w:rPr>
          <w:i/>
          <w:color w:val="231F20"/>
          <w:spacing w:val="6"/>
          <w:sz w:val="16"/>
        </w:rPr>
        <w:t> </w:t>
      </w:r>
      <w:r>
        <w:rPr>
          <w:color w:val="231F20"/>
          <w:sz w:val="16"/>
        </w:rPr>
        <w:t>2021,</w:t>
      </w:r>
      <w:r>
        <w:rPr>
          <w:color w:val="231F20"/>
          <w:spacing w:val="5"/>
          <w:sz w:val="16"/>
        </w:rPr>
        <w:t> </w:t>
      </w:r>
      <w:r>
        <w:rPr>
          <w:color w:val="231F20"/>
          <w:sz w:val="16"/>
        </w:rPr>
        <w:t>p</w:t>
      </w:r>
      <w:r>
        <w:rPr>
          <w:color w:val="231F20"/>
          <w:spacing w:val="6"/>
          <w:sz w:val="16"/>
        </w:rPr>
        <w:t> </w:t>
      </w:r>
      <w:r>
        <w:rPr>
          <w:color w:val="231F20"/>
          <w:sz w:val="16"/>
        </w:rPr>
        <w:t>(441)</w:t>
      </w:r>
      <w:r>
        <w:rPr>
          <w:color w:val="231F20"/>
          <w:spacing w:val="6"/>
          <w:sz w:val="16"/>
        </w:rPr>
        <w:t> </w:t>
      </w:r>
      <w:r>
        <w:rPr>
          <w:color w:val="231F20"/>
          <w:sz w:val="16"/>
        </w:rPr>
        <w:t>at</w:t>
      </w:r>
      <w:r>
        <w:rPr>
          <w:color w:val="231F20"/>
          <w:spacing w:val="5"/>
          <w:sz w:val="16"/>
        </w:rPr>
        <w:t> </w:t>
      </w:r>
      <w:r>
        <w:rPr>
          <w:color w:val="231F20"/>
          <w:spacing w:val="-4"/>
          <w:sz w:val="16"/>
        </w:rPr>
        <w:t>447.</w:t>
      </w:r>
    </w:p>
    <w:p>
      <w:pPr>
        <w:pStyle w:val="ListParagraph"/>
        <w:numPr>
          <w:ilvl w:val="0"/>
          <w:numId w:val="3"/>
        </w:numPr>
        <w:tabs>
          <w:tab w:pos="866" w:val="left" w:leader="none"/>
        </w:tabs>
        <w:spacing w:line="283" w:lineRule="auto" w:before="34" w:after="0"/>
        <w:ind w:left="866" w:right="867" w:hanging="354"/>
        <w:jc w:val="both"/>
        <w:rPr>
          <w:sz w:val="16"/>
        </w:rPr>
      </w:pPr>
      <w:r>
        <w:rPr>
          <w:color w:val="231F20"/>
          <w:sz w:val="16"/>
        </w:rPr>
        <w:t>See A. W</w:t>
      </w:r>
      <w:r>
        <w:rPr>
          <w:color w:val="231F20"/>
          <w:sz w:val="11"/>
        </w:rPr>
        <w:t>IEWIÓROWSKA</w:t>
      </w:r>
      <w:r>
        <w:rPr>
          <w:color w:val="231F20"/>
          <w:sz w:val="16"/>
        </w:rPr>
        <w:t>-D</w:t>
      </w:r>
      <w:r>
        <w:rPr>
          <w:color w:val="231F20"/>
          <w:sz w:val="11"/>
        </w:rPr>
        <w:t>OMAGALSKA</w:t>
      </w:r>
      <w:r>
        <w:rPr>
          <w:color w:val="231F20"/>
          <w:sz w:val="16"/>
        </w:rPr>
        <w:t>, </w:t>
      </w:r>
      <w:r>
        <w:rPr>
          <w:rFonts w:ascii="Arial" w:hAnsi="Arial"/>
          <w:color w:val="231F20"/>
          <w:sz w:val="16"/>
        </w:rPr>
        <w:t>‘</w:t>
      </w:r>
      <w:r>
        <w:rPr>
          <w:color w:val="231F20"/>
          <w:sz w:val="16"/>
        </w:rPr>
        <w:t>Lost in information. The transparency dogma of the Unfair</w:t>
      </w:r>
      <w:r>
        <w:rPr>
          <w:color w:val="231F20"/>
          <w:spacing w:val="40"/>
          <w:sz w:val="16"/>
        </w:rPr>
        <w:t> </w:t>
      </w:r>
      <w:r>
        <w:rPr>
          <w:color w:val="231F20"/>
          <w:sz w:val="16"/>
        </w:rPr>
        <w:t>Contract Terms Directive</w:t>
      </w:r>
      <w:r>
        <w:rPr>
          <w:rFonts w:ascii="Arial" w:hAnsi="Arial"/>
          <w:color w:val="231F20"/>
          <w:sz w:val="16"/>
        </w:rPr>
        <w:t>’</w:t>
      </w:r>
      <w:r>
        <w:rPr>
          <w:color w:val="231F20"/>
          <w:sz w:val="16"/>
        </w:rPr>
        <w:t>, in this issue.</w:t>
      </w:r>
    </w:p>
    <w:p>
      <w:pPr>
        <w:spacing w:after="0" w:line="283"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spacing w:val="-2"/>
        </w:rPr>
        <w:t>terms</w:t>
      </w:r>
      <w:r>
        <w:rPr>
          <w:color w:val="231F20"/>
          <w:spacing w:val="-6"/>
        </w:rPr>
        <w:t> </w:t>
      </w:r>
      <w:r>
        <w:rPr>
          <w:color w:val="231F20"/>
          <w:spacing w:val="-2"/>
        </w:rPr>
        <w:t>when</w:t>
      </w:r>
      <w:r>
        <w:rPr>
          <w:color w:val="231F20"/>
          <w:spacing w:val="-5"/>
        </w:rPr>
        <w:t> </w:t>
      </w:r>
      <w:r>
        <w:rPr>
          <w:color w:val="231F20"/>
          <w:spacing w:val="-2"/>
        </w:rPr>
        <w:t>alternative</w:t>
      </w:r>
      <w:r>
        <w:rPr>
          <w:color w:val="231F20"/>
          <w:spacing w:val="-7"/>
        </w:rPr>
        <w:t> </w:t>
      </w:r>
      <w:r>
        <w:rPr>
          <w:color w:val="231F20"/>
          <w:spacing w:val="-2"/>
        </w:rPr>
        <w:t>meanings</w:t>
      </w:r>
      <w:r>
        <w:rPr>
          <w:color w:val="231F20"/>
          <w:spacing w:val="-5"/>
        </w:rPr>
        <w:t> </w:t>
      </w:r>
      <w:r>
        <w:rPr>
          <w:color w:val="231F20"/>
          <w:spacing w:val="-2"/>
        </w:rPr>
        <w:t>can</w:t>
      </w:r>
      <w:r>
        <w:rPr>
          <w:color w:val="231F20"/>
          <w:spacing w:val="-5"/>
        </w:rPr>
        <w:t> </w:t>
      </w:r>
      <w:r>
        <w:rPr>
          <w:color w:val="231F20"/>
          <w:spacing w:val="-2"/>
        </w:rPr>
        <w:t>be</w:t>
      </w:r>
      <w:r>
        <w:rPr>
          <w:color w:val="231F20"/>
          <w:spacing w:val="-6"/>
        </w:rPr>
        <w:t> </w:t>
      </w:r>
      <w:r>
        <w:rPr>
          <w:color w:val="231F20"/>
          <w:spacing w:val="-2"/>
        </w:rPr>
        <w:t>derived</w:t>
      </w:r>
      <w:r>
        <w:rPr>
          <w:color w:val="231F20"/>
          <w:spacing w:val="-7"/>
        </w:rPr>
        <w:t> </w:t>
      </w:r>
      <w:r>
        <w:rPr>
          <w:color w:val="231F20"/>
          <w:spacing w:val="-2"/>
        </w:rPr>
        <w:t>from</w:t>
      </w:r>
      <w:r>
        <w:rPr>
          <w:color w:val="231F20"/>
          <w:spacing w:val="-6"/>
        </w:rPr>
        <w:t> </w:t>
      </w:r>
      <w:r>
        <w:rPr>
          <w:color w:val="231F20"/>
          <w:spacing w:val="-2"/>
        </w:rPr>
        <w:t>the</w:t>
      </w:r>
      <w:r>
        <w:rPr>
          <w:color w:val="231F20"/>
          <w:spacing w:val="-5"/>
        </w:rPr>
        <w:t> </w:t>
      </w:r>
      <w:r>
        <w:rPr>
          <w:color w:val="231F20"/>
          <w:spacing w:val="-2"/>
        </w:rPr>
        <w:t>contract.</w:t>
      </w:r>
      <w:r>
        <w:rPr>
          <w:color w:val="231F20"/>
          <w:spacing w:val="-5"/>
        </w:rPr>
        <w:t> </w:t>
      </w:r>
      <w:r>
        <w:rPr>
          <w:color w:val="231F20"/>
          <w:spacing w:val="-2"/>
        </w:rPr>
        <w:t>The</w:t>
      </w:r>
      <w:r>
        <w:rPr>
          <w:color w:val="231F20"/>
          <w:spacing w:val="-5"/>
        </w:rPr>
        <w:t> </w:t>
      </w:r>
      <w:r>
        <w:rPr>
          <w:color w:val="231F20"/>
          <w:spacing w:val="-2"/>
        </w:rPr>
        <w:t>solution,</w:t>
      </w:r>
      <w:r>
        <w:rPr>
          <w:color w:val="231F20"/>
          <w:spacing w:val="-6"/>
        </w:rPr>
        <w:t> </w:t>
      </w:r>
      <w:r>
        <w:rPr>
          <w:color w:val="231F20"/>
          <w:spacing w:val="-2"/>
        </w:rPr>
        <w:t>in </w:t>
      </w:r>
      <w:r>
        <w:rPr>
          <w:color w:val="231F20"/>
        </w:rPr>
        <w:t>those</w:t>
      </w:r>
      <w:r>
        <w:rPr>
          <w:color w:val="231F20"/>
          <w:spacing w:val="-9"/>
        </w:rPr>
        <w:t> </w:t>
      </w:r>
      <w:r>
        <w:rPr>
          <w:color w:val="231F20"/>
        </w:rPr>
        <w:t>cases,</w:t>
      </w:r>
      <w:r>
        <w:rPr>
          <w:color w:val="231F20"/>
          <w:spacing w:val="-9"/>
        </w:rPr>
        <w:t> </w:t>
      </w:r>
      <w:r>
        <w:rPr>
          <w:color w:val="231F20"/>
        </w:rPr>
        <w:t>is</w:t>
      </w:r>
      <w:r>
        <w:rPr>
          <w:color w:val="231F20"/>
          <w:spacing w:val="-9"/>
        </w:rPr>
        <w:t> </w:t>
      </w:r>
      <w:r>
        <w:rPr>
          <w:color w:val="231F20"/>
        </w:rPr>
        <w:t>to</w:t>
      </w:r>
      <w:r>
        <w:rPr>
          <w:color w:val="231F20"/>
          <w:spacing w:val="-9"/>
        </w:rPr>
        <w:t> </w:t>
      </w:r>
      <w:r>
        <w:rPr>
          <w:color w:val="231F20"/>
        </w:rPr>
        <w:t>interpret</w:t>
      </w:r>
      <w:r>
        <w:rPr>
          <w:color w:val="231F20"/>
          <w:spacing w:val="-9"/>
        </w:rPr>
        <w:t> </w:t>
      </w:r>
      <w:r>
        <w:rPr>
          <w:color w:val="231F20"/>
        </w:rPr>
        <w:t>the</w:t>
      </w:r>
      <w:r>
        <w:rPr>
          <w:color w:val="231F20"/>
          <w:spacing w:val="-8"/>
        </w:rPr>
        <w:t> </w:t>
      </w:r>
      <w:r>
        <w:rPr>
          <w:color w:val="231F20"/>
        </w:rPr>
        <w:t>terms</w:t>
      </w:r>
      <w:r>
        <w:rPr>
          <w:color w:val="231F20"/>
          <w:spacing w:val="-9"/>
        </w:rPr>
        <w:t> </w:t>
      </w:r>
      <w:r>
        <w:rPr>
          <w:color w:val="231F20"/>
        </w:rPr>
        <w:t>contra</w:t>
      </w:r>
      <w:r>
        <w:rPr>
          <w:color w:val="231F20"/>
          <w:spacing w:val="-9"/>
        </w:rPr>
        <w:t> </w:t>
      </w:r>
      <w:r>
        <w:rPr>
          <w:color w:val="231F20"/>
        </w:rPr>
        <w:t>proferentem,</w:t>
      </w:r>
      <w:r>
        <w:rPr>
          <w:color w:val="231F20"/>
          <w:spacing w:val="-9"/>
        </w:rPr>
        <w:t> </w:t>
      </w:r>
      <w:r>
        <w:rPr>
          <w:color w:val="231F20"/>
        </w:rPr>
        <w:t>against</w:t>
      </w:r>
      <w:r>
        <w:rPr>
          <w:color w:val="231F20"/>
          <w:spacing w:val="-9"/>
        </w:rPr>
        <w:t> </w:t>
      </w:r>
      <w:r>
        <w:rPr>
          <w:color w:val="231F20"/>
        </w:rPr>
        <w:t>the</w:t>
      </w:r>
      <w:r>
        <w:rPr>
          <w:color w:val="231F20"/>
          <w:spacing w:val="-8"/>
        </w:rPr>
        <w:t> </w:t>
      </w:r>
      <w:r>
        <w:rPr>
          <w:color w:val="231F20"/>
        </w:rPr>
        <w:t>business</w:t>
      </w:r>
      <w:r>
        <w:rPr>
          <w:color w:val="231F20"/>
          <w:spacing w:val="-9"/>
        </w:rPr>
        <w:t> </w:t>
      </w:r>
      <w:r>
        <w:rPr>
          <w:color w:val="231F20"/>
        </w:rPr>
        <w:t>that drafted them.</w:t>
      </w:r>
    </w:p>
    <w:p>
      <w:pPr>
        <w:pStyle w:val="ListParagraph"/>
        <w:numPr>
          <w:ilvl w:val="0"/>
          <w:numId w:val="4"/>
        </w:numPr>
        <w:tabs>
          <w:tab w:pos="1324" w:val="left" w:leader="none"/>
        </w:tabs>
        <w:spacing w:line="288" w:lineRule="auto" w:before="120" w:after="0"/>
        <w:ind w:left="871" w:right="866" w:firstLine="0"/>
        <w:jc w:val="both"/>
        <w:rPr>
          <w:sz w:val="19"/>
        </w:rPr>
      </w:pPr>
      <w:r>
        <w:rPr>
          <w:color w:val="231F20"/>
          <w:sz w:val="19"/>
        </w:rPr>
        <w:t>Article 5 UCTD offers a canon of interpretation, but not a remedy </w:t>
      </w:r>
      <w:r>
        <w:rPr>
          <w:color w:val="231F20"/>
          <w:sz w:val="19"/>
        </w:rPr>
        <w:t>for unintelligible</w:t>
      </w:r>
      <w:r>
        <w:rPr>
          <w:color w:val="231F20"/>
          <w:spacing w:val="-12"/>
          <w:sz w:val="19"/>
        </w:rPr>
        <w:t> </w:t>
      </w:r>
      <w:r>
        <w:rPr>
          <w:color w:val="231F20"/>
          <w:sz w:val="19"/>
        </w:rPr>
        <w:t>terms</w:t>
      </w:r>
      <w:r>
        <w:rPr>
          <w:color w:val="231F20"/>
          <w:spacing w:val="-11"/>
          <w:sz w:val="19"/>
        </w:rPr>
        <w:t> </w:t>
      </w:r>
      <w:r>
        <w:rPr>
          <w:color w:val="231F20"/>
          <w:sz w:val="19"/>
        </w:rPr>
        <w:t>that</w:t>
      </w:r>
      <w:r>
        <w:rPr>
          <w:color w:val="231F20"/>
          <w:spacing w:val="-12"/>
          <w:sz w:val="19"/>
        </w:rPr>
        <w:t> </w:t>
      </w:r>
      <w:r>
        <w:rPr>
          <w:color w:val="231F20"/>
          <w:sz w:val="19"/>
        </w:rPr>
        <w:t>might</w:t>
      </w:r>
      <w:r>
        <w:rPr>
          <w:color w:val="231F20"/>
          <w:spacing w:val="-11"/>
          <w:sz w:val="19"/>
        </w:rPr>
        <w:t> </w:t>
      </w:r>
      <w:r>
        <w:rPr>
          <w:color w:val="231F20"/>
          <w:sz w:val="19"/>
        </w:rPr>
        <w:t>not</w:t>
      </w:r>
      <w:r>
        <w:rPr>
          <w:color w:val="231F20"/>
          <w:spacing w:val="-12"/>
          <w:sz w:val="19"/>
        </w:rPr>
        <w:t> </w:t>
      </w:r>
      <w:r>
        <w:rPr>
          <w:color w:val="231F20"/>
          <w:sz w:val="19"/>
        </w:rPr>
        <w:t>be</w:t>
      </w:r>
      <w:r>
        <w:rPr>
          <w:color w:val="231F20"/>
          <w:spacing w:val="-11"/>
          <w:sz w:val="19"/>
        </w:rPr>
        <w:t> </w:t>
      </w:r>
      <w:r>
        <w:rPr>
          <w:color w:val="231F20"/>
          <w:sz w:val="19"/>
        </w:rPr>
        <w:t>open</w:t>
      </w:r>
      <w:r>
        <w:rPr>
          <w:color w:val="231F20"/>
          <w:spacing w:val="-12"/>
          <w:sz w:val="19"/>
        </w:rPr>
        <w:t> </w:t>
      </w:r>
      <w:r>
        <w:rPr>
          <w:color w:val="231F20"/>
          <w:sz w:val="19"/>
        </w:rPr>
        <w:t>to</w:t>
      </w:r>
      <w:r>
        <w:rPr>
          <w:color w:val="231F20"/>
          <w:spacing w:val="-11"/>
          <w:sz w:val="19"/>
        </w:rPr>
        <w:t> </w:t>
      </w:r>
      <w:r>
        <w:rPr>
          <w:color w:val="231F20"/>
          <w:sz w:val="19"/>
        </w:rPr>
        <w:t>competitive</w:t>
      </w:r>
      <w:r>
        <w:rPr>
          <w:color w:val="231F20"/>
          <w:spacing w:val="-12"/>
          <w:sz w:val="19"/>
        </w:rPr>
        <w:t> </w:t>
      </w:r>
      <w:r>
        <w:rPr>
          <w:color w:val="231F20"/>
          <w:sz w:val="19"/>
        </w:rPr>
        <w:t>meanings.</w:t>
      </w:r>
      <w:r>
        <w:rPr>
          <w:color w:val="231F20"/>
          <w:spacing w:val="-11"/>
          <w:sz w:val="19"/>
        </w:rPr>
        <w:t> </w:t>
      </w:r>
      <w:r>
        <w:rPr>
          <w:color w:val="231F20"/>
          <w:sz w:val="19"/>
        </w:rPr>
        <w:t>For</w:t>
      </w:r>
      <w:r>
        <w:rPr>
          <w:color w:val="231F20"/>
          <w:spacing w:val="-12"/>
          <w:sz w:val="19"/>
        </w:rPr>
        <w:t> </w:t>
      </w:r>
      <w:r>
        <w:rPr>
          <w:color w:val="231F20"/>
          <w:sz w:val="19"/>
        </w:rPr>
        <w:t>example, a</w:t>
      </w:r>
      <w:r>
        <w:rPr>
          <w:color w:val="231F20"/>
          <w:spacing w:val="-6"/>
          <w:sz w:val="19"/>
        </w:rPr>
        <w:t> </w:t>
      </w:r>
      <w:r>
        <w:rPr>
          <w:color w:val="231F20"/>
          <w:sz w:val="19"/>
        </w:rPr>
        <w:t>floor</w:t>
      </w:r>
      <w:r>
        <w:rPr>
          <w:color w:val="231F20"/>
          <w:spacing w:val="-5"/>
          <w:sz w:val="19"/>
        </w:rPr>
        <w:t> </w:t>
      </w:r>
      <w:r>
        <w:rPr>
          <w:color w:val="231F20"/>
          <w:sz w:val="19"/>
        </w:rPr>
        <w:t>clause</w:t>
      </w:r>
      <w:r>
        <w:rPr>
          <w:color w:val="231F20"/>
          <w:spacing w:val="-6"/>
          <w:sz w:val="19"/>
        </w:rPr>
        <w:t> </w:t>
      </w:r>
      <w:r>
        <w:rPr>
          <w:color w:val="231F20"/>
          <w:sz w:val="19"/>
        </w:rPr>
        <w:t>in</w:t>
      </w:r>
      <w:r>
        <w:rPr>
          <w:color w:val="231F20"/>
          <w:spacing w:val="-6"/>
          <w:sz w:val="19"/>
        </w:rPr>
        <w:t> </w:t>
      </w:r>
      <w:r>
        <w:rPr>
          <w:color w:val="231F20"/>
          <w:sz w:val="19"/>
        </w:rPr>
        <w:t>variable</w:t>
      </w:r>
      <w:r>
        <w:rPr>
          <w:color w:val="231F20"/>
          <w:spacing w:val="-6"/>
          <w:sz w:val="19"/>
        </w:rPr>
        <w:t> </w:t>
      </w:r>
      <w:r>
        <w:rPr>
          <w:color w:val="231F20"/>
          <w:sz w:val="19"/>
        </w:rPr>
        <w:t>interest</w:t>
      </w:r>
      <w:r>
        <w:rPr>
          <w:color w:val="231F20"/>
          <w:spacing w:val="-6"/>
          <w:sz w:val="19"/>
        </w:rPr>
        <w:t> </w:t>
      </w:r>
      <w:r>
        <w:rPr>
          <w:color w:val="231F20"/>
          <w:sz w:val="19"/>
        </w:rPr>
        <w:t>loans</w:t>
      </w:r>
      <w:r>
        <w:rPr>
          <w:color w:val="231F20"/>
          <w:spacing w:val="-6"/>
          <w:sz w:val="19"/>
        </w:rPr>
        <w:t> </w:t>
      </w:r>
      <w:r>
        <w:rPr>
          <w:color w:val="231F20"/>
          <w:sz w:val="19"/>
        </w:rPr>
        <w:t>might</w:t>
      </w:r>
      <w:r>
        <w:rPr>
          <w:color w:val="231F20"/>
          <w:spacing w:val="-5"/>
          <w:sz w:val="19"/>
        </w:rPr>
        <w:t> </w:t>
      </w:r>
      <w:r>
        <w:rPr>
          <w:color w:val="231F20"/>
          <w:sz w:val="19"/>
        </w:rPr>
        <w:t>have</w:t>
      </w:r>
      <w:r>
        <w:rPr>
          <w:color w:val="231F20"/>
          <w:spacing w:val="-8"/>
          <w:sz w:val="19"/>
        </w:rPr>
        <w:t> </w:t>
      </w:r>
      <w:r>
        <w:rPr>
          <w:color w:val="231F20"/>
          <w:sz w:val="19"/>
        </w:rPr>
        <w:t>only</w:t>
      </w:r>
      <w:r>
        <w:rPr>
          <w:color w:val="231F20"/>
          <w:spacing w:val="-7"/>
          <w:sz w:val="19"/>
        </w:rPr>
        <w:t> </w:t>
      </w:r>
      <w:r>
        <w:rPr>
          <w:color w:val="231F20"/>
          <w:sz w:val="19"/>
        </w:rPr>
        <w:t>one</w:t>
      </w:r>
      <w:r>
        <w:rPr>
          <w:color w:val="231F20"/>
          <w:spacing w:val="-6"/>
          <w:sz w:val="19"/>
        </w:rPr>
        <w:t> </w:t>
      </w:r>
      <w:r>
        <w:rPr>
          <w:color w:val="231F20"/>
          <w:sz w:val="19"/>
        </w:rPr>
        <w:t>possible</w:t>
      </w:r>
      <w:r>
        <w:rPr>
          <w:color w:val="231F20"/>
          <w:spacing w:val="-5"/>
          <w:sz w:val="19"/>
        </w:rPr>
        <w:t> </w:t>
      </w:r>
      <w:r>
        <w:rPr>
          <w:color w:val="231F20"/>
          <w:sz w:val="19"/>
        </w:rPr>
        <w:t>meaning,</w:t>
      </w:r>
      <w:r>
        <w:rPr>
          <w:color w:val="231F20"/>
          <w:spacing w:val="-7"/>
          <w:sz w:val="19"/>
        </w:rPr>
        <w:t> </w:t>
      </w:r>
      <w:r>
        <w:rPr>
          <w:color w:val="231F20"/>
          <w:sz w:val="19"/>
        </w:rPr>
        <w:t>but still be beyond the understanding of consumers.</w:t>
      </w:r>
    </w:p>
    <w:p>
      <w:pPr>
        <w:pStyle w:val="ListParagraph"/>
        <w:numPr>
          <w:ilvl w:val="0"/>
          <w:numId w:val="4"/>
        </w:numPr>
        <w:tabs>
          <w:tab w:pos="1324" w:val="left" w:leader="none"/>
        </w:tabs>
        <w:spacing w:line="240" w:lineRule="auto" w:before="119" w:after="0"/>
        <w:ind w:left="1324" w:right="0" w:hanging="453"/>
        <w:jc w:val="both"/>
        <w:rPr>
          <w:sz w:val="19"/>
        </w:rPr>
      </w:pPr>
      <w:r>
        <w:rPr>
          <w:color w:val="231F20"/>
          <w:spacing w:val="-2"/>
          <w:sz w:val="19"/>
        </w:rPr>
        <w:t>The</w:t>
      </w:r>
      <w:r>
        <w:rPr>
          <w:color w:val="231F20"/>
          <w:spacing w:val="8"/>
          <w:sz w:val="19"/>
        </w:rPr>
        <w:t> </w:t>
      </w:r>
      <w:r>
        <w:rPr>
          <w:color w:val="231F20"/>
          <w:spacing w:val="-2"/>
          <w:sz w:val="19"/>
        </w:rPr>
        <w:t>remedy</w:t>
      </w:r>
      <w:r>
        <w:rPr>
          <w:color w:val="231F20"/>
          <w:spacing w:val="8"/>
          <w:sz w:val="19"/>
        </w:rPr>
        <w:t> </w:t>
      </w:r>
      <w:r>
        <w:rPr>
          <w:color w:val="231F20"/>
          <w:spacing w:val="-2"/>
          <w:sz w:val="19"/>
        </w:rPr>
        <w:t>for</w:t>
      </w:r>
      <w:r>
        <w:rPr>
          <w:color w:val="231F20"/>
          <w:spacing w:val="6"/>
          <w:sz w:val="19"/>
        </w:rPr>
        <w:t> </w:t>
      </w:r>
      <w:r>
        <w:rPr>
          <w:color w:val="231F20"/>
          <w:spacing w:val="-2"/>
          <w:sz w:val="19"/>
        </w:rPr>
        <w:t>non-transparent</w:t>
      </w:r>
      <w:r>
        <w:rPr>
          <w:color w:val="231F20"/>
          <w:spacing w:val="7"/>
          <w:sz w:val="19"/>
        </w:rPr>
        <w:t> </w:t>
      </w:r>
      <w:r>
        <w:rPr>
          <w:color w:val="231F20"/>
          <w:spacing w:val="-2"/>
          <w:sz w:val="19"/>
        </w:rPr>
        <w:t>terms</w:t>
      </w:r>
      <w:r>
        <w:rPr>
          <w:color w:val="231F20"/>
          <w:spacing w:val="7"/>
          <w:sz w:val="19"/>
        </w:rPr>
        <w:t> </w:t>
      </w:r>
      <w:r>
        <w:rPr>
          <w:color w:val="231F20"/>
          <w:spacing w:val="-2"/>
          <w:sz w:val="19"/>
        </w:rPr>
        <w:t>does</w:t>
      </w:r>
      <w:r>
        <w:rPr>
          <w:color w:val="231F20"/>
          <w:spacing w:val="8"/>
          <w:sz w:val="19"/>
        </w:rPr>
        <w:t> </w:t>
      </w:r>
      <w:r>
        <w:rPr>
          <w:color w:val="231F20"/>
          <w:spacing w:val="-2"/>
          <w:sz w:val="19"/>
        </w:rPr>
        <w:t>not</w:t>
      </w:r>
      <w:r>
        <w:rPr>
          <w:color w:val="231F20"/>
          <w:spacing w:val="9"/>
          <w:sz w:val="19"/>
        </w:rPr>
        <w:t> </w:t>
      </w:r>
      <w:r>
        <w:rPr>
          <w:color w:val="231F20"/>
          <w:spacing w:val="-2"/>
          <w:sz w:val="19"/>
        </w:rPr>
        <w:t>stem</w:t>
      </w:r>
      <w:r>
        <w:rPr>
          <w:color w:val="231F20"/>
          <w:spacing w:val="8"/>
          <w:sz w:val="19"/>
        </w:rPr>
        <w:t> </w:t>
      </w:r>
      <w:r>
        <w:rPr>
          <w:color w:val="231F20"/>
          <w:spacing w:val="-2"/>
          <w:sz w:val="19"/>
        </w:rPr>
        <w:t>directly</w:t>
      </w:r>
      <w:r>
        <w:rPr>
          <w:color w:val="231F20"/>
          <w:spacing w:val="8"/>
          <w:sz w:val="19"/>
        </w:rPr>
        <w:t> </w:t>
      </w:r>
      <w:r>
        <w:rPr>
          <w:color w:val="231F20"/>
          <w:spacing w:val="-2"/>
          <w:sz w:val="19"/>
        </w:rPr>
        <w:t>from</w:t>
      </w:r>
      <w:r>
        <w:rPr>
          <w:color w:val="231F20"/>
          <w:spacing w:val="8"/>
          <w:sz w:val="19"/>
        </w:rPr>
        <w:t> </w:t>
      </w:r>
      <w:r>
        <w:rPr>
          <w:color w:val="231F20"/>
          <w:spacing w:val="-2"/>
          <w:sz w:val="19"/>
        </w:rPr>
        <w:t>Article</w:t>
      </w:r>
      <w:r>
        <w:rPr>
          <w:color w:val="231F20"/>
          <w:spacing w:val="8"/>
          <w:sz w:val="19"/>
        </w:rPr>
        <w:t> </w:t>
      </w:r>
      <w:r>
        <w:rPr>
          <w:color w:val="231F20"/>
          <w:spacing w:val="-10"/>
          <w:sz w:val="19"/>
        </w:rPr>
        <w:t>6</w:t>
      </w:r>
    </w:p>
    <w:p>
      <w:pPr>
        <w:pStyle w:val="ListParagraph"/>
        <w:numPr>
          <w:ilvl w:val="0"/>
          <w:numId w:val="5"/>
        </w:numPr>
        <w:tabs>
          <w:tab w:pos="1164" w:val="left" w:leader="none"/>
        </w:tabs>
        <w:spacing w:line="240" w:lineRule="auto" w:before="43" w:after="0"/>
        <w:ind w:left="1164" w:right="0" w:hanging="293"/>
        <w:jc w:val="both"/>
        <w:rPr>
          <w:sz w:val="19"/>
        </w:rPr>
      </w:pPr>
      <w:r>
        <w:rPr>
          <w:color w:val="231F20"/>
          <w:sz w:val="19"/>
        </w:rPr>
        <w:t>UCTD,</w:t>
      </w:r>
      <w:r>
        <w:rPr>
          <w:color w:val="231F20"/>
          <w:spacing w:val="-8"/>
          <w:sz w:val="19"/>
        </w:rPr>
        <w:t> </w:t>
      </w:r>
      <w:r>
        <w:rPr>
          <w:color w:val="231F20"/>
          <w:sz w:val="19"/>
        </w:rPr>
        <w:t>whereby</w:t>
      </w:r>
      <w:r>
        <w:rPr>
          <w:color w:val="231F20"/>
          <w:spacing w:val="-8"/>
          <w:sz w:val="19"/>
        </w:rPr>
        <w:t> </w:t>
      </w:r>
      <w:r>
        <w:rPr>
          <w:color w:val="231F20"/>
          <w:sz w:val="19"/>
        </w:rPr>
        <w:t>unfair</w:t>
      </w:r>
      <w:r>
        <w:rPr>
          <w:color w:val="231F20"/>
          <w:spacing w:val="-8"/>
          <w:sz w:val="19"/>
        </w:rPr>
        <w:t> </w:t>
      </w:r>
      <w:r>
        <w:rPr>
          <w:color w:val="231F20"/>
          <w:sz w:val="19"/>
        </w:rPr>
        <w:t>terms</w:t>
      </w:r>
      <w:r>
        <w:rPr>
          <w:color w:val="231F20"/>
          <w:spacing w:val="-8"/>
          <w:sz w:val="19"/>
        </w:rPr>
        <w:t> </w:t>
      </w:r>
      <w:r>
        <w:rPr>
          <w:color w:val="231F20"/>
          <w:sz w:val="19"/>
        </w:rPr>
        <w:t>should</w:t>
      </w:r>
      <w:r>
        <w:rPr>
          <w:color w:val="231F20"/>
          <w:spacing w:val="-8"/>
          <w:sz w:val="19"/>
        </w:rPr>
        <w:t> </w:t>
      </w:r>
      <w:r>
        <w:rPr>
          <w:color w:val="231F20"/>
          <w:sz w:val="19"/>
        </w:rPr>
        <w:t>not</w:t>
      </w:r>
      <w:r>
        <w:rPr>
          <w:color w:val="231F20"/>
          <w:spacing w:val="-8"/>
          <w:sz w:val="19"/>
        </w:rPr>
        <w:t> </w:t>
      </w:r>
      <w:r>
        <w:rPr>
          <w:color w:val="231F20"/>
          <w:sz w:val="19"/>
        </w:rPr>
        <w:t>be</w:t>
      </w:r>
      <w:r>
        <w:rPr>
          <w:color w:val="231F20"/>
          <w:spacing w:val="-7"/>
          <w:sz w:val="19"/>
        </w:rPr>
        <w:t> </w:t>
      </w:r>
      <w:r>
        <w:rPr>
          <w:color w:val="231F20"/>
          <w:sz w:val="19"/>
        </w:rPr>
        <w:t>binding</w:t>
      </w:r>
      <w:r>
        <w:rPr>
          <w:color w:val="231F20"/>
          <w:spacing w:val="-9"/>
          <w:sz w:val="19"/>
        </w:rPr>
        <w:t> </w:t>
      </w:r>
      <w:r>
        <w:rPr>
          <w:color w:val="231F20"/>
          <w:sz w:val="19"/>
        </w:rPr>
        <w:t>on</w:t>
      </w:r>
      <w:r>
        <w:rPr>
          <w:color w:val="231F20"/>
          <w:spacing w:val="-8"/>
          <w:sz w:val="19"/>
        </w:rPr>
        <w:t> </w:t>
      </w:r>
      <w:r>
        <w:rPr>
          <w:color w:val="231F20"/>
          <w:sz w:val="19"/>
        </w:rPr>
        <w:t>the</w:t>
      </w:r>
      <w:r>
        <w:rPr>
          <w:color w:val="231F20"/>
          <w:spacing w:val="-7"/>
          <w:sz w:val="19"/>
        </w:rPr>
        <w:t> </w:t>
      </w:r>
      <w:r>
        <w:rPr>
          <w:color w:val="231F20"/>
          <w:sz w:val="19"/>
        </w:rPr>
        <w:t>consumer.</w:t>
      </w:r>
      <w:r>
        <w:rPr>
          <w:color w:val="231F20"/>
          <w:spacing w:val="-8"/>
          <w:sz w:val="19"/>
        </w:rPr>
        <w:t> </w:t>
      </w:r>
      <w:r>
        <w:rPr>
          <w:color w:val="231F20"/>
          <w:sz w:val="19"/>
        </w:rPr>
        <w:t>Article</w:t>
      </w:r>
      <w:r>
        <w:rPr>
          <w:color w:val="231F20"/>
          <w:spacing w:val="-8"/>
          <w:sz w:val="19"/>
        </w:rPr>
        <w:t> </w:t>
      </w:r>
      <w:r>
        <w:rPr>
          <w:color w:val="231F20"/>
          <w:spacing w:val="-10"/>
          <w:sz w:val="19"/>
        </w:rPr>
        <w:t>6</w:t>
      </w:r>
    </w:p>
    <w:p>
      <w:pPr>
        <w:pStyle w:val="BodyText"/>
        <w:spacing w:line="285" w:lineRule="auto" w:before="43"/>
        <w:ind w:left="871" w:right="869"/>
        <w:jc w:val="both"/>
      </w:pPr>
      <w:r>
        <w:rPr>
          <w:color w:val="231F20"/>
          <w:spacing w:val="-2"/>
        </w:rPr>
        <w:t>(1) UCTD</w:t>
      </w:r>
      <w:r>
        <w:rPr>
          <w:color w:val="231F20"/>
          <w:spacing w:val="-3"/>
        </w:rPr>
        <w:t> </w:t>
      </w:r>
      <w:r>
        <w:rPr>
          <w:color w:val="231F20"/>
          <w:spacing w:val="-2"/>
        </w:rPr>
        <w:t>does not expressly deal with the consequences of</w:t>
      </w:r>
      <w:r>
        <w:rPr>
          <w:color w:val="231F20"/>
          <w:spacing w:val="-3"/>
        </w:rPr>
        <w:t> </w:t>
      </w:r>
      <w:r>
        <w:rPr>
          <w:color w:val="231F20"/>
          <w:spacing w:val="-2"/>
        </w:rPr>
        <w:t>non-transparent terms. </w:t>
      </w:r>
      <w:r>
        <w:rPr>
          <w:color w:val="231F20"/>
        </w:rPr>
        <w:t>As the Fitness Check put it in 2017: </w:t>
      </w:r>
      <w:r>
        <w:rPr>
          <w:rFonts w:ascii="Arial" w:hAnsi="Arial"/>
          <w:color w:val="231F20"/>
        </w:rPr>
        <w:t>‘</w:t>
      </w:r>
      <w:r>
        <w:rPr>
          <w:color w:val="231F20"/>
        </w:rPr>
        <w:t>Uncertainty (</w:t>
      </w:r>
      <w:r>
        <w:rPr>
          <w:rFonts w:ascii="Arial" w:hAnsi="Arial"/>
          <w:color w:val="231F20"/>
        </w:rPr>
        <w:t>…</w:t>
      </w:r>
      <w:r>
        <w:rPr>
          <w:color w:val="231F20"/>
        </w:rPr>
        <w:t>) reigns with regard to the sanction for unclear contract terms. A clear sanction is absent</w:t>
      </w:r>
      <w:r>
        <w:rPr>
          <w:rFonts w:ascii="Arial" w:hAnsi="Arial"/>
          <w:color w:val="231F20"/>
        </w:rPr>
        <w:t>’</w:t>
      </w:r>
      <w:r>
        <w:rPr>
          <w:color w:val="231F20"/>
        </w:rPr>
        <w:t>.</w:t>
      </w:r>
      <w:r>
        <w:rPr>
          <w:color w:val="231F20"/>
          <w:vertAlign w:val="superscript"/>
        </w:rPr>
        <w:t>41</w:t>
      </w:r>
      <w:r>
        <w:rPr>
          <w:color w:val="231F20"/>
          <w:vertAlign w:val="baseline"/>
        </w:rPr>
        <w:t> It </w:t>
      </w:r>
      <w:r>
        <w:rPr>
          <w:color w:val="231F20"/>
          <w:vertAlign w:val="baseline"/>
        </w:rPr>
        <w:t>confirmed previous studies, such as the EC Consumer Law Compendium,</w:t>
      </w:r>
      <w:r>
        <w:rPr>
          <w:color w:val="231F20"/>
          <w:vertAlign w:val="superscript"/>
        </w:rPr>
        <w:t>42</w:t>
      </w:r>
      <w:r>
        <w:rPr>
          <w:color w:val="231F20"/>
          <w:vertAlign w:val="baseline"/>
        </w:rPr>
        <w:t> and the Commission</w:t>
      </w:r>
      <w:r>
        <w:rPr>
          <w:rFonts w:ascii="Arial" w:hAnsi="Arial"/>
          <w:color w:val="231F20"/>
          <w:vertAlign w:val="baseline"/>
        </w:rPr>
        <w:t>’</w:t>
      </w:r>
      <w:r>
        <w:rPr>
          <w:color w:val="231F20"/>
          <w:vertAlign w:val="baseline"/>
        </w:rPr>
        <w:t>s report on the implementation of the UCTD (the Commission</w:t>
      </w:r>
      <w:r>
        <w:rPr>
          <w:rFonts w:ascii="Arial" w:hAnsi="Arial"/>
          <w:color w:val="231F20"/>
          <w:vertAlign w:val="baseline"/>
        </w:rPr>
        <w:t>’</w:t>
      </w:r>
      <w:r>
        <w:rPr>
          <w:color w:val="231F20"/>
          <w:vertAlign w:val="baseline"/>
        </w:rPr>
        <w:t>s </w:t>
      </w:r>
      <w:r>
        <w:rPr>
          <w:color w:val="231F20"/>
          <w:spacing w:val="-2"/>
          <w:vertAlign w:val="baseline"/>
        </w:rPr>
        <w:t>Report).</w:t>
      </w:r>
      <w:r>
        <w:rPr>
          <w:color w:val="231F20"/>
          <w:spacing w:val="-2"/>
          <w:vertAlign w:val="superscript"/>
        </w:rPr>
        <w:t>43</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In the absence of harmonization, it was implied that Member States </w:t>
      </w:r>
      <w:r>
        <w:rPr>
          <w:color w:val="231F20"/>
          <w:sz w:val="19"/>
        </w:rPr>
        <w:t>could regulate</w:t>
      </w:r>
      <w:r>
        <w:rPr>
          <w:color w:val="231F20"/>
          <w:spacing w:val="-12"/>
          <w:sz w:val="19"/>
        </w:rPr>
        <w:t> </w:t>
      </w:r>
      <w:r>
        <w:rPr>
          <w:color w:val="231F20"/>
          <w:sz w:val="19"/>
        </w:rPr>
        <w:t>the</w:t>
      </w:r>
      <w:r>
        <w:rPr>
          <w:color w:val="231F20"/>
          <w:spacing w:val="-11"/>
          <w:sz w:val="19"/>
        </w:rPr>
        <w:t> </w:t>
      </w:r>
      <w:r>
        <w:rPr>
          <w:color w:val="231F20"/>
          <w:sz w:val="19"/>
        </w:rPr>
        <w:t>consequences</w:t>
      </w:r>
      <w:r>
        <w:rPr>
          <w:color w:val="231F20"/>
          <w:spacing w:val="-12"/>
          <w:sz w:val="19"/>
        </w:rPr>
        <w:t> </w:t>
      </w:r>
      <w:r>
        <w:rPr>
          <w:color w:val="231F20"/>
          <w:sz w:val="19"/>
        </w:rPr>
        <w:t>of</w:t>
      </w:r>
      <w:r>
        <w:rPr>
          <w:color w:val="231F20"/>
          <w:spacing w:val="-11"/>
          <w:sz w:val="19"/>
        </w:rPr>
        <w:t> </w:t>
      </w:r>
      <w:r>
        <w:rPr>
          <w:color w:val="231F20"/>
          <w:sz w:val="19"/>
        </w:rPr>
        <w:t>a</w:t>
      </w:r>
      <w:r>
        <w:rPr>
          <w:color w:val="231F20"/>
          <w:spacing w:val="-12"/>
          <w:sz w:val="19"/>
        </w:rPr>
        <w:t> </w:t>
      </w:r>
      <w:r>
        <w:rPr>
          <w:color w:val="231F20"/>
          <w:sz w:val="19"/>
        </w:rPr>
        <w:t>lack</w:t>
      </w:r>
      <w:r>
        <w:rPr>
          <w:color w:val="231F20"/>
          <w:spacing w:val="-11"/>
          <w:sz w:val="19"/>
        </w:rPr>
        <w:t> </w:t>
      </w:r>
      <w:r>
        <w:rPr>
          <w:color w:val="231F20"/>
          <w:sz w:val="19"/>
        </w:rPr>
        <w:t>of</w:t>
      </w:r>
      <w:r>
        <w:rPr>
          <w:color w:val="231F20"/>
          <w:spacing w:val="-12"/>
          <w:sz w:val="19"/>
        </w:rPr>
        <w:t> </w:t>
      </w:r>
      <w:r>
        <w:rPr>
          <w:color w:val="231F20"/>
          <w:sz w:val="19"/>
        </w:rPr>
        <w:t>transparency,</w:t>
      </w:r>
      <w:r>
        <w:rPr>
          <w:color w:val="231F20"/>
          <w:spacing w:val="-11"/>
          <w:sz w:val="19"/>
        </w:rPr>
        <w:t> </w:t>
      </w:r>
      <w:r>
        <w:rPr>
          <w:color w:val="231F20"/>
          <w:sz w:val="19"/>
        </w:rPr>
        <w:t>within</w:t>
      </w:r>
      <w:r>
        <w:rPr>
          <w:color w:val="231F20"/>
          <w:spacing w:val="-12"/>
          <w:sz w:val="19"/>
        </w:rPr>
        <w:t> </w:t>
      </w:r>
      <w:r>
        <w:rPr>
          <w:color w:val="231F20"/>
          <w:sz w:val="19"/>
        </w:rPr>
        <w:t>the</w:t>
      </w:r>
      <w:r>
        <w:rPr>
          <w:color w:val="231F20"/>
          <w:spacing w:val="-11"/>
          <w:sz w:val="19"/>
        </w:rPr>
        <w:t> </w:t>
      </w:r>
      <w:r>
        <w:rPr>
          <w:color w:val="231F20"/>
          <w:sz w:val="19"/>
        </w:rPr>
        <w:t>limits</w:t>
      </w:r>
      <w:r>
        <w:rPr>
          <w:color w:val="231F20"/>
          <w:spacing w:val="-12"/>
          <w:sz w:val="19"/>
        </w:rPr>
        <w:t> </w:t>
      </w:r>
      <w:r>
        <w:rPr>
          <w:color w:val="231F20"/>
          <w:sz w:val="19"/>
        </w:rPr>
        <w:t>of</w:t>
      </w:r>
      <w:r>
        <w:rPr>
          <w:color w:val="231F20"/>
          <w:spacing w:val="-11"/>
          <w:sz w:val="19"/>
        </w:rPr>
        <w:t> </w:t>
      </w:r>
      <w:r>
        <w:rPr>
          <w:color w:val="231F20"/>
          <w:sz w:val="19"/>
        </w:rPr>
        <w:t>procedural autonomy and beyond those aspects that the UCTD provided for (i.e., the rule contra proferentem). The Commission</w:t>
      </w:r>
      <w:r>
        <w:rPr>
          <w:rFonts w:ascii="Arial" w:hAnsi="Arial"/>
          <w:color w:val="231F20"/>
          <w:sz w:val="19"/>
        </w:rPr>
        <w:t>’</w:t>
      </w:r>
      <w:r>
        <w:rPr>
          <w:color w:val="231F20"/>
          <w:sz w:val="19"/>
        </w:rPr>
        <w:t>s Report itself mentioned a few remedies, such</w:t>
      </w:r>
      <w:r>
        <w:rPr>
          <w:color w:val="231F20"/>
          <w:spacing w:val="-12"/>
          <w:sz w:val="19"/>
        </w:rPr>
        <w:t> </w:t>
      </w:r>
      <w:r>
        <w:rPr>
          <w:color w:val="231F20"/>
          <w:sz w:val="19"/>
        </w:rPr>
        <w:t>as</w:t>
      </w:r>
      <w:r>
        <w:rPr>
          <w:color w:val="231F20"/>
          <w:spacing w:val="-11"/>
          <w:sz w:val="19"/>
        </w:rPr>
        <w:t> </w:t>
      </w:r>
      <w:r>
        <w:rPr>
          <w:color w:val="231F20"/>
          <w:sz w:val="19"/>
        </w:rPr>
        <w:t>vetting</w:t>
      </w:r>
      <w:r>
        <w:rPr>
          <w:color w:val="231F20"/>
          <w:spacing w:val="-12"/>
          <w:sz w:val="19"/>
        </w:rPr>
        <w:t> </w:t>
      </w:r>
      <w:r>
        <w:rPr>
          <w:color w:val="231F20"/>
          <w:sz w:val="19"/>
        </w:rPr>
        <w:t>the</w:t>
      </w:r>
      <w:r>
        <w:rPr>
          <w:color w:val="231F20"/>
          <w:spacing w:val="-11"/>
          <w:sz w:val="19"/>
        </w:rPr>
        <w:t> </w:t>
      </w:r>
      <w:r>
        <w:rPr>
          <w:color w:val="231F20"/>
          <w:sz w:val="19"/>
        </w:rPr>
        <w:t>incorporation</w:t>
      </w:r>
      <w:r>
        <w:rPr>
          <w:color w:val="231F20"/>
          <w:spacing w:val="-12"/>
          <w:sz w:val="19"/>
        </w:rPr>
        <w:t> </w:t>
      </w:r>
      <w:r>
        <w:rPr>
          <w:color w:val="231F20"/>
          <w:sz w:val="19"/>
        </w:rPr>
        <w:t>of</w:t>
      </w:r>
      <w:r>
        <w:rPr>
          <w:color w:val="231F20"/>
          <w:spacing w:val="-11"/>
          <w:sz w:val="19"/>
        </w:rPr>
        <w:t> </w:t>
      </w:r>
      <w:r>
        <w:rPr>
          <w:color w:val="231F20"/>
          <w:sz w:val="19"/>
        </w:rPr>
        <w:t>terms</w:t>
      </w:r>
      <w:r>
        <w:rPr>
          <w:color w:val="231F20"/>
          <w:spacing w:val="-12"/>
          <w:sz w:val="19"/>
        </w:rPr>
        <w:t> </w:t>
      </w:r>
      <w:r>
        <w:rPr>
          <w:color w:val="231F20"/>
          <w:sz w:val="19"/>
        </w:rPr>
        <w:t>at</w:t>
      </w:r>
      <w:r>
        <w:rPr>
          <w:color w:val="231F20"/>
          <w:spacing w:val="-11"/>
          <w:sz w:val="19"/>
        </w:rPr>
        <w:t> </w:t>
      </w:r>
      <w:r>
        <w:rPr>
          <w:color w:val="231F20"/>
          <w:sz w:val="19"/>
        </w:rPr>
        <w:t>the</w:t>
      </w:r>
      <w:r>
        <w:rPr>
          <w:color w:val="231F20"/>
          <w:spacing w:val="-12"/>
          <w:sz w:val="19"/>
        </w:rPr>
        <w:t> </w:t>
      </w:r>
      <w:r>
        <w:rPr>
          <w:color w:val="231F20"/>
          <w:sz w:val="19"/>
        </w:rPr>
        <w:t>time</w:t>
      </w:r>
      <w:r>
        <w:rPr>
          <w:color w:val="231F20"/>
          <w:spacing w:val="-11"/>
          <w:sz w:val="19"/>
        </w:rPr>
        <w:t> </w:t>
      </w:r>
      <w:r>
        <w:rPr>
          <w:color w:val="231F20"/>
          <w:sz w:val="19"/>
        </w:rPr>
        <w:t>of</w:t>
      </w:r>
      <w:r>
        <w:rPr>
          <w:color w:val="231F20"/>
          <w:spacing w:val="-12"/>
          <w:sz w:val="19"/>
        </w:rPr>
        <w:t> </w:t>
      </w:r>
      <w:r>
        <w:rPr>
          <w:color w:val="231F20"/>
          <w:sz w:val="19"/>
        </w:rPr>
        <w:t>concluding</w:t>
      </w:r>
      <w:r>
        <w:rPr>
          <w:color w:val="231F20"/>
          <w:spacing w:val="-11"/>
          <w:sz w:val="19"/>
        </w:rPr>
        <w:t> </w:t>
      </w:r>
      <w:r>
        <w:rPr>
          <w:color w:val="231F20"/>
          <w:sz w:val="19"/>
        </w:rPr>
        <w:t>the</w:t>
      </w:r>
      <w:r>
        <w:rPr>
          <w:color w:val="231F20"/>
          <w:spacing w:val="-11"/>
          <w:sz w:val="19"/>
        </w:rPr>
        <w:t> </w:t>
      </w:r>
      <w:r>
        <w:rPr>
          <w:color w:val="231F20"/>
          <w:sz w:val="19"/>
        </w:rPr>
        <w:t>contract</w:t>
      </w:r>
      <w:r>
        <w:rPr>
          <w:color w:val="231F20"/>
          <w:spacing w:val="-12"/>
          <w:sz w:val="19"/>
        </w:rPr>
        <w:t> </w:t>
      </w:r>
      <w:r>
        <w:rPr>
          <w:color w:val="231F20"/>
          <w:sz w:val="19"/>
        </w:rPr>
        <w:t>(in relation</w:t>
      </w:r>
      <w:r>
        <w:rPr>
          <w:color w:val="231F20"/>
          <w:spacing w:val="-5"/>
          <w:sz w:val="19"/>
        </w:rPr>
        <w:t> </w:t>
      </w:r>
      <w:r>
        <w:rPr>
          <w:color w:val="231F20"/>
          <w:sz w:val="19"/>
        </w:rPr>
        <w:t>to</w:t>
      </w:r>
      <w:r>
        <w:rPr>
          <w:color w:val="231F20"/>
          <w:spacing w:val="-5"/>
          <w:sz w:val="19"/>
        </w:rPr>
        <w:t> </w:t>
      </w:r>
      <w:r>
        <w:rPr>
          <w:color w:val="231F20"/>
          <w:sz w:val="19"/>
        </w:rPr>
        <w:t>Recital</w:t>
      </w:r>
      <w:r>
        <w:rPr>
          <w:color w:val="231F20"/>
          <w:spacing w:val="-5"/>
          <w:sz w:val="19"/>
        </w:rPr>
        <w:t> </w:t>
      </w:r>
      <w:r>
        <w:rPr>
          <w:color w:val="231F20"/>
          <w:sz w:val="19"/>
        </w:rPr>
        <w:t>20</w:t>
      </w:r>
      <w:r>
        <w:rPr>
          <w:color w:val="231F20"/>
          <w:spacing w:val="-5"/>
          <w:sz w:val="19"/>
        </w:rPr>
        <w:t> </w:t>
      </w:r>
      <w:r>
        <w:rPr>
          <w:color w:val="231F20"/>
          <w:sz w:val="19"/>
        </w:rPr>
        <w:t>of</w:t>
      </w:r>
      <w:r>
        <w:rPr>
          <w:color w:val="231F20"/>
          <w:spacing w:val="-2"/>
          <w:sz w:val="19"/>
        </w:rPr>
        <w:t> </w:t>
      </w:r>
      <w:r>
        <w:rPr>
          <w:color w:val="231F20"/>
          <w:sz w:val="19"/>
        </w:rPr>
        <w:t>the</w:t>
      </w:r>
      <w:r>
        <w:rPr>
          <w:color w:val="231F20"/>
          <w:spacing w:val="-4"/>
          <w:sz w:val="19"/>
        </w:rPr>
        <w:t> </w:t>
      </w:r>
      <w:r>
        <w:rPr>
          <w:color w:val="231F20"/>
          <w:sz w:val="19"/>
        </w:rPr>
        <w:t>UCTD),</w:t>
      </w:r>
      <w:r>
        <w:rPr>
          <w:color w:val="231F20"/>
          <w:spacing w:val="-5"/>
          <w:sz w:val="19"/>
        </w:rPr>
        <w:t> </w:t>
      </w:r>
      <w:r>
        <w:rPr>
          <w:color w:val="231F20"/>
          <w:sz w:val="19"/>
        </w:rPr>
        <w:t>which</w:t>
      </w:r>
      <w:r>
        <w:rPr>
          <w:color w:val="231F20"/>
          <w:spacing w:val="-5"/>
          <w:sz w:val="19"/>
        </w:rPr>
        <w:t> </w:t>
      </w:r>
      <w:r>
        <w:rPr>
          <w:color w:val="231F20"/>
          <w:sz w:val="19"/>
        </w:rPr>
        <w:t>is</w:t>
      </w:r>
      <w:r>
        <w:rPr>
          <w:color w:val="231F20"/>
          <w:spacing w:val="-5"/>
          <w:sz w:val="19"/>
        </w:rPr>
        <w:t> </w:t>
      </w:r>
      <w:r>
        <w:rPr>
          <w:color w:val="231F20"/>
          <w:sz w:val="19"/>
        </w:rPr>
        <w:t>an</w:t>
      </w:r>
      <w:r>
        <w:rPr>
          <w:color w:val="231F20"/>
          <w:spacing w:val="-5"/>
          <w:sz w:val="19"/>
        </w:rPr>
        <w:t> </w:t>
      </w:r>
      <w:r>
        <w:rPr>
          <w:color w:val="231F20"/>
          <w:sz w:val="19"/>
        </w:rPr>
        <w:t>aspect</w:t>
      </w:r>
      <w:r>
        <w:rPr>
          <w:color w:val="231F20"/>
          <w:spacing w:val="-5"/>
          <w:sz w:val="19"/>
        </w:rPr>
        <w:t> </w:t>
      </w:r>
      <w:r>
        <w:rPr>
          <w:color w:val="231F20"/>
          <w:sz w:val="19"/>
        </w:rPr>
        <w:t>of</w:t>
      </w:r>
      <w:r>
        <w:rPr>
          <w:color w:val="231F20"/>
          <w:spacing w:val="-5"/>
          <w:sz w:val="19"/>
        </w:rPr>
        <w:t> </w:t>
      </w:r>
      <w:r>
        <w:rPr>
          <w:color w:val="231F20"/>
          <w:sz w:val="19"/>
        </w:rPr>
        <w:t>standard</w:t>
      </w:r>
      <w:r>
        <w:rPr>
          <w:color w:val="231F20"/>
          <w:spacing w:val="-5"/>
          <w:sz w:val="19"/>
        </w:rPr>
        <w:t> </w:t>
      </w:r>
      <w:r>
        <w:rPr>
          <w:color w:val="231F20"/>
          <w:sz w:val="19"/>
        </w:rPr>
        <w:t>form</w:t>
      </w:r>
      <w:r>
        <w:rPr>
          <w:color w:val="231F20"/>
          <w:spacing w:val="-5"/>
          <w:sz w:val="19"/>
        </w:rPr>
        <w:t> </w:t>
      </w:r>
      <w:r>
        <w:rPr>
          <w:color w:val="231F20"/>
          <w:sz w:val="19"/>
        </w:rPr>
        <w:t>contracts </w:t>
      </w:r>
      <w:r>
        <w:rPr>
          <w:color w:val="231F20"/>
          <w:spacing w:val="-2"/>
          <w:sz w:val="19"/>
        </w:rPr>
        <w:t>that</w:t>
      </w:r>
      <w:r>
        <w:rPr>
          <w:color w:val="231F20"/>
          <w:spacing w:val="-4"/>
          <w:sz w:val="19"/>
        </w:rPr>
        <w:t> </w:t>
      </w:r>
      <w:r>
        <w:rPr>
          <w:color w:val="231F20"/>
          <w:spacing w:val="-2"/>
          <w:sz w:val="19"/>
        </w:rPr>
        <w:t>is</w:t>
      </w:r>
      <w:r>
        <w:rPr>
          <w:color w:val="231F20"/>
          <w:spacing w:val="-5"/>
          <w:sz w:val="19"/>
        </w:rPr>
        <w:t> </w:t>
      </w:r>
      <w:r>
        <w:rPr>
          <w:color w:val="231F20"/>
          <w:spacing w:val="-2"/>
          <w:sz w:val="19"/>
        </w:rPr>
        <w:t>not</w:t>
      </w:r>
      <w:r>
        <w:rPr>
          <w:color w:val="231F20"/>
          <w:spacing w:val="-5"/>
          <w:sz w:val="19"/>
        </w:rPr>
        <w:t> </w:t>
      </w:r>
      <w:r>
        <w:rPr>
          <w:color w:val="231F20"/>
          <w:spacing w:val="-2"/>
          <w:sz w:val="19"/>
        </w:rPr>
        <w:t>covered</w:t>
      </w:r>
      <w:r>
        <w:rPr>
          <w:color w:val="231F20"/>
          <w:spacing w:val="-4"/>
          <w:sz w:val="19"/>
        </w:rPr>
        <w:t> </w:t>
      </w:r>
      <w:r>
        <w:rPr>
          <w:color w:val="231F20"/>
          <w:spacing w:val="-2"/>
          <w:sz w:val="19"/>
        </w:rPr>
        <w:t>under</w:t>
      </w:r>
      <w:r>
        <w:rPr>
          <w:color w:val="231F20"/>
          <w:spacing w:val="-5"/>
          <w:sz w:val="19"/>
        </w:rPr>
        <w:t> </w:t>
      </w:r>
      <w:r>
        <w:rPr>
          <w:color w:val="231F20"/>
          <w:spacing w:val="-2"/>
          <w:sz w:val="19"/>
        </w:rPr>
        <w:t>the</w:t>
      </w:r>
      <w:r>
        <w:rPr>
          <w:color w:val="231F20"/>
          <w:spacing w:val="-4"/>
          <w:sz w:val="19"/>
        </w:rPr>
        <w:t> </w:t>
      </w:r>
      <w:r>
        <w:rPr>
          <w:color w:val="231F20"/>
          <w:spacing w:val="-2"/>
          <w:sz w:val="19"/>
        </w:rPr>
        <w:t>UCTD.</w:t>
      </w:r>
      <w:r>
        <w:rPr>
          <w:color w:val="231F20"/>
          <w:spacing w:val="-5"/>
          <w:sz w:val="19"/>
        </w:rPr>
        <w:t> </w:t>
      </w:r>
      <w:r>
        <w:rPr>
          <w:color w:val="231F20"/>
          <w:spacing w:val="-2"/>
          <w:sz w:val="19"/>
        </w:rPr>
        <w:t>Alternatively,</w:t>
      </w:r>
      <w:r>
        <w:rPr>
          <w:color w:val="231F20"/>
          <w:spacing w:val="-4"/>
          <w:sz w:val="19"/>
        </w:rPr>
        <w:t> </w:t>
      </w:r>
      <w:r>
        <w:rPr>
          <w:color w:val="231F20"/>
          <w:spacing w:val="-2"/>
          <w:sz w:val="19"/>
        </w:rPr>
        <w:t>the</w:t>
      </w:r>
      <w:r>
        <w:rPr>
          <w:color w:val="231F20"/>
          <w:spacing w:val="-4"/>
          <w:sz w:val="19"/>
        </w:rPr>
        <w:t> </w:t>
      </w:r>
      <w:r>
        <w:rPr>
          <w:color w:val="231F20"/>
          <w:spacing w:val="-2"/>
          <w:sz w:val="19"/>
        </w:rPr>
        <w:t>Commission</w:t>
      </w:r>
      <w:r>
        <w:rPr>
          <w:color w:val="231F20"/>
          <w:spacing w:val="-4"/>
          <w:sz w:val="19"/>
        </w:rPr>
        <w:t> </w:t>
      </w:r>
      <w:r>
        <w:rPr>
          <w:color w:val="231F20"/>
          <w:spacing w:val="-2"/>
          <w:sz w:val="19"/>
        </w:rPr>
        <w:t>mentioned</w:t>
      </w:r>
      <w:r>
        <w:rPr>
          <w:color w:val="231F20"/>
          <w:spacing w:val="-5"/>
          <w:sz w:val="19"/>
        </w:rPr>
        <w:t> </w:t>
      </w:r>
      <w:r>
        <w:rPr>
          <w:color w:val="231F20"/>
          <w:spacing w:val="-2"/>
          <w:sz w:val="19"/>
        </w:rPr>
        <w:t>that </w:t>
      </w:r>
      <w:r>
        <w:rPr>
          <w:color w:val="231F20"/>
          <w:sz w:val="19"/>
        </w:rPr>
        <w:t>Member States could opt to consider transparency in the control of unfair terms, under Article 3(1) UCTD.</w:t>
      </w:r>
      <w:r>
        <w:rPr>
          <w:color w:val="231F20"/>
          <w:sz w:val="19"/>
          <w:vertAlign w:val="superscript"/>
        </w:rPr>
        <w:t>44</w:t>
      </w:r>
    </w:p>
    <w:p>
      <w:pPr>
        <w:pStyle w:val="ListParagraph"/>
        <w:numPr>
          <w:ilvl w:val="0"/>
          <w:numId w:val="4"/>
        </w:numPr>
        <w:tabs>
          <w:tab w:pos="1324" w:val="left" w:leader="none"/>
        </w:tabs>
        <w:spacing w:line="283" w:lineRule="auto" w:before="115" w:after="0"/>
        <w:ind w:left="871" w:right="869" w:firstLine="0"/>
        <w:jc w:val="both"/>
        <w:rPr>
          <w:sz w:val="19"/>
        </w:rPr>
      </w:pPr>
      <w:r>
        <w:rPr>
          <w:color w:val="231F20"/>
          <w:sz w:val="19"/>
        </w:rPr>
        <w:t>The ECJ gradually opted for the second alternative by linking a lack of </w:t>
      </w:r>
      <w:r>
        <w:rPr>
          <w:color w:val="231F20"/>
          <w:spacing w:val="-2"/>
          <w:sz w:val="19"/>
        </w:rPr>
        <w:t>transparency</w:t>
      </w:r>
      <w:r>
        <w:rPr>
          <w:color w:val="231F20"/>
          <w:spacing w:val="4"/>
          <w:sz w:val="19"/>
        </w:rPr>
        <w:t> </w:t>
      </w:r>
      <w:r>
        <w:rPr>
          <w:color w:val="231F20"/>
          <w:spacing w:val="-2"/>
          <w:sz w:val="19"/>
        </w:rPr>
        <w:t>to</w:t>
      </w:r>
      <w:r>
        <w:rPr>
          <w:color w:val="231F20"/>
          <w:spacing w:val="5"/>
          <w:sz w:val="19"/>
        </w:rPr>
        <w:t> </w:t>
      </w:r>
      <w:r>
        <w:rPr>
          <w:color w:val="231F20"/>
          <w:spacing w:val="-2"/>
          <w:sz w:val="19"/>
        </w:rPr>
        <w:t>the</w:t>
      </w:r>
      <w:r>
        <w:rPr>
          <w:color w:val="231F20"/>
          <w:spacing w:val="4"/>
          <w:sz w:val="19"/>
        </w:rPr>
        <w:t> </w:t>
      </w:r>
      <w:r>
        <w:rPr>
          <w:color w:val="231F20"/>
          <w:spacing w:val="-2"/>
          <w:sz w:val="19"/>
        </w:rPr>
        <w:t>unfairness</w:t>
      </w:r>
      <w:r>
        <w:rPr>
          <w:color w:val="231F20"/>
          <w:spacing w:val="6"/>
          <w:sz w:val="19"/>
        </w:rPr>
        <w:t> </w:t>
      </w:r>
      <w:r>
        <w:rPr>
          <w:color w:val="231F20"/>
          <w:spacing w:val="-2"/>
          <w:sz w:val="19"/>
        </w:rPr>
        <w:t>assessment</w:t>
      </w:r>
      <w:r>
        <w:rPr>
          <w:color w:val="231F20"/>
          <w:spacing w:val="5"/>
          <w:sz w:val="19"/>
        </w:rPr>
        <w:t> </w:t>
      </w:r>
      <w:r>
        <w:rPr>
          <w:rFonts w:ascii="Arial" w:hAnsi="Arial"/>
          <w:color w:val="231F20"/>
          <w:spacing w:val="-2"/>
          <w:sz w:val="19"/>
        </w:rPr>
        <w:t>–</w:t>
      </w:r>
      <w:r>
        <w:rPr>
          <w:rFonts w:ascii="Arial" w:hAnsi="Arial"/>
          <w:color w:val="231F20"/>
          <w:spacing w:val="-3"/>
          <w:sz w:val="19"/>
        </w:rPr>
        <w:t> </w:t>
      </w:r>
      <w:r>
        <w:rPr>
          <w:color w:val="231F20"/>
          <w:spacing w:val="-2"/>
          <w:sz w:val="19"/>
        </w:rPr>
        <w:t>in</w:t>
      </w:r>
      <w:r>
        <w:rPr>
          <w:color w:val="231F20"/>
          <w:spacing w:val="6"/>
          <w:sz w:val="19"/>
        </w:rPr>
        <w:t> </w:t>
      </w:r>
      <w:r>
        <w:rPr>
          <w:color w:val="231F20"/>
          <w:spacing w:val="-2"/>
          <w:sz w:val="19"/>
        </w:rPr>
        <w:t>other</w:t>
      </w:r>
      <w:r>
        <w:rPr>
          <w:color w:val="231F20"/>
          <w:spacing w:val="4"/>
          <w:sz w:val="19"/>
        </w:rPr>
        <w:t> </w:t>
      </w:r>
      <w:r>
        <w:rPr>
          <w:color w:val="231F20"/>
          <w:spacing w:val="-2"/>
          <w:sz w:val="19"/>
        </w:rPr>
        <w:t>words</w:t>
      </w:r>
      <w:r>
        <w:rPr>
          <w:color w:val="231F20"/>
          <w:spacing w:val="3"/>
          <w:sz w:val="19"/>
        </w:rPr>
        <w:t> </w:t>
      </w:r>
      <w:r>
        <w:rPr>
          <w:color w:val="231F20"/>
          <w:spacing w:val="-2"/>
          <w:sz w:val="19"/>
        </w:rPr>
        <w:t>by</w:t>
      </w:r>
      <w:r>
        <w:rPr>
          <w:color w:val="231F20"/>
          <w:spacing w:val="6"/>
          <w:sz w:val="19"/>
        </w:rPr>
        <w:t> </w:t>
      </w:r>
      <w:r>
        <w:rPr>
          <w:color w:val="231F20"/>
          <w:spacing w:val="-2"/>
          <w:sz w:val="19"/>
        </w:rPr>
        <w:t>referring</w:t>
      </w:r>
      <w:r>
        <w:rPr>
          <w:color w:val="231F20"/>
          <w:spacing w:val="5"/>
          <w:sz w:val="19"/>
        </w:rPr>
        <w:t> </w:t>
      </w:r>
      <w:r>
        <w:rPr>
          <w:color w:val="231F20"/>
          <w:spacing w:val="-2"/>
          <w:sz w:val="19"/>
        </w:rPr>
        <w:t>Articles</w:t>
      </w:r>
      <w:r>
        <w:rPr>
          <w:color w:val="231F20"/>
          <w:spacing w:val="4"/>
          <w:sz w:val="19"/>
        </w:rPr>
        <w:t> </w:t>
      </w:r>
      <w:r>
        <w:rPr>
          <w:color w:val="231F20"/>
          <w:spacing w:val="-10"/>
          <w:sz w:val="19"/>
        </w:rPr>
        <w:t>4</w:t>
      </w:r>
    </w:p>
    <w:p>
      <w:pPr>
        <w:pStyle w:val="ListParagraph"/>
        <w:numPr>
          <w:ilvl w:val="0"/>
          <w:numId w:val="5"/>
        </w:numPr>
        <w:tabs>
          <w:tab w:pos="1175" w:val="left" w:leader="none"/>
        </w:tabs>
        <w:spacing w:line="288" w:lineRule="auto" w:before="4" w:after="0"/>
        <w:ind w:left="871" w:right="868" w:firstLine="0"/>
        <w:jc w:val="both"/>
        <w:rPr>
          <w:sz w:val="19"/>
        </w:rPr>
      </w:pPr>
      <w:r>
        <w:rPr>
          <w:color w:val="231F20"/>
          <w:sz w:val="19"/>
        </w:rPr>
        <w:t>and 5 UCTD (transparency) to Article 3(1) UCTD (unfairness test). </w:t>
      </w:r>
      <w:r>
        <w:rPr>
          <w:color w:val="231F20"/>
          <w:sz w:val="19"/>
        </w:rPr>
        <w:t>Following </w:t>
      </w:r>
      <w:r>
        <w:rPr>
          <w:color w:val="231F20"/>
          <w:spacing w:val="-2"/>
          <w:sz w:val="19"/>
        </w:rPr>
        <w:t>the</w:t>
      </w:r>
      <w:r>
        <w:rPr>
          <w:color w:val="231F20"/>
          <w:spacing w:val="-4"/>
          <w:sz w:val="19"/>
        </w:rPr>
        <w:t> </w:t>
      </w:r>
      <w:r>
        <w:rPr>
          <w:color w:val="231F20"/>
          <w:spacing w:val="-2"/>
          <w:sz w:val="19"/>
        </w:rPr>
        <w:t>detection</w:t>
      </w:r>
      <w:r>
        <w:rPr>
          <w:color w:val="231F20"/>
          <w:spacing w:val="-4"/>
          <w:sz w:val="19"/>
        </w:rPr>
        <w:t> </w:t>
      </w:r>
      <w:r>
        <w:rPr>
          <w:color w:val="231F20"/>
          <w:spacing w:val="-2"/>
          <w:sz w:val="19"/>
        </w:rPr>
        <w:t>of</w:t>
      </w:r>
      <w:r>
        <w:rPr>
          <w:color w:val="231F20"/>
          <w:spacing w:val="-5"/>
          <w:sz w:val="19"/>
        </w:rPr>
        <w:t> </w:t>
      </w:r>
      <w:r>
        <w:rPr>
          <w:color w:val="231F20"/>
          <w:spacing w:val="-2"/>
          <w:sz w:val="19"/>
        </w:rPr>
        <w:t>a</w:t>
      </w:r>
      <w:r>
        <w:rPr>
          <w:color w:val="231F20"/>
          <w:spacing w:val="-4"/>
          <w:sz w:val="19"/>
        </w:rPr>
        <w:t> </w:t>
      </w:r>
      <w:r>
        <w:rPr>
          <w:color w:val="231F20"/>
          <w:spacing w:val="-2"/>
          <w:sz w:val="19"/>
        </w:rPr>
        <w:t>non-transparent</w:t>
      </w:r>
      <w:r>
        <w:rPr>
          <w:color w:val="231F20"/>
          <w:spacing w:val="-4"/>
          <w:sz w:val="19"/>
        </w:rPr>
        <w:t> </w:t>
      </w:r>
      <w:r>
        <w:rPr>
          <w:color w:val="231F20"/>
          <w:spacing w:val="-2"/>
          <w:sz w:val="19"/>
        </w:rPr>
        <w:t>term,</w:t>
      </w:r>
      <w:r>
        <w:rPr>
          <w:color w:val="231F20"/>
          <w:spacing w:val="-3"/>
          <w:sz w:val="19"/>
        </w:rPr>
        <w:t> </w:t>
      </w:r>
      <w:r>
        <w:rPr>
          <w:color w:val="231F20"/>
          <w:spacing w:val="-2"/>
          <w:sz w:val="19"/>
        </w:rPr>
        <w:t>courts</w:t>
      </w:r>
      <w:r>
        <w:rPr>
          <w:color w:val="231F20"/>
          <w:spacing w:val="-4"/>
          <w:sz w:val="19"/>
        </w:rPr>
        <w:t> </w:t>
      </w:r>
      <w:r>
        <w:rPr>
          <w:color w:val="231F20"/>
          <w:spacing w:val="-2"/>
          <w:sz w:val="19"/>
        </w:rPr>
        <w:t>are</w:t>
      </w:r>
      <w:r>
        <w:rPr>
          <w:color w:val="231F20"/>
          <w:spacing w:val="-5"/>
          <w:sz w:val="19"/>
        </w:rPr>
        <w:t> </w:t>
      </w:r>
      <w:r>
        <w:rPr>
          <w:color w:val="231F20"/>
          <w:spacing w:val="-2"/>
          <w:sz w:val="19"/>
        </w:rPr>
        <w:t>bound</w:t>
      </w:r>
      <w:r>
        <w:rPr>
          <w:color w:val="231F20"/>
          <w:spacing w:val="-4"/>
          <w:sz w:val="19"/>
        </w:rPr>
        <w:t> </w:t>
      </w:r>
      <w:r>
        <w:rPr>
          <w:color w:val="231F20"/>
          <w:spacing w:val="-2"/>
          <w:sz w:val="19"/>
        </w:rPr>
        <w:t>to</w:t>
      </w:r>
      <w:r>
        <w:rPr>
          <w:color w:val="231F20"/>
          <w:spacing w:val="-4"/>
          <w:sz w:val="19"/>
        </w:rPr>
        <w:t> </w:t>
      </w:r>
      <w:r>
        <w:rPr>
          <w:color w:val="231F20"/>
          <w:spacing w:val="-2"/>
          <w:sz w:val="19"/>
        </w:rPr>
        <w:t>conduct an</w:t>
      </w:r>
      <w:r>
        <w:rPr>
          <w:color w:val="231F20"/>
          <w:spacing w:val="-3"/>
          <w:sz w:val="19"/>
        </w:rPr>
        <w:t> </w:t>
      </w:r>
      <w:r>
        <w:rPr>
          <w:color w:val="231F20"/>
          <w:spacing w:val="-2"/>
          <w:sz w:val="19"/>
        </w:rPr>
        <w:t>unfairness control.</w:t>
      </w:r>
      <w:r>
        <w:rPr>
          <w:color w:val="231F20"/>
          <w:spacing w:val="-2"/>
          <w:sz w:val="19"/>
          <w:vertAlign w:val="superscript"/>
        </w:rPr>
        <w:t>45</w:t>
      </w:r>
    </w:p>
    <w:p>
      <w:pPr>
        <w:pStyle w:val="BodyText"/>
        <w:rPr>
          <w:sz w:val="20"/>
        </w:rPr>
      </w:pPr>
    </w:p>
    <w:p>
      <w:pPr>
        <w:pStyle w:val="BodyText"/>
        <w:spacing w:before="44"/>
        <w:rPr>
          <w:sz w:val="20"/>
        </w:rPr>
      </w:pPr>
      <w:r>
        <w:rPr/>
        <mc:AlternateContent>
          <mc:Choice Requires="wps">
            <w:drawing>
              <wp:anchor distT="0" distB="0" distL="0" distR="0" allowOverlap="1" layoutInCell="1" locked="0" behindDoc="1" simplePos="0" relativeHeight="487592960">
                <wp:simplePos x="0" y="0"/>
                <wp:positionH relativeFrom="page">
                  <wp:posOffset>1979993</wp:posOffset>
                </wp:positionH>
                <wp:positionV relativeFrom="paragraph">
                  <wp:posOffset>187499</wp:posOffset>
                </wp:positionV>
                <wp:extent cx="1656080" cy="4445"/>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4.763765pt;width:130.394pt;height:.34015pt;mso-position-horizontal-relative:page;mso-position-vertical-relative:paragraph;z-index:-15723520;mso-wrap-distance-left:0;mso-wrap-distance-right:0" id="docshape13"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6" w:val="left" w:leader="none"/>
        </w:tabs>
        <w:spacing w:line="285" w:lineRule="auto" w:before="1" w:after="0"/>
        <w:ind w:left="866" w:right="868" w:hanging="354"/>
        <w:jc w:val="both"/>
        <w:rPr>
          <w:sz w:val="16"/>
        </w:rPr>
      </w:pPr>
      <w:r>
        <w:rPr>
          <w:color w:val="231F20"/>
          <w:sz w:val="16"/>
        </w:rPr>
        <w:t>C</w:t>
      </w:r>
      <w:r>
        <w:rPr>
          <w:color w:val="231F20"/>
          <w:sz w:val="11"/>
        </w:rPr>
        <w:t>IVIC</w:t>
      </w:r>
      <w:r>
        <w:rPr>
          <w:color w:val="231F20"/>
          <w:spacing w:val="9"/>
          <w:sz w:val="11"/>
        </w:rPr>
        <w:t> </w:t>
      </w:r>
      <w:r>
        <w:rPr>
          <w:color w:val="231F20"/>
          <w:sz w:val="16"/>
        </w:rPr>
        <w:t>C</w:t>
      </w:r>
      <w:r>
        <w:rPr>
          <w:color w:val="231F20"/>
          <w:sz w:val="11"/>
        </w:rPr>
        <w:t>ONSULTING</w:t>
      </w:r>
      <w:r>
        <w:rPr>
          <w:color w:val="231F20"/>
          <w:spacing w:val="8"/>
          <w:sz w:val="11"/>
        </w:rPr>
        <w:t> </w:t>
      </w:r>
      <w:r>
        <w:rPr>
          <w:color w:val="231F20"/>
          <w:sz w:val="16"/>
        </w:rPr>
        <w:t>for</w:t>
      </w:r>
      <w:r>
        <w:rPr>
          <w:color w:val="231F20"/>
          <w:spacing w:val="-4"/>
          <w:sz w:val="16"/>
        </w:rPr>
        <w:t> </w:t>
      </w:r>
      <w:r>
        <w:rPr>
          <w:color w:val="231F20"/>
          <w:sz w:val="16"/>
        </w:rPr>
        <w:t>the</w:t>
      </w:r>
      <w:r>
        <w:rPr>
          <w:color w:val="231F20"/>
          <w:spacing w:val="-4"/>
          <w:sz w:val="16"/>
        </w:rPr>
        <w:t> </w:t>
      </w:r>
      <w:r>
        <w:rPr>
          <w:color w:val="231F20"/>
          <w:sz w:val="16"/>
        </w:rPr>
        <w:t>European</w:t>
      </w:r>
      <w:r>
        <w:rPr>
          <w:color w:val="231F20"/>
          <w:spacing w:val="-3"/>
          <w:sz w:val="16"/>
        </w:rPr>
        <w:t> </w:t>
      </w:r>
      <w:r>
        <w:rPr>
          <w:color w:val="231F20"/>
          <w:sz w:val="16"/>
        </w:rPr>
        <w:t>Commission,</w:t>
      </w:r>
      <w:r>
        <w:rPr>
          <w:color w:val="231F20"/>
          <w:spacing w:val="-3"/>
          <w:sz w:val="16"/>
        </w:rPr>
        <w:t> </w:t>
      </w:r>
      <w:r>
        <w:rPr>
          <w:rFonts w:ascii="Arial" w:hAnsi="Arial"/>
          <w:color w:val="231F20"/>
          <w:sz w:val="16"/>
        </w:rPr>
        <w:t>‘</w:t>
      </w:r>
      <w:r>
        <w:rPr>
          <w:color w:val="231F20"/>
          <w:sz w:val="16"/>
        </w:rPr>
        <w:t>Study</w:t>
      </w:r>
      <w:r>
        <w:rPr>
          <w:color w:val="231F20"/>
          <w:spacing w:val="-4"/>
          <w:sz w:val="16"/>
        </w:rPr>
        <w:t> </w:t>
      </w:r>
      <w:r>
        <w:rPr>
          <w:color w:val="231F20"/>
          <w:sz w:val="16"/>
        </w:rPr>
        <w:t>for</w:t>
      </w:r>
      <w:r>
        <w:rPr>
          <w:color w:val="231F20"/>
          <w:spacing w:val="-4"/>
          <w:sz w:val="16"/>
        </w:rPr>
        <w:t> </w:t>
      </w:r>
      <w:r>
        <w:rPr>
          <w:color w:val="231F20"/>
          <w:sz w:val="16"/>
        </w:rPr>
        <w:t>the</w:t>
      </w:r>
      <w:r>
        <w:rPr>
          <w:color w:val="231F20"/>
          <w:spacing w:val="-2"/>
          <w:sz w:val="16"/>
        </w:rPr>
        <w:t> </w:t>
      </w:r>
      <w:r>
        <w:rPr>
          <w:color w:val="231F20"/>
          <w:sz w:val="16"/>
        </w:rPr>
        <w:t>Fitness</w:t>
      </w:r>
      <w:r>
        <w:rPr>
          <w:color w:val="231F20"/>
          <w:spacing w:val="-4"/>
          <w:sz w:val="16"/>
        </w:rPr>
        <w:t> </w:t>
      </w:r>
      <w:r>
        <w:rPr>
          <w:color w:val="231F20"/>
          <w:sz w:val="16"/>
        </w:rPr>
        <w:t>Check</w:t>
      </w:r>
      <w:r>
        <w:rPr>
          <w:color w:val="231F20"/>
          <w:spacing w:val="-5"/>
          <w:sz w:val="16"/>
        </w:rPr>
        <w:t> </w:t>
      </w:r>
      <w:r>
        <w:rPr>
          <w:color w:val="231F20"/>
          <w:sz w:val="16"/>
        </w:rPr>
        <w:t>of</w:t>
      </w:r>
      <w:r>
        <w:rPr>
          <w:color w:val="231F20"/>
          <w:spacing w:val="-3"/>
          <w:sz w:val="16"/>
        </w:rPr>
        <w:t> </w:t>
      </w:r>
      <w:r>
        <w:rPr>
          <w:color w:val="231F20"/>
          <w:sz w:val="16"/>
        </w:rPr>
        <w:t>EU</w:t>
      </w:r>
      <w:r>
        <w:rPr>
          <w:color w:val="231F20"/>
          <w:spacing w:val="-3"/>
          <w:sz w:val="16"/>
        </w:rPr>
        <w:t> </w:t>
      </w:r>
      <w:r>
        <w:rPr>
          <w:color w:val="231F20"/>
          <w:sz w:val="16"/>
        </w:rPr>
        <w:t>consumer</w:t>
      </w:r>
      <w:r>
        <w:rPr>
          <w:color w:val="231F20"/>
          <w:spacing w:val="-3"/>
          <w:sz w:val="16"/>
        </w:rPr>
        <w:t> </w:t>
      </w:r>
      <w:r>
        <w:rPr>
          <w:color w:val="231F20"/>
          <w:sz w:val="16"/>
        </w:rPr>
        <w:t>and</w:t>
      </w:r>
      <w:r>
        <w:rPr>
          <w:color w:val="231F20"/>
          <w:spacing w:val="40"/>
          <w:sz w:val="16"/>
        </w:rPr>
        <w:t> </w:t>
      </w:r>
      <w:r>
        <w:rPr>
          <w:color w:val="231F20"/>
          <w:sz w:val="16"/>
        </w:rPr>
        <w:t>marketing law.</w:t>
      </w:r>
      <w:r>
        <w:rPr>
          <w:color w:val="231F20"/>
          <w:spacing w:val="-1"/>
          <w:sz w:val="16"/>
        </w:rPr>
        <w:t> </w:t>
      </w:r>
      <w:r>
        <w:rPr>
          <w:color w:val="231F20"/>
          <w:sz w:val="16"/>
        </w:rPr>
        <w:t>Final</w:t>
      </w:r>
      <w:r>
        <w:rPr>
          <w:color w:val="231F20"/>
          <w:spacing w:val="-3"/>
          <w:sz w:val="16"/>
        </w:rPr>
        <w:t> </w:t>
      </w:r>
      <w:r>
        <w:rPr>
          <w:color w:val="231F20"/>
          <w:sz w:val="16"/>
        </w:rPr>
        <w:t>report</w:t>
      </w:r>
      <w:r>
        <w:rPr>
          <w:color w:val="231F20"/>
          <w:spacing w:val="-1"/>
          <w:sz w:val="16"/>
        </w:rPr>
        <w:t> </w:t>
      </w:r>
      <w:r>
        <w:rPr>
          <w:color w:val="231F20"/>
          <w:sz w:val="16"/>
        </w:rPr>
        <w:t>Part</w:t>
      </w:r>
      <w:r>
        <w:rPr>
          <w:color w:val="231F20"/>
          <w:spacing w:val="-3"/>
          <w:sz w:val="16"/>
        </w:rPr>
        <w:t> </w:t>
      </w:r>
      <w:r>
        <w:rPr>
          <w:color w:val="231F20"/>
          <w:sz w:val="16"/>
        </w:rPr>
        <w:t>1</w:t>
      </w:r>
      <w:r>
        <w:rPr>
          <w:color w:val="231F20"/>
          <w:spacing w:val="-2"/>
          <w:sz w:val="16"/>
        </w:rPr>
        <w:t> </w:t>
      </w:r>
      <w:r>
        <w:rPr>
          <w:rFonts w:ascii="Arial" w:hAnsi="Arial"/>
          <w:color w:val="231F20"/>
          <w:sz w:val="16"/>
        </w:rPr>
        <w:t>–</w:t>
      </w:r>
      <w:r>
        <w:rPr>
          <w:rFonts w:ascii="Arial" w:hAnsi="Arial"/>
          <w:color w:val="231F20"/>
          <w:spacing w:val="-7"/>
          <w:sz w:val="16"/>
        </w:rPr>
        <w:t> </w:t>
      </w:r>
      <w:r>
        <w:rPr>
          <w:color w:val="231F20"/>
          <w:sz w:val="16"/>
        </w:rPr>
        <w:t>Main report</w:t>
      </w:r>
      <w:r>
        <w:rPr>
          <w:rFonts w:ascii="Arial" w:hAnsi="Arial"/>
          <w:color w:val="231F20"/>
          <w:sz w:val="16"/>
        </w:rPr>
        <w:t>’</w:t>
      </w:r>
      <w:r>
        <w:rPr>
          <w:color w:val="231F20"/>
          <w:sz w:val="16"/>
        </w:rPr>
        <w:t>,</w:t>
      </w:r>
      <w:r>
        <w:rPr>
          <w:color w:val="231F20"/>
          <w:spacing w:val="-2"/>
          <w:sz w:val="16"/>
        </w:rPr>
        <w:t> </w:t>
      </w:r>
      <w:r>
        <w:rPr>
          <w:color w:val="231F20"/>
          <w:sz w:val="16"/>
        </w:rPr>
        <w:t>May</w:t>
      </w:r>
      <w:r>
        <w:rPr>
          <w:color w:val="231F20"/>
          <w:spacing w:val="-1"/>
          <w:sz w:val="16"/>
        </w:rPr>
        <w:t> </w:t>
      </w:r>
      <w:r>
        <w:rPr>
          <w:color w:val="231F20"/>
          <w:sz w:val="16"/>
        </w:rPr>
        <w:t>2017,</w:t>
      </w:r>
      <w:r>
        <w:rPr>
          <w:color w:val="231F20"/>
          <w:spacing w:val="-1"/>
          <w:sz w:val="16"/>
        </w:rPr>
        <w:t> </w:t>
      </w:r>
      <w:r>
        <w:rPr>
          <w:color w:val="231F20"/>
          <w:sz w:val="16"/>
        </w:rPr>
        <w:t>p</w:t>
      </w:r>
      <w:r>
        <w:rPr>
          <w:color w:val="231F20"/>
          <w:spacing w:val="-2"/>
          <w:sz w:val="16"/>
        </w:rPr>
        <w:t> </w:t>
      </w:r>
      <w:r>
        <w:rPr>
          <w:color w:val="231F20"/>
          <w:sz w:val="16"/>
        </w:rPr>
        <w:t>82, op.europa.eu/en/publication-</w:t>
      </w:r>
      <w:r>
        <w:rPr>
          <w:color w:val="231F20"/>
          <w:spacing w:val="40"/>
          <w:sz w:val="16"/>
        </w:rPr>
        <w:t> </w:t>
      </w:r>
      <w:r>
        <w:rPr>
          <w:color w:val="231F20"/>
          <w:sz w:val="16"/>
        </w:rPr>
        <w:t>detail/-/publication/f7b3958b-772b-11e7-b2f2-01aa75ed71a1/language-en. M.B.M. </w:t>
      </w:r>
      <w:r>
        <w:rPr>
          <w:color w:val="231F20"/>
          <w:sz w:val="16"/>
        </w:rPr>
        <w:t>L</w:t>
      </w:r>
      <w:r>
        <w:rPr>
          <w:color w:val="231F20"/>
          <w:sz w:val="11"/>
        </w:rPr>
        <w:t>OOS</w:t>
      </w:r>
      <w:r>
        <w:rPr>
          <w:color w:val="231F20"/>
          <w:sz w:val="16"/>
        </w:rPr>
        <w:t>,</w:t>
      </w:r>
      <w:r>
        <w:rPr>
          <w:color w:val="231F20"/>
          <w:spacing w:val="40"/>
          <w:sz w:val="16"/>
        </w:rPr>
        <w:t> </w:t>
      </w:r>
      <w:r>
        <w:rPr>
          <w:rFonts w:ascii="Arial" w:hAnsi="Arial"/>
          <w:color w:val="231F20"/>
          <w:sz w:val="16"/>
        </w:rPr>
        <w:t>‘</w:t>
      </w:r>
      <w:r>
        <w:rPr>
          <w:color w:val="231F20"/>
          <w:sz w:val="16"/>
        </w:rPr>
        <w:t>Transparency of Standard Terms under the Unfair Contract Terms Directive and the Proposal</w:t>
      </w:r>
      <w:r>
        <w:rPr>
          <w:color w:val="231F20"/>
          <w:spacing w:val="40"/>
          <w:sz w:val="16"/>
        </w:rPr>
        <w:t> </w:t>
      </w:r>
      <w:r>
        <w:rPr>
          <w:color w:val="231F20"/>
          <w:sz w:val="16"/>
        </w:rPr>
        <w:t>for a Common European Sales Law</w:t>
      </w:r>
      <w:r>
        <w:rPr>
          <w:rFonts w:ascii="Arial" w:hAnsi="Arial"/>
          <w:color w:val="231F20"/>
          <w:sz w:val="16"/>
        </w:rPr>
        <w:t>’</w:t>
      </w:r>
      <w:r>
        <w:rPr>
          <w:color w:val="231F20"/>
          <w:sz w:val="16"/>
        </w:rPr>
        <w:t>, 23. </w:t>
      </w:r>
      <w:r>
        <w:rPr>
          <w:i/>
          <w:color w:val="231F20"/>
          <w:sz w:val="16"/>
        </w:rPr>
        <w:t>ERPL </w:t>
      </w:r>
      <w:r>
        <w:rPr>
          <w:color w:val="231F20"/>
          <w:sz w:val="16"/>
        </w:rPr>
        <w:t>2015, p (179) at 182</w:t>
      </w:r>
      <w:r>
        <w:rPr>
          <w:rFonts w:ascii="Arial" w:hAnsi="Arial"/>
          <w:color w:val="231F20"/>
          <w:sz w:val="16"/>
        </w:rPr>
        <w:t>–</w:t>
      </w:r>
      <w:r>
        <w:rPr>
          <w:color w:val="231F20"/>
          <w:sz w:val="16"/>
        </w:rPr>
        <w:t>183, doi: 10.54648/</w:t>
      </w:r>
      <w:r>
        <w:rPr>
          <w:color w:val="231F20"/>
          <w:spacing w:val="40"/>
          <w:sz w:val="16"/>
        </w:rPr>
        <w:t> </w:t>
      </w:r>
      <w:r>
        <w:rPr>
          <w:color w:val="231F20"/>
          <w:spacing w:val="-2"/>
          <w:sz w:val="16"/>
        </w:rPr>
        <w:t>ERPL2015015.</w:t>
      </w:r>
    </w:p>
    <w:p>
      <w:pPr>
        <w:pStyle w:val="ListParagraph"/>
        <w:numPr>
          <w:ilvl w:val="0"/>
          <w:numId w:val="3"/>
        </w:numPr>
        <w:tabs>
          <w:tab w:pos="865" w:val="left" w:leader="none"/>
        </w:tabs>
        <w:spacing w:line="240" w:lineRule="auto" w:before="4" w:after="0"/>
        <w:ind w:left="865" w:right="0" w:hanging="353"/>
        <w:jc w:val="left"/>
        <w:rPr>
          <w:sz w:val="16"/>
        </w:rPr>
      </w:pPr>
      <w:r>
        <w:rPr>
          <w:color w:val="231F20"/>
          <w:sz w:val="16"/>
        </w:rPr>
        <w:t>M.</w:t>
      </w:r>
      <w:r>
        <w:rPr>
          <w:color w:val="231F20"/>
          <w:spacing w:val="-4"/>
          <w:sz w:val="16"/>
        </w:rPr>
        <w:t> </w:t>
      </w:r>
      <w:r>
        <w:rPr>
          <w:color w:val="231F20"/>
          <w:sz w:val="16"/>
        </w:rPr>
        <w:t>E</w:t>
      </w:r>
      <w:r>
        <w:rPr>
          <w:color w:val="231F20"/>
          <w:sz w:val="11"/>
        </w:rPr>
        <w:t>BERS</w:t>
      </w:r>
      <w:r>
        <w:rPr>
          <w:color w:val="231F20"/>
          <w:sz w:val="16"/>
        </w:rPr>
        <w:t>,</w:t>
      </w:r>
      <w:r>
        <w:rPr>
          <w:color w:val="231F20"/>
          <w:spacing w:val="-4"/>
          <w:sz w:val="16"/>
        </w:rPr>
        <w:t> </w:t>
      </w:r>
      <w:r>
        <w:rPr>
          <w:color w:val="231F20"/>
          <w:sz w:val="16"/>
        </w:rPr>
        <w:t>in</w:t>
      </w:r>
      <w:r>
        <w:rPr>
          <w:color w:val="231F20"/>
          <w:spacing w:val="-4"/>
          <w:sz w:val="16"/>
        </w:rPr>
        <w:t> </w:t>
      </w:r>
      <w:r>
        <w:rPr>
          <w:i/>
          <w:color w:val="231F20"/>
          <w:sz w:val="16"/>
        </w:rPr>
        <w:t>EC</w:t>
      </w:r>
      <w:r>
        <w:rPr>
          <w:i/>
          <w:color w:val="231F20"/>
          <w:spacing w:val="-3"/>
          <w:sz w:val="16"/>
        </w:rPr>
        <w:t> </w:t>
      </w:r>
      <w:r>
        <w:rPr>
          <w:i/>
          <w:color w:val="231F20"/>
          <w:sz w:val="16"/>
        </w:rPr>
        <w:t>Consumer</w:t>
      </w:r>
      <w:r>
        <w:rPr>
          <w:i/>
          <w:color w:val="231F20"/>
          <w:spacing w:val="-3"/>
          <w:sz w:val="16"/>
        </w:rPr>
        <w:t> </w:t>
      </w:r>
      <w:r>
        <w:rPr>
          <w:i/>
          <w:color w:val="231F20"/>
          <w:sz w:val="16"/>
        </w:rPr>
        <w:t>Law</w:t>
      </w:r>
      <w:r>
        <w:rPr>
          <w:i/>
          <w:color w:val="231F20"/>
          <w:spacing w:val="-3"/>
          <w:sz w:val="16"/>
        </w:rPr>
        <w:t> </w:t>
      </w:r>
      <w:r>
        <w:rPr>
          <w:i/>
          <w:color w:val="231F20"/>
          <w:sz w:val="16"/>
        </w:rPr>
        <w:t>Compendium</w:t>
      </w:r>
      <w:r>
        <w:rPr>
          <w:color w:val="231F20"/>
          <w:sz w:val="16"/>
        </w:rPr>
        <w:t>,</w:t>
      </w:r>
      <w:r>
        <w:rPr>
          <w:color w:val="231F20"/>
          <w:spacing w:val="-4"/>
          <w:sz w:val="16"/>
        </w:rPr>
        <w:t> </w:t>
      </w:r>
      <w:r>
        <w:rPr>
          <w:color w:val="231F20"/>
          <w:sz w:val="16"/>
        </w:rPr>
        <w:t>p</w:t>
      </w:r>
      <w:r>
        <w:rPr>
          <w:color w:val="231F20"/>
          <w:spacing w:val="-3"/>
          <w:sz w:val="16"/>
        </w:rPr>
        <w:t> </w:t>
      </w:r>
      <w:r>
        <w:rPr>
          <w:color w:val="231F20"/>
          <w:spacing w:val="-4"/>
          <w:sz w:val="16"/>
        </w:rPr>
        <w:t>248.</w:t>
      </w:r>
    </w:p>
    <w:p>
      <w:pPr>
        <w:pStyle w:val="ListParagraph"/>
        <w:numPr>
          <w:ilvl w:val="0"/>
          <w:numId w:val="3"/>
        </w:numPr>
        <w:tabs>
          <w:tab w:pos="865" w:val="left" w:leader="none"/>
        </w:tabs>
        <w:spacing w:line="240" w:lineRule="auto" w:before="34" w:after="0"/>
        <w:ind w:left="865" w:right="0" w:hanging="353"/>
        <w:jc w:val="left"/>
        <w:rPr>
          <w:sz w:val="16"/>
        </w:rPr>
      </w:pPr>
      <w:r>
        <w:rPr>
          <w:color w:val="231F20"/>
          <w:sz w:val="16"/>
        </w:rPr>
        <w:t>Commission</w:t>
      </w:r>
      <w:r>
        <w:rPr>
          <w:color w:val="231F20"/>
          <w:spacing w:val="-4"/>
          <w:sz w:val="16"/>
        </w:rPr>
        <w:t> </w:t>
      </w:r>
      <w:r>
        <w:rPr>
          <w:color w:val="231F20"/>
          <w:sz w:val="16"/>
        </w:rPr>
        <w:t>of the</w:t>
      </w:r>
      <w:r>
        <w:rPr>
          <w:color w:val="231F20"/>
          <w:spacing w:val="-3"/>
          <w:sz w:val="16"/>
        </w:rPr>
        <w:t> </w:t>
      </w:r>
      <w:r>
        <w:rPr>
          <w:color w:val="231F20"/>
          <w:sz w:val="16"/>
        </w:rPr>
        <w:t>European</w:t>
      </w:r>
      <w:r>
        <w:rPr>
          <w:color w:val="231F20"/>
          <w:spacing w:val="-3"/>
          <w:sz w:val="16"/>
        </w:rPr>
        <w:t> </w:t>
      </w:r>
      <w:r>
        <w:rPr>
          <w:color w:val="231F20"/>
          <w:sz w:val="16"/>
        </w:rPr>
        <w:t>Communities,</w:t>
      </w:r>
      <w:r>
        <w:rPr>
          <w:color w:val="231F20"/>
          <w:spacing w:val="-2"/>
          <w:sz w:val="16"/>
        </w:rPr>
        <w:t> </w:t>
      </w:r>
      <w:r>
        <w:rPr>
          <w:rFonts w:ascii="Arial" w:hAnsi="Arial"/>
          <w:color w:val="231F20"/>
          <w:sz w:val="16"/>
        </w:rPr>
        <w:t>‘</w:t>
      </w:r>
      <w:r>
        <w:rPr>
          <w:color w:val="231F20"/>
          <w:sz w:val="16"/>
        </w:rPr>
        <w:t>Report</w:t>
      </w:r>
      <w:r>
        <w:rPr>
          <w:color w:val="231F20"/>
          <w:spacing w:val="-3"/>
          <w:sz w:val="16"/>
        </w:rPr>
        <w:t> </w:t>
      </w:r>
      <w:r>
        <w:rPr>
          <w:color w:val="231F20"/>
          <w:sz w:val="16"/>
        </w:rPr>
        <w:t>from</w:t>
      </w:r>
      <w:r>
        <w:rPr>
          <w:color w:val="231F20"/>
          <w:spacing w:val="-2"/>
          <w:sz w:val="16"/>
        </w:rPr>
        <w:t> </w:t>
      </w:r>
      <w:r>
        <w:rPr>
          <w:color w:val="231F20"/>
          <w:sz w:val="16"/>
        </w:rPr>
        <w:t>the</w:t>
      </w:r>
      <w:r>
        <w:rPr>
          <w:color w:val="231F20"/>
          <w:spacing w:val="-3"/>
          <w:sz w:val="16"/>
        </w:rPr>
        <w:t> </w:t>
      </w:r>
      <w:r>
        <w:rPr>
          <w:color w:val="231F20"/>
          <w:sz w:val="16"/>
        </w:rPr>
        <w:t>Commission</w:t>
      </w:r>
      <w:r>
        <w:rPr>
          <w:rFonts w:ascii="Arial" w:hAnsi="Arial"/>
          <w:color w:val="231F20"/>
          <w:sz w:val="16"/>
        </w:rPr>
        <w:t>’</w:t>
      </w:r>
      <w:r>
        <w:rPr>
          <w:color w:val="231F20"/>
          <w:sz w:val="16"/>
        </w:rPr>
        <w:t>,</w:t>
      </w:r>
      <w:r>
        <w:rPr>
          <w:color w:val="231F20"/>
          <w:spacing w:val="-2"/>
          <w:sz w:val="16"/>
        </w:rPr>
        <w:t> </w:t>
      </w:r>
      <w:r>
        <w:rPr>
          <w:color w:val="231F20"/>
          <w:sz w:val="16"/>
        </w:rPr>
        <w:t>p</w:t>
      </w:r>
      <w:r>
        <w:rPr>
          <w:color w:val="231F20"/>
          <w:spacing w:val="-3"/>
          <w:sz w:val="16"/>
        </w:rPr>
        <w:t> </w:t>
      </w:r>
      <w:r>
        <w:rPr>
          <w:color w:val="231F20"/>
          <w:spacing w:val="-5"/>
          <w:sz w:val="16"/>
        </w:rPr>
        <w:t>18.</w:t>
      </w:r>
    </w:p>
    <w:p>
      <w:pPr>
        <w:pStyle w:val="ListParagraph"/>
        <w:numPr>
          <w:ilvl w:val="0"/>
          <w:numId w:val="3"/>
        </w:numPr>
        <w:tabs>
          <w:tab w:pos="865" w:val="left" w:leader="none"/>
        </w:tabs>
        <w:spacing w:line="240" w:lineRule="auto" w:before="33" w:after="0"/>
        <w:ind w:left="865" w:right="0" w:hanging="353"/>
        <w:jc w:val="left"/>
        <w:rPr>
          <w:sz w:val="16"/>
        </w:rPr>
      </w:pPr>
      <w:r>
        <w:rPr>
          <w:color w:val="231F20"/>
          <w:sz w:val="16"/>
        </w:rPr>
        <w:t>Commission</w:t>
      </w:r>
      <w:r>
        <w:rPr>
          <w:color w:val="231F20"/>
          <w:spacing w:val="-4"/>
          <w:sz w:val="16"/>
        </w:rPr>
        <w:t> </w:t>
      </w:r>
      <w:r>
        <w:rPr>
          <w:color w:val="231F20"/>
          <w:sz w:val="16"/>
        </w:rPr>
        <w:t>of the</w:t>
      </w:r>
      <w:r>
        <w:rPr>
          <w:color w:val="231F20"/>
          <w:spacing w:val="-3"/>
          <w:sz w:val="16"/>
        </w:rPr>
        <w:t> </w:t>
      </w:r>
      <w:r>
        <w:rPr>
          <w:color w:val="231F20"/>
          <w:sz w:val="16"/>
        </w:rPr>
        <w:t>European</w:t>
      </w:r>
      <w:r>
        <w:rPr>
          <w:color w:val="231F20"/>
          <w:spacing w:val="-3"/>
          <w:sz w:val="16"/>
        </w:rPr>
        <w:t> </w:t>
      </w:r>
      <w:r>
        <w:rPr>
          <w:color w:val="231F20"/>
          <w:sz w:val="16"/>
        </w:rPr>
        <w:t>Communities,</w:t>
      </w:r>
      <w:r>
        <w:rPr>
          <w:color w:val="231F20"/>
          <w:spacing w:val="-2"/>
          <w:sz w:val="16"/>
        </w:rPr>
        <w:t> </w:t>
      </w:r>
      <w:r>
        <w:rPr>
          <w:rFonts w:ascii="Arial" w:hAnsi="Arial"/>
          <w:color w:val="231F20"/>
          <w:sz w:val="16"/>
        </w:rPr>
        <w:t>‘</w:t>
      </w:r>
      <w:r>
        <w:rPr>
          <w:color w:val="231F20"/>
          <w:sz w:val="16"/>
        </w:rPr>
        <w:t>Report</w:t>
      </w:r>
      <w:r>
        <w:rPr>
          <w:color w:val="231F20"/>
          <w:spacing w:val="-3"/>
          <w:sz w:val="16"/>
        </w:rPr>
        <w:t> </w:t>
      </w:r>
      <w:r>
        <w:rPr>
          <w:color w:val="231F20"/>
          <w:sz w:val="16"/>
        </w:rPr>
        <w:t>from</w:t>
      </w:r>
      <w:r>
        <w:rPr>
          <w:color w:val="231F20"/>
          <w:spacing w:val="-2"/>
          <w:sz w:val="16"/>
        </w:rPr>
        <w:t> </w:t>
      </w:r>
      <w:r>
        <w:rPr>
          <w:color w:val="231F20"/>
          <w:sz w:val="16"/>
        </w:rPr>
        <w:t>the</w:t>
      </w:r>
      <w:r>
        <w:rPr>
          <w:color w:val="231F20"/>
          <w:spacing w:val="-3"/>
          <w:sz w:val="16"/>
        </w:rPr>
        <w:t> </w:t>
      </w:r>
      <w:r>
        <w:rPr>
          <w:color w:val="231F20"/>
          <w:sz w:val="16"/>
        </w:rPr>
        <w:t>Commission</w:t>
      </w:r>
      <w:r>
        <w:rPr>
          <w:rFonts w:ascii="Arial" w:hAnsi="Arial"/>
          <w:color w:val="231F20"/>
          <w:sz w:val="16"/>
        </w:rPr>
        <w:t>’</w:t>
      </w:r>
      <w:r>
        <w:rPr>
          <w:color w:val="231F20"/>
          <w:sz w:val="16"/>
        </w:rPr>
        <w:t>,</w:t>
      </w:r>
      <w:r>
        <w:rPr>
          <w:color w:val="231F20"/>
          <w:spacing w:val="-2"/>
          <w:sz w:val="16"/>
        </w:rPr>
        <w:t> </w:t>
      </w:r>
      <w:r>
        <w:rPr>
          <w:color w:val="231F20"/>
          <w:sz w:val="16"/>
        </w:rPr>
        <w:t>p</w:t>
      </w:r>
      <w:r>
        <w:rPr>
          <w:color w:val="231F20"/>
          <w:spacing w:val="-3"/>
          <w:sz w:val="16"/>
        </w:rPr>
        <w:t> </w:t>
      </w:r>
      <w:r>
        <w:rPr>
          <w:color w:val="231F20"/>
          <w:spacing w:val="-5"/>
          <w:sz w:val="16"/>
        </w:rPr>
        <w:t>18.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This</w:t>
      </w:r>
      <w:r>
        <w:rPr>
          <w:color w:val="231F20"/>
          <w:spacing w:val="20"/>
          <w:sz w:val="16"/>
        </w:rPr>
        <w:t> </w:t>
      </w:r>
      <w:r>
        <w:rPr>
          <w:color w:val="231F20"/>
          <w:sz w:val="16"/>
        </w:rPr>
        <w:t>interpretation</w:t>
      </w:r>
      <w:r>
        <w:rPr>
          <w:color w:val="231F20"/>
          <w:spacing w:val="20"/>
          <w:sz w:val="16"/>
        </w:rPr>
        <w:t> </w:t>
      </w:r>
      <w:r>
        <w:rPr>
          <w:color w:val="231F20"/>
          <w:sz w:val="16"/>
        </w:rPr>
        <w:t>started</w:t>
      </w:r>
      <w:r>
        <w:rPr>
          <w:color w:val="231F20"/>
          <w:spacing w:val="22"/>
          <w:sz w:val="16"/>
        </w:rPr>
        <w:t> </w:t>
      </w:r>
      <w:r>
        <w:rPr>
          <w:color w:val="231F20"/>
          <w:sz w:val="16"/>
        </w:rPr>
        <w:t>in</w:t>
      </w:r>
      <w:r>
        <w:rPr>
          <w:color w:val="231F20"/>
          <w:spacing w:val="21"/>
          <w:sz w:val="16"/>
        </w:rPr>
        <w:t> </w:t>
      </w:r>
      <w:r>
        <w:rPr>
          <w:color w:val="231F20"/>
          <w:sz w:val="16"/>
        </w:rPr>
        <w:t>the</w:t>
      </w:r>
      <w:r>
        <w:rPr>
          <w:color w:val="231F20"/>
          <w:spacing w:val="21"/>
          <w:sz w:val="16"/>
        </w:rPr>
        <w:t> </w:t>
      </w:r>
      <w:r>
        <w:rPr>
          <w:color w:val="231F20"/>
          <w:sz w:val="16"/>
        </w:rPr>
        <w:t>case</w:t>
      </w:r>
      <w:r>
        <w:rPr>
          <w:color w:val="231F20"/>
          <w:spacing w:val="21"/>
          <w:sz w:val="16"/>
        </w:rPr>
        <w:t> </w:t>
      </w:r>
      <w:r>
        <w:rPr>
          <w:color w:val="231F20"/>
          <w:sz w:val="16"/>
        </w:rPr>
        <w:t>Banco</w:t>
      </w:r>
      <w:r>
        <w:rPr>
          <w:color w:val="231F20"/>
          <w:spacing w:val="21"/>
          <w:sz w:val="16"/>
        </w:rPr>
        <w:t> </w:t>
      </w:r>
      <w:r>
        <w:rPr>
          <w:color w:val="231F20"/>
          <w:sz w:val="16"/>
        </w:rPr>
        <w:t>Primus,</w:t>
      </w:r>
      <w:r>
        <w:rPr>
          <w:color w:val="231F20"/>
          <w:spacing w:val="21"/>
          <w:sz w:val="16"/>
        </w:rPr>
        <w:t> </w:t>
      </w:r>
      <w:r>
        <w:rPr>
          <w:color w:val="231F20"/>
          <w:sz w:val="16"/>
        </w:rPr>
        <w:t>ECJ</w:t>
      </w:r>
      <w:r>
        <w:rPr>
          <w:color w:val="231F20"/>
          <w:spacing w:val="21"/>
          <w:sz w:val="16"/>
        </w:rPr>
        <w:t> </w:t>
      </w:r>
      <w:r>
        <w:rPr>
          <w:color w:val="231F20"/>
          <w:sz w:val="16"/>
        </w:rPr>
        <w:t>26</w:t>
      </w:r>
      <w:r>
        <w:rPr>
          <w:color w:val="231F20"/>
          <w:spacing w:val="21"/>
          <w:sz w:val="16"/>
        </w:rPr>
        <w:t> </w:t>
      </w:r>
      <w:r>
        <w:rPr>
          <w:color w:val="231F20"/>
          <w:sz w:val="16"/>
        </w:rPr>
        <w:t>Jan.</w:t>
      </w:r>
      <w:r>
        <w:rPr>
          <w:color w:val="231F20"/>
          <w:spacing w:val="20"/>
          <w:sz w:val="16"/>
        </w:rPr>
        <w:t> </w:t>
      </w:r>
      <w:r>
        <w:rPr>
          <w:color w:val="231F20"/>
          <w:sz w:val="16"/>
        </w:rPr>
        <w:t>2017,</w:t>
      </w:r>
      <w:r>
        <w:rPr>
          <w:color w:val="231F20"/>
          <w:spacing w:val="22"/>
          <w:sz w:val="16"/>
        </w:rPr>
        <w:t> </w:t>
      </w:r>
      <w:r>
        <w:rPr>
          <w:color w:val="231F20"/>
          <w:spacing w:val="-2"/>
          <w:sz w:val="16"/>
        </w:rPr>
        <w:t>ECLI:EU:C:2017:60,</w:t>
      </w:r>
    </w:p>
    <w:p>
      <w:pPr>
        <w:spacing w:before="37"/>
        <w:ind w:left="866" w:right="0" w:firstLine="0"/>
        <w:jc w:val="left"/>
        <w:rPr>
          <w:sz w:val="16"/>
        </w:rPr>
      </w:pPr>
      <w:r>
        <w:rPr>
          <w:i/>
          <w:color w:val="231F20"/>
          <w:spacing w:val="-2"/>
          <w:sz w:val="16"/>
        </w:rPr>
        <w:t>Banco</w:t>
      </w:r>
      <w:r>
        <w:rPr>
          <w:i/>
          <w:color w:val="231F20"/>
          <w:spacing w:val="12"/>
          <w:sz w:val="16"/>
        </w:rPr>
        <w:t> </w:t>
      </w:r>
      <w:r>
        <w:rPr>
          <w:i/>
          <w:color w:val="231F20"/>
          <w:spacing w:val="-2"/>
          <w:sz w:val="16"/>
        </w:rPr>
        <w:t>Primus</w:t>
      </w:r>
      <w:r>
        <w:rPr>
          <w:i/>
          <w:color w:val="231F20"/>
          <w:spacing w:val="13"/>
          <w:sz w:val="16"/>
        </w:rPr>
        <w:t> </w:t>
      </w:r>
      <w:r>
        <w:rPr>
          <w:i/>
          <w:color w:val="231F20"/>
          <w:spacing w:val="-2"/>
          <w:sz w:val="16"/>
        </w:rPr>
        <w:t>SA</w:t>
      </w:r>
      <w:r>
        <w:rPr>
          <w:i/>
          <w:color w:val="231F20"/>
          <w:spacing w:val="13"/>
          <w:sz w:val="16"/>
        </w:rPr>
        <w:t> </w:t>
      </w:r>
      <w:r>
        <w:rPr>
          <w:color w:val="231F20"/>
          <w:spacing w:val="-2"/>
          <w:sz w:val="16"/>
        </w:rPr>
        <w:t>v.</w:t>
      </w:r>
      <w:r>
        <w:rPr>
          <w:color w:val="231F20"/>
          <w:spacing w:val="13"/>
          <w:sz w:val="16"/>
        </w:rPr>
        <w:t> </w:t>
      </w:r>
      <w:r>
        <w:rPr>
          <w:i/>
          <w:color w:val="231F20"/>
          <w:spacing w:val="-2"/>
          <w:sz w:val="16"/>
        </w:rPr>
        <w:t>Jesús</w:t>
      </w:r>
      <w:r>
        <w:rPr>
          <w:i/>
          <w:color w:val="231F20"/>
          <w:spacing w:val="13"/>
          <w:sz w:val="16"/>
        </w:rPr>
        <w:t> </w:t>
      </w:r>
      <w:r>
        <w:rPr>
          <w:i/>
          <w:color w:val="231F20"/>
          <w:spacing w:val="-2"/>
          <w:sz w:val="16"/>
        </w:rPr>
        <w:t>Gutiérrez</w:t>
      </w:r>
      <w:r>
        <w:rPr>
          <w:i/>
          <w:color w:val="231F20"/>
          <w:spacing w:val="13"/>
          <w:sz w:val="16"/>
        </w:rPr>
        <w:t> </w:t>
      </w:r>
      <w:r>
        <w:rPr>
          <w:i/>
          <w:color w:val="231F20"/>
          <w:spacing w:val="-2"/>
          <w:sz w:val="16"/>
        </w:rPr>
        <w:t>García</w:t>
      </w:r>
      <w:r>
        <w:rPr>
          <w:color w:val="231F20"/>
          <w:spacing w:val="-2"/>
          <w:sz w:val="16"/>
        </w:rPr>
        <w:t>,</w:t>
      </w:r>
      <w:r>
        <w:rPr>
          <w:color w:val="231F20"/>
          <w:spacing w:val="13"/>
          <w:sz w:val="16"/>
        </w:rPr>
        <w:t> </w:t>
      </w:r>
      <w:r>
        <w:rPr>
          <w:color w:val="231F20"/>
          <w:spacing w:val="-2"/>
          <w:sz w:val="16"/>
        </w:rPr>
        <w:t>curia.europa.eu/juris/liste.jsf?num=C-421/14,</w:t>
      </w:r>
      <w:r>
        <w:rPr>
          <w:color w:val="231F20"/>
          <w:spacing w:val="13"/>
          <w:sz w:val="16"/>
        </w:rPr>
        <w:t> </w:t>
      </w:r>
      <w:r>
        <w:rPr>
          <w:color w:val="231F20"/>
          <w:spacing w:val="-2"/>
          <w:sz w:val="16"/>
        </w:rPr>
        <w:t>para.</w:t>
      </w:r>
    </w:p>
    <w:p>
      <w:pPr>
        <w:spacing w:after="0"/>
        <w:jc w:val="left"/>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324" w:val="left" w:leader="none"/>
        </w:tabs>
        <w:spacing w:line="288" w:lineRule="auto" w:before="0" w:after="0"/>
        <w:ind w:left="871" w:right="866" w:firstLine="0"/>
        <w:jc w:val="both"/>
        <w:rPr>
          <w:sz w:val="19"/>
        </w:rPr>
      </w:pPr>
      <w:r>
        <w:rPr>
          <w:color w:val="231F20"/>
          <w:sz w:val="19"/>
        </w:rPr>
        <w:t>As</w:t>
      </w:r>
      <w:r>
        <w:rPr>
          <w:color w:val="231F20"/>
          <w:spacing w:val="-2"/>
          <w:sz w:val="19"/>
        </w:rPr>
        <w:t> </w:t>
      </w:r>
      <w:r>
        <w:rPr>
          <w:color w:val="231F20"/>
          <w:sz w:val="19"/>
        </w:rPr>
        <w:t>unfairness</w:t>
      </w:r>
      <w:r>
        <w:rPr>
          <w:color w:val="231F20"/>
          <w:spacing w:val="-2"/>
          <w:sz w:val="19"/>
        </w:rPr>
        <w:t> </w:t>
      </w:r>
      <w:r>
        <w:rPr>
          <w:color w:val="231F20"/>
          <w:sz w:val="19"/>
        </w:rPr>
        <w:t>under</w:t>
      </w:r>
      <w:r>
        <w:rPr>
          <w:color w:val="231F20"/>
          <w:spacing w:val="-2"/>
          <w:sz w:val="19"/>
        </w:rPr>
        <w:t> </w:t>
      </w:r>
      <w:r>
        <w:rPr>
          <w:color w:val="231F20"/>
          <w:sz w:val="19"/>
        </w:rPr>
        <w:t>the</w:t>
      </w:r>
      <w:r>
        <w:rPr>
          <w:color w:val="231F20"/>
          <w:spacing w:val="-1"/>
          <w:sz w:val="19"/>
        </w:rPr>
        <w:t> </w:t>
      </w:r>
      <w:r>
        <w:rPr>
          <w:color w:val="231F20"/>
          <w:sz w:val="19"/>
        </w:rPr>
        <w:t>UCTD</w:t>
      </w:r>
      <w:r>
        <w:rPr>
          <w:color w:val="231F20"/>
          <w:spacing w:val="-1"/>
          <w:sz w:val="19"/>
        </w:rPr>
        <w:t> </w:t>
      </w:r>
      <w:r>
        <w:rPr>
          <w:color w:val="231F20"/>
          <w:sz w:val="19"/>
        </w:rPr>
        <w:t>is</w:t>
      </w:r>
      <w:r>
        <w:rPr>
          <w:color w:val="231F20"/>
          <w:spacing w:val="-2"/>
          <w:sz w:val="19"/>
        </w:rPr>
        <w:t> </w:t>
      </w:r>
      <w:r>
        <w:rPr>
          <w:color w:val="231F20"/>
          <w:sz w:val="19"/>
        </w:rPr>
        <w:t>a</w:t>
      </w:r>
      <w:r>
        <w:rPr>
          <w:color w:val="231F20"/>
          <w:spacing w:val="-2"/>
          <w:sz w:val="19"/>
        </w:rPr>
        <w:t> </w:t>
      </w:r>
      <w:r>
        <w:rPr>
          <w:color w:val="231F20"/>
          <w:sz w:val="19"/>
        </w:rPr>
        <w:t>Union</w:t>
      </w:r>
      <w:r>
        <w:rPr>
          <w:color w:val="231F20"/>
          <w:spacing w:val="-1"/>
          <w:sz w:val="19"/>
        </w:rPr>
        <w:t> </w:t>
      </w:r>
      <w:r>
        <w:rPr>
          <w:color w:val="231F20"/>
          <w:sz w:val="19"/>
        </w:rPr>
        <w:t>concept,</w:t>
      </w:r>
      <w:r>
        <w:rPr>
          <w:color w:val="231F20"/>
          <w:spacing w:val="-1"/>
          <w:sz w:val="19"/>
        </w:rPr>
        <w:t> </w:t>
      </w:r>
      <w:r>
        <w:rPr>
          <w:color w:val="231F20"/>
          <w:sz w:val="19"/>
        </w:rPr>
        <w:t>it</w:t>
      </w:r>
      <w:r>
        <w:rPr>
          <w:color w:val="231F20"/>
          <w:spacing w:val="-1"/>
          <w:sz w:val="19"/>
        </w:rPr>
        <w:t> </w:t>
      </w:r>
      <w:r>
        <w:rPr>
          <w:color w:val="231F20"/>
          <w:sz w:val="19"/>
        </w:rPr>
        <w:t>gave</w:t>
      </w:r>
      <w:r>
        <w:rPr>
          <w:color w:val="231F20"/>
          <w:spacing w:val="-2"/>
          <w:sz w:val="19"/>
        </w:rPr>
        <w:t> </w:t>
      </w:r>
      <w:r>
        <w:rPr>
          <w:color w:val="231F20"/>
          <w:sz w:val="19"/>
        </w:rPr>
        <w:t>leeway</w:t>
      </w:r>
      <w:r>
        <w:rPr>
          <w:color w:val="231F20"/>
          <w:spacing w:val="-1"/>
          <w:sz w:val="19"/>
        </w:rPr>
        <w:t> </w:t>
      </w:r>
      <w:r>
        <w:rPr>
          <w:color w:val="231F20"/>
          <w:sz w:val="19"/>
        </w:rPr>
        <w:t>to</w:t>
      </w:r>
      <w:r>
        <w:rPr>
          <w:color w:val="231F20"/>
          <w:spacing w:val="-2"/>
          <w:sz w:val="19"/>
        </w:rPr>
        <w:t> </w:t>
      </w:r>
      <w:r>
        <w:rPr>
          <w:color w:val="231F20"/>
          <w:sz w:val="19"/>
        </w:rPr>
        <w:t>the</w:t>
      </w:r>
      <w:r>
        <w:rPr>
          <w:color w:val="231F20"/>
          <w:spacing w:val="-1"/>
          <w:sz w:val="19"/>
        </w:rPr>
        <w:t> </w:t>
      </w:r>
      <w:r>
        <w:rPr>
          <w:color w:val="231F20"/>
          <w:sz w:val="19"/>
        </w:rPr>
        <w:t>ECJ to</w:t>
      </w:r>
      <w:r>
        <w:rPr>
          <w:color w:val="231F20"/>
          <w:spacing w:val="18"/>
          <w:sz w:val="19"/>
        </w:rPr>
        <w:t> </w:t>
      </w:r>
      <w:r>
        <w:rPr>
          <w:color w:val="231F20"/>
          <w:sz w:val="19"/>
        </w:rPr>
        <w:t>provide</w:t>
      </w:r>
      <w:r>
        <w:rPr>
          <w:color w:val="231F20"/>
          <w:spacing w:val="18"/>
          <w:sz w:val="19"/>
        </w:rPr>
        <w:t> </w:t>
      </w:r>
      <w:r>
        <w:rPr>
          <w:color w:val="231F20"/>
          <w:sz w:val="19"/>
        </w:rPr>
        <w:t>the</w:t>
      </w:r>
      <w:r>
        <w:rPr>
          <w:color w:val="231F20"/>
          <w:spacing w:val="17"/>
          <w:sz w:val="19"/>
        </w:rPr>
        <w:t> </w:t>
      </w:r>
      <w:r>
        <w:rPr>
          <w:color w:val="231F20"/>
          <w:sz w:val="19"/>
        </w:rPr>
        <w:t>missing</w:t>
      </w:r>
      <w:r>
        <w:rPr>
          <w:color w:val="231F20"/>
          <w:spacing w:val="17"/>
          <w:sz w:val="19"/>
        </w:rPr>
        <w:t> </w:t>
      </w:r>
      <w:r>
        <w:rPr>
          <w:color w:val="231F20"/>
          <w:sz w:val="19"/>
        </w:rPr>
        <w:t>link,</w:t>
      </w:r>
      <w:r>
        <w:rPr>
          <w:color w:val="231F20"/>
          <w:spacing w:val="18"/>
          <w:sz w:val="19"/>
        </w:rPr>
        <w:t> </w:t>
      </w:r>
      <w:r>
        <w:rPr>
          <w:color w:val="231F20"/>
          <w:sz w:val="19"/>
        </w:rPr>
        <w:t>i.e.,</w:t>
      </w:r>
      <w:r>
        <w:rPr>
          <w:color w:val="231F20"/>
          <w:spacing w:val="18"/>
          <w:sz w:val="19"/>
        </w:rPr>
        <w:t> </w:t>
      </w:r>
      <w:r>
        <w:rPr>
          <w:color w:val="231F20"/>
          <w:sz w:val="19"/>
        </w:rPr>
        <w:t>that</w:t>
      </w:r>
      <w:r>
        <w:rPr>
          <w:color w:val="231F20"/>
          <w:spacing w:val="17"/>
          <w:sz w:val="19"/>
        </w:rPr>
        <w:t> </w:t>
      </w:r>
      <w:r>
        <w:rPr>
          <w:color w:val="231F20"/>
          <w:sz w:val="19"/>
        </w:rPr>
        <w:t>one</w:t>
      </w:r>
      <w:r>
        <w:rPr>
          <w:color w:val="231F20"/>
          <w:spacing w:val="17"/>
          <w:sz w:val="19"/>
        </w:rPr>
        <w:t> </w:t>
      </w:r>
      <w:r>
        <w:rPr>
          <w:color w:val="231F20"/>
          <w:sz w:val="19"/>
        </w:rPr>
        <w:t>leading</w:t>
      </w:r>
      <w:r>
        <w:rPr>
          <w:color w:val="231F20"/>
          <w:spacing w:val="17"/>
          <w:sz w:val="19"/>
        </w:rPr>
        <w:t> </w:t>
      </w:r>
      <w:r>
        <w:rPr>
          <w:color w:val="231F20"/>
          <w:sz w:val="19"/>
        </w:rPr>
        <w:t>to</w:t>
      </w:r>
      <w:r>
        <w:rPr>
          <w:color w:val="231F20"/>
          <w:spacing w:val="18"/>
          <w:sz w:val="19"/>
        </w:rPr>
        <w:t> </w:t>
      </w:r>
      <w:r>
        <w:rPr>
          <w:color w:val="231F20"/>
          <w:sz w:val="19"/>
        </w:rPr>
        <w:t>Article</w:t>
      </w:r>
      <w:r>
        <w:rPr>
          <w:color w:val="231F20"/>
          <w:spacing w:val="17"/>
          <w:sz w:val="19"/>
        </w:rPr>
        <w:t> </w:t>
      </w:r>
      <w:r>
        <w:rPr>
          <w:color w:val="231F20"/>
          <w:sz w:val="19"/>
        </w:rPr>
        <w:t>6(1)</w:t>
      </w:r>
      <w:r>
        <w:rPr>
          <w:color w:val="231F20"/>
          <w:spacing w:val="17"/>
          <w:sz w:val="19"/>
        </w:rPr>
        <w:t> </w:t>
      </w:r>
      <w:r>
        <w:rPr>
          <w:color w:val="231F20"/>
          <w:sz w:val="19"/>
        </w:rPr>
        <w:t>UCTD.</w:t>
      </w:r>
      <w:r>
        <w:rPr>
          <w:color w:val="231F20"/>
          <w:spacing w:val="17"/>
          <w:sz w:val="19"/>
        </w:rPr>
        <w:t> </w:t>
      </w:r>
      <w:r>
        <w:rPr>
          <w:color w:val="231F20"/>
          <w:sz w:val="19"/>
        </w:rPr>
        <w:t>In</w:t>
      </w:r>
      <w:r>
        <w:rPr>
          <w:color w:val="231F20"/>
          <w:spacing w:val="18"/>
          <w:sz w:val="19"/>
        </w:rPr>
        <w:t> </w:t>
      </w:r>
      <w:r>
        <w:rPr>
          <w:color w:val="231F20"/>
          <w:sz w:val="19"/>
        </w:rPr>
        <w:t>Case C-348/14, </w:t>
      </w:r>
      <w:r>
        <w:rPr>
          <w:i/>
          <w:color w:val="231F20"/>
          <w:sz w:val="19"/>
        </w:rPr>
        <w:t>Bucura</w:t>
      </w:r>
      <w:r>
        <w:rPr>
          <w:color w:val="231F20"/>
          <w:sz w:val="19"/>
        </w:rPr>
        <w:t>,</w:t>
      </w:r>
      <w:r>
        <w:rPr>
          <w:color w:val="231F20"/>
          <w:sz w:val="19"/>
          <w:vertAlign w:val="superscript"/>
        </w:rPr>
        <w:t>46</w:t>
      </w:r>
      <w:r>
        <w:rPr>
          <w:color w:val="231F20"/>
          <w:sz w:val="19"/>
          <w:vertAlign w:val="baseline"/>
        </w:rPr>
        <w:t> and in joined Cases C-154/15 and 307/15, </w:t>
      </w:r>
      <w:r>
        <w:rPr>
          <w:i/>
          <w:color w:val="231F20"/>
          <w:sz w:val="19"/>
          <w:vertAlign w:val="baseline"/>
        </w:rPr>
        <w:t>Gutiérrez</w:t>
      </w:r>
      <w:r>
        <w:rPr>
          <w:i/>
          <w:color w:val="231F20"/>
          <w:sz w:val="19"/>
          <w:vertAlign w:val="baseline"/>
        </w:rPr>
        <w:t> Naranjo</w:t>
      </w:r>
      <w:r>
        <w:rPr>
          <w:color w:val="231F20"/>
          <w:sz w:val="19"/>
          <w:vertAlign w:val="baseline"/>
        </w:rPr>
        <w:t>,</w:t>
      </w:r>
      <w:r>
        <w:rPr>
          <w:color w:val="231F20"/>
          <w:sz w:val="19"/>
          <w:vertAlign w:val="superscript"/>
        </w:rPr>
        <w:t>47</w:t>
      </w:r>
      <w:r>
        <w:rPr>
          <w:color w:val="231F20"/>
          <w:sz w:val="19"/>
          <w:vertAlign w:val="baseline"/>
        </w:rPr>
        <w:t> the ECJ related non-transparent terms to unfairness (Art. 3(1)</w:t>
      </w:r>
      <w:r>
        <w:rPr>
          <w:color w:val="231F20"/>
          <w:spacing w:val="80"/>
          <w:sz w:val="19"/>
          <w:vertAlign w:val="baseline"/>
        </w:rPr>
        <w:t> </w:t>
      </w:r>
      <w:r>
        <w:rPr>
          <w:color w:val="231F20"/>
          <w:sz w:val="19"/>
          <w:vertAlign w:val="baseline"/>
        </w:rPr>
        <w:t>UCTD)</w:t>
      </w:r>
      <w:r>
        <w:rPr>
          <w:color w:val="231F20"/>
          <w:spacing w:val="27"/>
          <w:sz w:val="19"/>
          <w:vertAlign w:val="baseline"/>
        </w:rPr>
        <w:t> </w:t>
      </w:r>
      <w:r>
        <w:rPr>
          <w:color w:val="231F20"/>
          <w:sz w:val="19"/>
          <w:vertAlign w:val="baseline"/>
        </w:rPr>
        <w:t>and,</w:t>
      </w:r>
      <w:r>
        <w:rPr>
          <w:color w:val="231F20"/>
          <w:spacing w:val="26"/>
          <w:sz w:val="19"/>
          <w:vertAlign w:val="baseline"/>
        </w:rPr>
        <w:t> </w:t>
      </w:r>
      <w:r>
        <w:rPr>
          <w:color w:val="231F20"/>
          <w:sz w:val="19"/>
          <w:vertAlign w:val="baseline"/>
        </w:rPr>
        <w:t>from</w:t>
      </w:r>
      <w:r>
        <w:rPr>
          <w:color w:val="231F20"/>
          <w:spacing w:val="25"/>
          <w:sz w:val="19"/>
          <w:vertAlign w:val="baseline"/>
        </w:rPr>
        <w:t> </w:t>
      </w:r>
      <w:r>
        <w:rPr>
          <w:color w:val="231F20"/>
          <w:sz w:val="19"/>
          <w:vertAlign w:val="baseline"/>
        </w:rPr>
        <w:t>there,</w:t>
      </w:r>
      <w:r>
        <w:rPr>
          <w:color w:val="231F20"/>
          <w:spacing w:val="26"/>
          <w:sz w:val="19"/>
          <w:vertAlign w:val="baseline"/>
        </w:rPr>
        <w:t> </w:t>
      </w:r>
      <w:r>
        <w:rPr>
          <w:color w:val="231F20"/>
          <w:sz w:val="19"/>
          <w:vertAlign w:val="baseline"/>
        </w:rPr>
        <w:t>to</w:t>
      </w:r>
      <w:r>
        <w:rPr>
          <w:color w:val="231F20"/>
          <w:spacing w:val="26"/>
          <w:sz w:val="19"/>
          <w:vertAlign w:val="baseline"/>
        </w:rPr>
        <w:t> </w:t>
      </w:r>
      <w:r>
        <w:rPr>
          <w:color w:val="231F20"/>
          <w:sz w:val="19"/>
          <w:vertAlign w:val="baseline"/>
        </w:rPr>
        <w:t>the</w:t>
      </w:r>
      <w:r>
        <w:rPr>
          <w:color w:val="231F20"/>
          <w:spacing w:val="25"/>
          <w:sz w:val="19"/>
          <w:vertAlign w:val="baseline"/>
        </w:rPr>
        <w:t> </w:t>
      </w:r>
      <w:r>
        <w:rPr>
          <w:color w:val="231F20"/>
          <w:sz w:val="19"/>
          <w:vertAlign w:val="baseline"/>
        </w:rPr>
        <w:t>non-binding</w:t>
      </w:r>
      <w:r>
        <w:rPr>
          <w:color w:val="231F20"/>
          <w:spacing w:val="25"/>
          <w:sz w:val="19"/>
          <w:vertAlign w:val="baseline"/>
        </w:rPr>
        <w:t> </w:t>
      </w:r>
      <w:r>
        <w:rPr>
          <w:color w:val="231F20"/>
          <w:sz w:val="19"/>
          <w:vertAlign w:val="baseline"/>
        </w:rPr>
        <w:t>nature</w:t>
      </w:r>
      <w:r>
        <w:rPr>
          <w:color w:val="231F20"/>
          <w:spacing w:val="27"/>
          <w:sz w:val="19"/>
          <w:vertAlign w:val="baseline"/>
        </w:rPr>
        <w:t> </w:t>
      </w:r>
      <w:r>
        <w:rPr>
          <w:color w:val="231F20"/>
          <w:sz w:val="19"/>
          <w:vertAlign w:val="baseline"/>
        </w:rPr>
        <w:t>of</w:t>
      </w:r>
      <w:r>
        <w:rPr>
          <w:color w:val="231F20"/>
          <w:spacing w:val="29"/>
          <w:sz w:val="19"/>
          <w:vertAlign w:val="baseline"/>
        </w:rPr>
        <w:t> </w:t>
      </w:r>
      <w:r>
        <w:rPr>
          <w:color w:val="231F20"/>
          <w:sz w:val="19"/>
          <w:vertAlign w:val="baseline"/>
        </w:rPr>
        <w:t>the</w:t>
      </w:r>
      <w:r>
        <w:rPr>
          <w:color w:val="231F20"/>
          <w:spacing w:val="25"/>
          <w:sz w:val="19"/>
          <w:vertAlign w:val="baseline"/>
        </w:rPr>
        <w:t> </w:t>
      </w:r>
      <w:r>
        <w:rPr>
          <w:color w:val="231F20"/>
          <w:sz w:val="19"/>
          <w:vertAlign w:val="baseline"/>
        </w:rPr>
        <w:t>term,</w:t>
      </w:r>
      <w:r>
        <w:rPr>
          <w:color w:val="231F20"/>
          <w:spacing w:val="26"/>
          <w:sz w:val="19"/>
          <w:vertAlign w:val="baseline"/>
        </w:rPr>
        <w:t> </w:t>
      </w:r>
      <w:r>
        <w:rPr>
          <w:color w:val="231F20"/>
          <w:sz w:val="19"/>
          <w:vertAlign w:val="baseline"/>
        </w:rPr>
        <w:t>as</w:t>
      </w:r>
      <w:r>
        <w:rPr>
          <w:color w:val="231F20"/>
          <w:spacing w:val="26"/>
          <w:sz w:val="19"/>
          <w:vertAlign w:val="baseline"/>
        </w:rPr>
        <w:t> </w:t>
      </w:r>
      <w:r>
        <w:rPr>
          <w:color w:val="231F20"/>
          <w:sz w:val="19"/>
          <w:vertAlign w:val="baseline"/>
        </w:rPr>
        <w:t>established in Article 6(1) UCTD.</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Therefore, terms that lack transparency are currently deemed to have </w:t>
      </w:r>
      <w:r>
        <w:rPr>
          <w:color w:val="231F20"/>
          <w:sz w:val="19"/>
        </w:rPr>
        <w:t>a remedy that is shaped by EU law under Article 6(1) UCTD. However, Member </w:t>
      </w:r>
      <w:r>
        <w:rPr>
          <w:color w:val="231F20"/>
          <w:spacing w:val="-2"/>
          <w:sz w:val="19"/>
        </w:rPr>
        <w:t>States</w:t>
      </w:r>
      <w:r>
        <w:rPr>
          <w:color w:val="231F20"/>
          <w:spacing w:val="-10"/>
          <w:sz w:val="19"/>
        </w:rPr>
        <w:t> </w:t>
      </w:r>
      <w:r>
        <w:rPr>
          <w:color w:val="231F20"/>
          <w:spacing w:val="-2"/>
          <w:sz w:val="19"/>
        </w:rPr>
        <w:t>can</w:t>
      </w:r>
      <w:r>
        <w:rPr>
          <w:color w:val="231F20"/>
          <w:spacing w:val="-9"/>
          <w:sz w:val="19"/>
        </w:rPr>
        <w:t> </w:t>
      </w:r>
      <w:r>
        <w:rPr>
          <w:color w:val="231F20"/>
          <w:spacing w:val="-2"/>
          <w:sz w:val="19"/>
        </w:rPr>
        <w:t>improve</w:t>
      </w:r>
      <w:r>
        <w:rPr>
          <w:color w:val="231F20"/>
          <w:spacing w:val="-10"/>
          <w:sz w:val="19"/>
        </w:rPr>
        <w:t> </w:t>
      </w:r>
      <w:r>
        <w:rPr>
          <w:color w:val="231F20"/>
          <w:spacing w:val="-2"/>
          <w:sz w:val="19"/>
        </w:rPr>
        <w:t>consumer</w:t>
      </w:r>
      <w:r>
        <w:rPr>
          <w:color w:val="231F20"/>
          <w:spacing w:val="-9"/>
          <w:sz w:val="19"/>
        </w:rPr>
        <w:t> </w:t>
      </w:r>
      <w:r>
        <w:rPr>
          <w:color w:val="231F20"/>
          <w:spacing w:val="-2"/>
          <w:sz w:val="19"/>
        </w:rPr>
        <w:t>protection</w:t>
      </w:r>
      <w:r>
        <w:rPr>
          <w:color w:val="231F20"/>
          <w:spacing w:val="-10"/>
          <w:sz w:val="19"/>
        </w:rPr>
        <w:t> </w:t>
      </w:r>
      <w:r>
        <w:rPr>
          <w:color w:val="231F20"/>
          <w:spacing w:val="-2"/>
          <w:sz w:val="19"/>
        </w:rPr>
        <w:t>by</w:t>
      </w:r>
      <w:r>
        <w:rPr>
          <w:color w:val="231F20"/>
          <w:spacing w:val="-9"/>
          <w:sz w:val="19"/>
        </w:rPr>
        <w:t> </w:t>
      </w:r>
      <w:r>
        <w:rPr>
          <w:color w:val="231F20"/>
          <w:spacing w:val="-2"/>
          <w:sz w:val="19"/>
        </w:rPr>
        <w:t>establishing</w:t>
      </w:r>
      <w:r>
        <w:rPr>
          <w:color w:val="231F20"/>
          <w:spacing w:val="-10"/>
          <w:sz w:val="19"/>
        </w:rPr>
        <w:t> </w:t>
      </w:r>
      <w:r>
        <w:rPr>
          <w:color w:val="231F20"/>
          <w:spacing w:val="-2"/>
          <w:sz w:val="19"/>
        </w:rPr>
        <w:t>that</w:t>
      </w:r>
      <w:r>
        <w:rPr>
          <w:color w:val="231F20"/>
          <w:spacing w:val="-9"/>
          <w:sz w:val="19"/>
        </w:rPr>
        <w:t> </w:t>
      </w:r>
      <w:r>
        <w:rPr>
          <w:color w:val="231F20"/>
          <w:spacing w:val="-2"/>
          <w:sz w:val="19"/>
        </w:rPr>
        <w:t>non-transparent</w:t>
      </w:r>
      <w:r>
        <w:rPr>
          <w:color w:val="231F20"/>
          <w:spacing w:val="-10"/>
          <w:sz w:val="19"/>
        </w:rPr>
        <w:t> </w:t>
      </w:r>
      <w:r>
        <w:rPr>
          <w:color w:val="231F20"/>
          <w:spacing w:val="-2"/>
          <w:sz w:val="19"/>
        </w:rPr>
        <w:t>terms </w:t>
      </w:r>
      <w:r>
        <w:rPr>
          <w:color w:val="231F20"/>
          <w:sz w:val="19"/>
        </w:rPr>
        <w:t>are directly unfair and, thus, non-binding, without having to first conduct an unfairness assessment.</w:t>
      </w:r>
      <w:r>
        <w:rPr>
          <w:color w:val="231F20"/>
          <w:sz w:val="19"/>
          <w:vertAlign w:val="superscript"/>
        </w:rPr>
        <w:t>48</w:t>
      </w:r>
      <w:r>
        <w:rPr>
          <w:color w:val="231F20"/>
          <w:sz w:val="19"/>
          <w:vertAlign w:val="baseline"/>
        </w:rPr>
        <w:t> This is consistent with the minimum harmonization approach of the UCTD (Art. 8 UCTD).</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pacing w:val="-2"/>
          <w:sz w:val="19"/>
        </w:rPr>
        <w:t>A</w:t>
      </w:r>
      <w:r>
        <w:rPr>
          <w:color w:val="231F20"/>
          <w:spacing w:val="-4"/>
          <w:sz w:val="19"/>
        </w:rPr>
        <w:t> </w:t>
      </w:r>
      <w:r>
        <w:rPr>
          <w:color w:val="231F20"/>
          <w:spacing w:val="-2"/>
          <w:sz w:val="19"/>
        </w:rPr>
        <w:t>parallel</w:t>
      </w:r>
      <w:r>
        <w:rPr>
          <w:color w:val="231F20"/>
          <w:spacing w:val="-4"/>
          <w:sz w:val="19"/>
        </w:rPr>
        <w:t> </w:t>
      </w:r>
      <w:r>
        <w:rPr>
          <w:color w:val="231F20"/>
          <w:spacing w:val="-2"/>
          <w:sz w:val="19"/>
        </w:rPr>
        <w:t>interpretation</w:t>
      </w:r>
      <w:r>
        <w:rPr>
          <w:color w:val="231F20"/>
          <w:spacing w:val="-4"/>
          <w:sz w:val="19"/>
        </w:rPr>
        <w:t> </w:t>
      </w:r>
      <w:r>
        <w:rPr>
          <w:color w:val="231F20"/>
          <w:spacing w:val="-2"/>
          <w:sz w:val="19"/>
        </w:rPr>
        <w:t>of the</w:t>
      </w:r>
      <w:r>
        <w:rPr>
          <w:color w:val="231F20"/>
          <w:spacing w:val="-4"/>
          <w:sz w:val="19"/>
        </w:rPr>
        <w:t> </w:t>
      </w:r>
      <w:r>
        <w:rPr>
          <w:color w:val="231F20"/>
          <w:spacing w:val="-2"/>
          <w:sz w:val="19"/>
        </w:rPr>
        <w:t>ECJ</w:t>
      </w:r>
      <w:r>
        <w:rPr>
          <w:color w:val="231F20"/>
          <w:spacing w:val="-4"/>
          <w:sz w:val="19"/>
        </w:rPr>
        <w:t> </w:t>
      </w:r>
      <w:r>
        <w:rPr>
          <w:color w:val="231F20"/>
          <w:spacing w:val="-2"/>
          <w:sz w:val="19"/>
        </w:rPr>
        <w:t>reinforces</w:t>
      </w:r>
      <w:r>
        <w:rPr>
          <w:color w:val="231F20"/>
          <w:spacing w:val="-4"/>
          <w:sz w:val="19"/>
        </w:rPr>
        <w:t> </w:t>
      </w:r>
      <w:r>
        <w:rPr>
          <w:color w:val="231F20"/>
          <w:spacing w:val="-2"/>
          <w:sz w:val="19"/>
        </w:rPr>
        <w:t>the</w:t>
      </w:r>
      <w:r>
        <w:rPr>
          <w:color w:val="231F20"/>
          <w:spacing w:val="-4"/>
          <w:sz w:val="19"/>
        </w:rPr>
        <w:t> </w:t>
      </w:r>
      <w:r>
        <w:rPr>
          <w:color w:val="231F20"/>
          <w:spacing w:val="-2"/>
          <w:sz w:val="19"/>
        </w:rPr>
        <w:t>link</w:t>
      </w:r>
      <w:r>
        <w:rPr>
          <w:color w:val="231F20"/>
          <w:spacing w:val="-4"/>
          <w:sz w:val="19"/>
        </w:rPr>
        <w:t> </w:t>
      </w:r>
      <w:r>
        <w:rPr>
          <w:color w:val="231F20"/>
          <w:spacing w:val="-2"/>
          <w:sz w:val="19"/>
        </w:rPr>
        <w:t>between</w:t>
      </w:r>
      <w:r>
        <w:rPr>
          <w:color w:val="231F20"/>
          <w:spacing w:val="-6"/>
          <w:sz w:val="19"/>
        </w:rPr>
        <w:t> </w:t>
      </w:r>
      <w:r>
        <w:rPr>
          <w:color w:val="231F20"/>
          <w:spacing w:val="-2"/>
          <w:sz w:val="19"/>
        </w:rPr>
        <w:t>non-transpar- </w:t>
      </w:r>
      <w:r>
        <w:rPr>
          <w:color w:val="231F20"/>
          <w:sz w:val="19"/>
        </w:rPr>
        <w:t>ent</w:t>
      </w:r>
      <w:r>
        <w:rPr>
          <w:color w:val="231F20"/>
          <w:spacing w:val="-2"/>
          <w:sz w:val="19"/>
        </w:rPr>
        <w:t> </w:t>
      </w:r>
      <w:r>
        <w:rPr>
          <w:color w:val="231F20"/>
          <w:sz w:val="19"/>
        </w:rPr>
        <w:t>terms</w:t>
      </w:r>
      <w:r>
        <w:rPr>
          <w:color w:val="231F20"/>
          <w:spacing w:val="-2"/>
          <w:sz w:val="19"/>
        </w:rPr>
        <w:t> </w:t>
      </w:r>
      <w:r>
        <w:rPr>
          <w:color w:val="231F20"/>
          <w:sz w:val="19"/>
        </w:rPr>
        <w:t>and</w:t>
      </w:r>
      <w:r>
        <w:rPr>
          <w:color w:val="231F20"/>
          <w:spacing w:val="-3"/>
          <w:sz w:val="19"/>
        </w:rPr>
        <w:t> </w:t>
      </w:r>
      <w:r>
        <w:rPr>
          <w:color w:val="231F20"/>
          <w:sz w:val="19"/>
        </w:rPr>
        <w:t>Article</w:t>
      </w:r>
      <w:r>
        <w:rPr>
          <w:color w:val="231F20"/>
          <w:spacing w:val="-2"/>
          <w:sz w:val="19"/>
        </w:rPr>
        <w:t> </w:t>
      </w:r>
      <w:r>
        <w:rPr>
          <w:color w:val="231F20"/>
          <w:sz w:val="19"/>
        </w:rPr>
        <w:t>6(1)</w:t>
      </w:r>
      <w:r>
        <w:rPr>
          <w:color w:val="231F20"/>
          <w:spacing w:val="-2"/>
          <w:sz w:val="19"/>
        </w:rPr>
        <w:t> </w:t>
      </w:r>
      <w:r>
        <w:rPr>
          <w:color w:val="231F20"/>
          <w:sz w:val="19"/>
        </w:rPr>
        <w:t>UCTD.</w:t>
      </w:r>
      <w:r>
        <w:rPr>
          <w:color w:val="231F20"/>
          <w:spacing w:val="-2"/>
          <w:sz w:val="19"/>
        </w:rPr>
        <w:t> </w:t>
      </w:r>
      <w:r>
        <w:rPr>
          <w:color w:val="231F20"/>
          <w:sz w:val="19"/>
        </w:rPr>
        <w:t>In</w:t>
      </w:r>
      <w:r>
        <w:rPr>
          <w:color w:val="231F20"/>
          <w:spacing w:val="-2"/>
          <w:sz w:val="19"/>
        </w:rPr>
        <w:t> </w:t>
      </w:r>
      <w:r>
        <w:rPr>
          <w:color w:val="231F20"/>
          <w:sz w:val="19"/>
        </w:rPr>
        <w:t>Case</w:t>
      </w:r>
      <w:r>
        <w:rPr>
          <w:color w:val="231F20"/>
          <w:spacing w:val="-1"/>
          <w:sz w:val="19"/>
        </w:rPr>
        <w:t> </w:t>
      </w:r>
      <w:r>
        <w:rPr>
          <w:color w:val="231F20"/>
          <w:sz w:val="19"/>
        </w:rPr>
        <w:t>C-26/13,</w:t>
      </w:r>
      <w:r>
        <w:rPr>
          <w:color w:val="231F20"/>
          <w:spacing w:val="-3"/>
          <w:sz w:val="19"/>
        </w:rPr>
        <w:t> </w:t>
      </w:r>
      <w:r>
        <w:rPr>
          <w:i/>
          <w:color w:val="231F20"/>
          <w:sz w:val="19"/>
        </w:rPr>
        <w:t>Kásler</w:t>
      </w:r>
      <w:r>
        <w:rPr>
          <w:color w:val="231F20"/>
          <w:sz w:val="19"/>
        </w:rPr>
        <w:t>,</w:t>
      </w:r>
      <w:r>
        <w:rPr>
          <w:color w:val="231F20"/>
          <w:spacing w:val="-2"/>
          <w:sz w:val="19"/>
        </w:rPr>
        <w:t> </w:t>
      </w:r>
      <w:r>
        <w:rPr>
          <w:color w:val="231F20"/>
          <w:sz w:val="19"/>
        </w:rPr>
        <w:t>the</w:t>
      </w:r>
      <w:r>
        <w:rPr>
          <w:color w:val="231F20"/>
          <w:spacing w:val="-3"/>
          <w:sz w:val="19"/>
        </w:rPr>
        <w:t> </w:t>
      </w:r>
      <w:r>
        <w:rPr>
          <w:color w:val="231F20"/>
          <w:sz w:val="19"/>
        </w:rPr>
        <w:t>Court</w:t>
      </w:r>
      <w:r>
        <w:rPr>
          <w:color w:val="231F20"/>
          <w:spacing w:val="-2"/>
          <w:sz w:val="19"/>
        </w:rPr>
        <w:t> </w:t>
      </w:r>
      <w:r>
        <w:rPr>
          <w:color w:val="231F20"/>
          <w:sz w:val="19"/>
        </w:rPr>
        <w:t>decided</w:t>
      </w:r>
      <w:r>
        <w:rPr>
          <w:color w:val="231F20"/>
          <w:spacing w:val="-1"/>
          <w:sz w:val="19"/>
        </w:rPr>
        <w:t> </w:t>
      </w:r>
      <w:r>
        <w:rPr>
          <w:color w:val="231F20"/>
          <w:sz w:val="19"/>
        </w:rPr>
        <w:t>that the requirement of transparency in Articles 4(2) and 5 UCTD has the same meaning.</w:t>
      </w:r>
      <w:r>
        <w:rPr>
          <w:color w:val="231F20"/>
          <w:sz w:val="19"/>
          <w:vertAlign w:val="superscript"/>
        </w:rPr>
        <w:t>49</w:t>
      </w:r>
      <w:r>
        <w:rPr>
          <w:color w:val="231F20"/>
          <w:sz w:val="19"/>
          <w:vertAlign w:val="baseline"/>
        </w:rPr>
        <w:t> Transparency is not limited to formal or grammatical </w:t>
      </w:r>
      <w:r>
        <w:rPr>
          <w:color w:val="231F20"/>
          <w:sz w:val="19"/>
          <w:vertAlign w:val="baseline"/>
        </w:rPr>
        <w:t>intelligibility, </w:t>
      </w:r>
      <w:r>
        <w:rPr>
          <w:color w:val="231F20"/>
          <w:spacing w:val="-2"/>
          <w:sz w:val="19"/>
          <w:vertAlign w:val="baseline"/>
        </w:rPr>
        <w:t>but</w:t>
      </w:r>
      <w:r>
        <w:rPr>
          <w:color w:val="231F20"/>
          <w:spacing w:val="-10"/>
          <w:sz w:val="19"/>
          <w:vertAlign w:val="baseline"/>
        </w:rPr>
        <w:t> </w:t>
      </w:r>
      <w:r>
        <w:rPr>
          <w:color w:val="231F20"/>
          <w:spacing w:val="-2"/>
          <w:sz w:val="19"/>
          <w:vertAlign w:val="baseline"/>
        </w:rPr>
        <w:t>it</w:t>
      </w:r>
      <w:r>
        <w:rPr>
          <w:color w:val="231F20"/>
          <w:spacing w:val="-9"/>
          <w:sz w:val="19"/>
          <w:vertAlign w:val="baseline"/>
        </w:rPr>
        <w:t> </w:t>
      </w:r>
      <w:r>
        <w:rPr>
          <w:color w:val="231F20"/>
          <w:spacing w:val="-2"/>
          <w:sz w:val="19"/>
          <w:vertAlign w:val="baseline"/>
        </w:rPr>
        <w:t>reaches</w:t>
      </w:r>
      <w:r>
        <w:rPr>
          <w:color w:val="231F20"/>
          <w:spacing w:val="-10"/>
          <w:sz w:val="19"/>
          <w:vertAlign w:val="baseline"/>
        </w:rPr>
        <w:t> </w:t>
      </w:r>
      <w:r>
        <w:rPr>
          <w:color w:val="231F20"/>
          <w:spacing w:val="-2"/>
          <w:sz w:val="19"/>
          <w:vertAlign w:val="baseline"/>
        </w:rPr>
        <w:t>substantive</w:t>
      </w:r>
      <w:r>
        <w:rPr>
          <w:color w:val="231F20"/>
          <w:spacing w:val="-9"/>
          <w:sz w:val="19"/>
          <w:vertAlign w:val="baseline"/>
        </w:rPr>
        <w:t> </w:t>
      </w:r>
      <w:r>
        <w:rPr>
          <w:color w:val="231F20"/>
          <w:spacing w:val="-2"/>
          <w:sz w:val="19"/>
          <w:vertAlign w:val="baseline"/>
        </w:rPr>
        <w:t>transparency,</w:t>
      </w:r>
      <w:r>
        <w:rPr>
          <w:color w:val="231F20"/>
          <w:spacing w:val="-10"/>
          <w:sz w:val="19"/>
          <w:vertAlign w:val="baseline"/>
        </w:rPr>
        <w:t> </w:t>
      </w:r>
      <w:r>
        <w:rPr>
          <w:color w:val="231F20"/>
          <w:spacing w:val="-2"/>
          <w:sz w:val="19"/>
          <w:vertAlign w:val="baseline"/>
        </w:rPr>
        <w:t>which</w:t>
      </w:r>
      <w:r>
        <w:rPr>
          <w:color w:val="231F20"/>
          <w:spacing w:val="-9"/>
          <w:sz w:val="19"/>
          <w:vertAlign w:val="baseline"/>
        </w:rPr>
        <w:t> </w:t>
      </w:r>
      <w:r>
        <w:rPr>
          <w:color w:val="231F20"/>
          <w:spacing w:val="-2"/>
          <w:sz w:val="19"/>
          <w:vertAlign w:val="baseline"/>
        </w:rPr>
        <w:t>should</w:t>
      </w:r>
      <w:r>
        <w:rPr>
          <w:color w:val="231F20"/>
          <w:spacing w:val="-10"/>
          <w:sz w:val="19"/>
          <w:vertAlign w:val="baseline"/>
        </w:rPr>
        <w:t> </w:t>
      </w:r>
      <w:r>
        <w:rPr>
          <w:color w:val="231F20"/>
          <w:spacing w:val="-2"/>
          <w:sz w:val="19"/>
          <w:vertAlign w:val="baseline"/>
        </w:rPr>
        <w:t>allow</w:t>
      </w:r>
      <w:r>
        <w:rPr>
          <w:color w:val="231F20"/>
          <w:spacing w:val="-9"/>
          <w:sz w:val="19"/>
          <w:vertAlign w:val="baseline"/>
        </w:rPr>
        <w:t> </w:t>
      </w:r>
      <w:r>
        <w:rPr>
          <w:color w:val="231F20"/>
          <w:spacing w:val="-2"/>
          <w:sz w:val="19"/>
          <w:vertAlign w:val="baseline"/>
        </w:rPr>
        <w:t>an</w:t>
      </w:r>
      <w:r>
        <w:rPr>
          <w:color w:val="231F20"/>
          <w:spacing w:val="-10"/>
          <w:sz w:val="19"/>
          <w:vertAlign w:val="baseline"/>
        </w:rPr>
        <w:t> </w:t>
      </w:r>
      <w:r>
        <w:rPr>
          <w:color w:val="231F20"/>
          <w:spacing w:val="-2"/>
          <w:sz w:val="19"/>
          <w:vertAlign w:val="baseline"/>
        </w:rPr>
        <w:t>average</w:t>
      </w:r>
      <w:r>
        <w:rPr>
          <w:color w:val="231F20"/>
          <w:spacing w:val="-9"/>
          <w:sz w:val="19"/>
          <w:vertAlign w:val="baseline"/>
        </w:rPr>
        <w:t> </w:t>
      </w:r>
      <w:r>
        <w:rPr>
          <w:color w:val="231F20"/>
          <w:spacing w:val="-2"/>
          <w:sz w:val="19"/>
          <w:vertAlign w:val="baseline"/>
        </w:rPr>
        <w:t>consumer</w:t>
      </w:r>
      <w:r>
        <w:rPr>
          <w:color w:val="231F20"/>
          <w:spacing w:val="-10"/>
          <w:sz w:val="19"/>
          <w:vertAlign w:val="baseline"/>
        </w:rPr>
        <w:t> </w:t>
      </w:r>
      <w:r>
        <w:rPr>
          <w:color w:val="231F20"/>
          <w:spacing w:val="-2"/>
          <w:sz w:val="19"/>
          <w:vertAlign w:val="baseline"/>
        </w:rPr>
        <w:t>to </w:t>
      </w:r>
      <w:r>
        <w:rPr>
          <w:color w:val="231F20"/>
          <w:sz w:val="19"/>
          <w:vertAlign w:val="baseline"/>
        </w:rPr>
        <w:t>understand the economic consequences of a term.</w:t>
      </w:r>
      <w:r>
        <w:rPr>
          <w:color w:val="231F20"/>
          <w:sz w:val="19"/>
          <w:vertAlign w:val="superscript"/>
        </w:rPr>
        <w:t>50</w:t>
      </w:r>
    </w:p>
    <w:p>
      <w:pPr>
        <w:pStyle w:val="ListParagraph"/>
        <w:numPr>
          <w:ilvl w:val="0"/>
          <w:numId w:val="4"/>
        </w:numPr>
        <w:tabs>
          <w:tab w:pos="1324" w:val="left" w:leader="none"/>
        </w:tabs>
        <w:spacing w:line="285" w:lineRule="auto" w:before="119" w:after="0"/>
        <w:ind w:left="871" w:right="868" w:firstLine="0"/>
        <w:jc w:val="both"/>
        <w:rPr>
          <w:sz w:val="19"/>
        </w:rPr>
      </w:pPr>
      <w:r>
        <w:rPr>
          <w:color w:val="231F20"/>
          <w:sz w:val="19"/>
        </w:rPr>
        <w:t>As</w:t>
      </w:r>
      <w:r>
        <w:rPr>
          <w:color w:val="231F20"/>
          <w:spacing w:val="-12"/>
          <w:sz w:val="19"/>
        </w:rPr>
        <w:t> </w:t>
      </w:r>
      <w:r>
        <w:rPr>
          <w:color w:val="231F20"/>
          <w:sz w:val="19"/>
        </w:rPr>
        <w:t>transparency</w:t>
      </w:r>
      <w:r>
        <w:rPr>
          <w:color w:val="231F20"/>
          <w:spacing w:val="-11"/>
          <w:sz w:val="19"/>
        </w:rPr>
        <w:t> </w:t>
      </w:r>
      <w:r>
        <w:rPr>
          <w:color w:val="231F20"/>
          <w:sz w:val="19"/>
        </w:rPr>
        <w:t>has</w:t>
      </w:r>
      <w:r>
        <w:rPr>
          <w:color w:val="231F20"/>
          <w:spacing w:val="-12"/>
          <w:sz w:val="19"/>
        </w:rPr>
        <w:t> </w:t>
      </w:r>
      <w:r>
        <w:rPr>
          <w:color w:val="231F20"/>
          <w:sz w:val="19"/>
        </w:rPr>
        <w:t>the</w:t>
      </w:r>
      <w:r>
        <w:rPr>
          <w:color w:val="231F20"/>
          <w:spacing w:val="-11"/>
          <w:sz w:val="19"/>
        </w:rPr>
        <w:t> </w:t>
      </w:r>
      <w:r>
        <w:rPr>
          <w:color w:val="231F20"/>
          <w:sz w:val="19"/>
        </w:rPr>
        <w:t>same</w:t>
      </w:r>
      <w:r>
        <w:rPr>
          <w:color w:val="231F20"/>
          <w:spacing w:val="-12"/>
          <w:sz w:val="19"/>
        </w:rPr>
        <w:t> </w:t>
      </w:r>
      <w:r>
        <w:rPr>
          <w:color w:val="231F20"/>
          <w:sz w:val="19"/>
        </w:rPr>
        <w:t>scope</w:t>
      </w:r>
      <w:r>
        <w:rPr>
          <w:color w:val="231F20"/>
          <w:spacing w:val="-11"/>
          <w:sz w:val="19"/>
        </w:rPr>
        <w:t> </w:t>
      </w:r>
      <w:r>
        <w:rPr>
          <w:color w:val="231F20"/>
          <w:sz w:val="19"/>
        </w:rPr>
        <w:t>under</w:t>
      </w:r>
      <w:r>
        <w:rPr>
          <w:color w:val="231F20"/>
          <w:spacing w:val="-12"/>
          <w:sz w:val="19"/>
        </w:rPr>
        <w:t> </w:t>
      </w:r>
      <w:r>
        <w:rPr>
          <w:color w:val="231F20"/>
          <w:sz w:val="19"/>
        </w:rPr>
        <w:t>Articles</w:t>
      </w:r>
      <w:r>
        <w:rPr>
          <w:color w:val="231F20"/>
          <w:spacing w:val="-11"/>
          <w:sz w:val="19"/>
        </w:rPr>
        <w:t> </w:t>
      </w:r>
      <w:r>
        <w:rPr>
          <w:color w:val="231F20"/>
          <w:sz w:val="19"/>
        </w:rPr>
        <w:t>4(2)</w:t>
      </w:r>
      <w:r>
        <w:rPr>
          <w:color w:val="231F20"/>
          <w:spacing w:val="-12"/>
          <w:sz w:val="19"/>
        </w:rPr>
        <w:t> </w:t>
      </w:r>
      <w:r>
        <w:rPr>
          <w:color w:val="231F20"/>
          <w:sz w:val="19"/>
        </w:rPr>
        <w:t>and</w:t>
      </w:r>
      <w:r>
        <w:rPr>
          <w:color w:val="231F20"/>
          <w:spacing w:val="-11"/>
          <w:sz w:val="19"/>
        </w:rPr>
        <w:t> </w:t>
      </w:r>
      <w:r>
        <w:rPr>
          <w:color w:val="231F20"/>
          <w:sz w:val="19"/>
        </w:rPr>
        <w:t>5</w:t>
      </w:r>
      <w:r>
        <w:rPr>
          <w:color w:val="231F20"/>
          <w:spacing w:val="-12"/>
          <w:sz w:val="19"/>
        </w:rPr>
        <w:t> </w:t>
      </w:r>
      <w:r>
        <w:rPr>
          <w:color w:val="231F20"/>
          <w:sz w:val="19"/>
        </w:rPr>
        <w:t>UCTD,</w:t>
      </w:r>
      <w:r>
        <w:rPr>
          <w:color w:val="231F20"/>
          <w:spacing w:val="-11"/>
          <w:sz w:val="19"/>
        </w:rPr>
        <w:t> </w:t>
      </w:r>
      <w:r>
        <w:rPr>
          <w:color w:val="231F20"/>
          <w:sz w:val="19"/>
        </w:rPr>
        <w:t>the</w:t>
      </w:r>
      <w:r>
        <w:rPr>
          <w:color w:val="231F20"/>
          <w:spacing w:val="-11"/>
          <w:sz w:val="19"/>
        </w:rPr>
        <w:t> </w:t>
      </w:r>
      <w:r>
        <w:rPr>
          <w:color w:val="231F20"/>
          <w:sz w:val="19"/>
        </w:rPr>
        <w:t>ECJ considered that a lack of transparency should have the same consequence, irre- spective</w:t>
      </w:r>
      <w:r>
        <w:rPr>
          <w:color w:val="231F20"/>
          <w:spacing w:val="-5"/>
          <w:sz w:val="19"/>
        </w:rPr>
        <w:t> </w:t>
      </w:r>
      <w:r>
        <w:rPr>
          <w:color w:val="231F20"/>
          <w:sz w:val="19"/>
        </w:rPr>
        <w:t>of</w:t>
      </w:r>
      <w:r>
        <w:rPr>
          <w:color w:val="231F20"/>
          <w:spacing w:val="-4"/>
          <w:sz w:val="19"/>
        </w:rPr>
        <w:t> </w:t>
      </w:r>
      <w:r>
        <w:rPr>
          <w:color w:val="231F20"/>
          <w:sz w:val="19"/>
        </w:rPr>
        <w:t>whether</w:t>
      </w:r>
      <w:r>
        <w:rPr>
          <w:color w:val="231F20"/>
          <w:spacing w:val="-4"/>
          <w:sz w:val="19"/>
        </w:rPr>
        <w:t> </w:t>
      </w:r>
      <w:r>
        <w:rPr>
          <w:color w:val="231F20"/>
          <w:sz w:val="19"/>
        </w:rPr>
        <w:t>the</w:t>
      </w:r>
      <w:r>
        <w:rPr>
          <w:color w:val="231F20"/>
          <w:spacing w:val="-4"/>
          <w:sz w:val="19"/>
        </w:rPr>
        <w:t> </w:t>
      </w:r>
      <w:r>
        <w:rPr>
          <w:color w:val="231F20"/>
          <w:sz w:val="19"/>
        </w:rPr>
        <w:t>term</w:t>
      </w:r>
      <w:r>
        <w:rPr>
          <w:color w:val="231F20"/>
          <w:spacing w:val="-4"/>
          <w:sz w:val="19"/>
        </w:rPr>
        <w:t> </w:t>
      </w:r>
      <w:r>
        <w:rPr>
          <w:color w:val="231F20"/>
          <w:sz w:val="19"/>
        </w:rPr>
        <w:t>is</w:t>
      </w:r>
      <w:r>
        <w:rPr>
          <w:color w:val="231F20"/>
          <w:spacing w:val="-4"/>
          <w:sz w:val="19"/>
        </w:rPr>
        <w:t> </w:t>
      </w:r>
      <w:r>
        <w:rPr>
          <w:color w:val="231F20"/>
          <w:sz w:val="19"/>
        </w:rPr>
        <w:t>main</w:t>
      </w:r>
      <w:r>
        <w:rPr>
          <w:color w:val="231F20"/>
          <w:spacing w:val="-4"/>
          <w:sz w:val="19"/>
        </w:rPr>
        <w:t> </w:t>
      </w:r>
      <w:r>
        <w:rPr>
          <w:color w:val="231F20"/>
          <w:sz w:val="19"/>
        </w:rPr>
        <w:t>or</w:t>
      </w:r>
      <w:r>
        <w:rPr>
          <w:color w:val="231F20"/>
          <w:spacing w:val="-3"/>
          <w:sz w:val="19"/>
        </w:rPr>
        <w:t> </w:t>
      </w:r>
      <w:r>
        <w:rPr>
          <w:color w:val="231F20"/>
          <w:sz w:val="19"/>
        </w:rPr>
        <w:t>ancillary.</w:t>
      </w:r>
      <w:r>
        <w:rPr>
          <w:color w:val="231F20"/>
          <w:spacing w:val="-4"/>
          <w:sz w:val="19"/>
        </w:rPr>
        <w:t> </w:t>
      </w:r>
      <w:r>
        <w:rPr>
          <w:color w:val="231F20"/>
          <w:sz w:val="19"/>
        </w:rPr>
        <w:t>The</w:t>
      </w:r>
      <w:r>
        <w:rPr>
          <w:color w:val="231F20"/>
          <w:spacing w:val="-3"/>
          <w:sz w:val="19"/>
        </w:rPr>
        <w:t> </w:t>
      </w:r>
      <w:r>
        <w:rPr>
          <w:color w:val="231F20"/>
          <w:sz w:val="19"/>
        </w:rPr>
        <w:t>Court</w:t>
      </w:r>
      <w:r>
        <w:rPr>
          <w:color w:val="231F20"/>
          <w:spacing w:val="-4"/>
          <w:sz w:val="19"/>
        </w:rPr>
        <w:t> </w:t>
      </w:r>
      <w:r>
        <w:rPr>
          <w:color w:val="231F20"/>
          <w:sz w:val="19"/>
        </w:rPr>
        <w:t>indicated</w:t>
      </w:r>
      <w:r>
        <w:rPr>
          <w:color w:val="231F20"/>
          <w:spacing w:val="-4"/>
          <w:sz w:val="19"/>
        </w:rPr>
        <w:t> </w:t>
      </w:r>
      <w:r>
        <w:rPr>
          <w:color w:val="231F20"/>
          <w:sz w:val="19"/>
        </w:rPr>
        <w:t>this</w:t>
      </w:r>
      <w:r>
        <w:rPr>
          <w:color w:val="231F20"/>
          <w:spacing w:val="-4"/>
          <w:sz w:val="19"/>
        </w:rPr>
        <w:t> </w:t>
      </w:r>
      <w:r>
        <w:rPr>
          <w:color w:val="231F20"/>
          <w:sz w:val="19"/>
        </w:rPr>
        <w:t>in</w:t>
      </w:r>
      <w:r>
        <w:rPr>
          <w:color w:val="231F20"/>
          <w:spacing w:val="-3"/>
          <w:sz w:val="19"/>
        </w:rPr>
        <w:t> </w:t>
      </w:r>
      <w:r>
        <w:rPr>
          <w:color w:val="231F20"/>
          <w:sz w:val="19"/>
        </w:rPr>
        <w:t>Case C-395/21, </w:t>
      </w:r>
      <w:r>
        <w:rPr>
          <w:i/>
          <w:color w:val="231F20"/>
          <w:sz w:val="19"/>
        </w:rPr>
        <w:t>D.</w:t>
      </w:r>
      <w:r>
        <w:rPr>
          <w:color w:val="231F20"/>
          <w:sz w:val="19"/>
        </w:rPr>
        <w:t>V. </w:t>
      </w:r>
      <w:r>
        <w:rPr>
          <w:i/>
          <w:color w:val="231F20"/>
          <w:sz w:val="19"/>
        </w:rPr>
        <w:t>(Lawyers</w:t>
      </w:r>
      <w:r>
        <w:rPr>
          <w:rFonts w:ascii="Arial" w:hAnsi="Arial"/>
          <w:color w:val="231F20"/>
          <w:sz w:val="19"/>
        </w:rPr>
        <w:t>’ </w:t>
      </w:r>
      <w:r>
        <w:rPr>
          <w:i/>
          <w:color w:val="231F20"/>
          <w:sz w:val="19"/>
        </w:rPr>
        <w:t>fees </w:t>
      </w:r>
      <w:r>
        <w:rPr>
          <w:rFonts w:ascii="Arial" w:hAnsi="Arial"/>
          <w:color w:val="231F20"/>
          <w:sz w:val="19"/>
        </w:rPr>
        <w:t>– </w:t>
      </w:r>
      <w:r>
        <w:rPr>
          <w:i/>
          <w:color w:val="231F20"/>
          <w:sz w:val="19"/>
        </w:rPr>
        <w:t>Principle of an hourly rate)</w:t>
      </w:r>
      <w:r>
        <w:rPr>
          <w:color w:val="231F20"/>
          <w:sz w:val="19"/>
        </w:rPr>
        <w:t>: </w:t>
      </w:r>
      <w:r>
        <w:rPr>
          <w:rFonts w:ascii="Arial" w:hAnsi="Arial"/>
          <w:color w:val="231F20"/>
          <w:sz w:val="19"/>
        </w:rPr>
        <w:t>‘</w:t>
      </w:r>
      <w:r>
        <w:rPr>
          <w:color w:val="231F20"/>
          <w:sz w:val="19"/>
        </w:rPr>
        <w:t>Accordingly, the consequences</w:t>
      </w:r>
      <w:r>
        <w:rPr>
          <w:color w:val="231F20"/>
          <w:spacing w:val="-8"/>
          <w:sz w:val="19"/>
        </w:rPr>
        <w:t> </w:t>
      </w:r>
      <w:r>
        <w:rPr>
          <w:color w:val="231F20"/>
          <w:sz w:val="19"/>
        </w:rPr>
        <w:t>of</w:t>
      </w:r>
      <w:r>
        <w:rPr>
          <w:color w:val="231F20"/>
          <w:spacing w:val="-8"/>
          <w:sz w:val="19"/>
        </w:rPr>
        <w:t> </w:t>
      </w:r>
      <w:r>
        <w:rPr>
          <w:color w:val="231F20"/>
          <w:sz w:val="19"/>
        </w:rPr>
        <w:t>a</w:t>
      </w:r>
      <w:r>
        <w:rPr>
          <w:color w:val="231F20"/>
          <w:spacing w:val="-8"/>
          <w:sz w:val="19"/>
        </w:rPr>
        <w:t> </w:t>
      </w:r>
      <w:r>
        <w:rPr>
          <w:color w:val="231F20"/>
          <w:sz w:val="19"/>
        </w:rPr>
        <w:t>lack</w:t>
      </w:r>
      <w:r>
        <w:rPr>
          <w:color w:val="231F20"/>
          <w:spacing w:val="-9"/>
          <w:sz w:val="19"/>
        </w:rPr>
        <w:t> </w:t>
      </w:r>
      <w:r>
        <w:rPr>
          <w:color w:val="231F20"/>
          <w:sz w:val="19"/>
        </w:rPr>
        <w:t>of</w:t>
      </w:r>
      <w:r>
        <w:rPr>
          <w:color w:val="231F20"/>
          <w:spacing w:val="-6"/>
          <w:sz w:val="19"/>
        </w:rPr>
        <w:t> </w:t>
      </w:r>
      <w:r>
        <w:rPr>
          <w:color w:val="231F20"/>
          <w:sz w:val="19"/>
        </w:rPr>
        <w:t>transparency</w:t>
      </w:r>
      <w:r>
        <w:rPr>
          <w:color w:val="231F20"/>
          <w:spacing w:val="-9"/>
          <w:sz w:val="19"/>
        </w:rPr>
        <w:t> </w:t>
      </w:r>
      <w:r>
        <w:rPr>
          <w:color w:val="231F20"/>
          <w:sz w:val="19"/>
        </w:rPr>
        <w:t>of</w:t>
      </w:r>
      <w:r>
        <w:rPr>
          <w:color w:val="231F20"/>
          <w:spacing w:val="-8"/>
          <w:sz w:val="19"/>
        </w:rPr>
        <w:t> </w:t>
      </w:r>
      <w:r>
        <w:rPr>
          <w:color w:val="231F20"/>
          <w:sz w:val="19"/>
        </w:rPr>
        <w:t>a</w:t>
      </w:r>
      <w:r>
        <w:rPr>
          <w:color w:val="231F20"/>
          <w:spacing w:val="-8"/>
          <w:sz w:val="19"/>
        </w:rPr>
        <w:t> </w:t>
      </w:r>
      <w:r>
        <w:rPr>
          <w:color w:val="231F20"/>
          <w:sz w:val="19"/>
        </w:rPr>
        <w:t>contractual</w:t>
      </w:r>
      <w:r>
        <w:rPr>
          <w:color w:val="231F20"/>
          <w:spacing w:val="-9"/>
          <w:sz w:val="19"/>
        </w:rPr>
        <w:t> </w:t>
      </w:r>
      <w:r>
        <w:rPr>
          <w:color w:val="231F20"/>
          <w:sz w:val="19"/>
        </w:rPr>
        <w:t>term</w:t>
      </w:r>
      <w:r>
        <w:rPr>
          <w:color w:val="231F20"/>
          <w:spacing w:val="-8"/>
          <w:sz w:val="19"/>
        </w:rPr>
        <w:t> </w:t>
      </w:r>
      <w:r>
        <w:rPr>
          <w:color w:val="231F20"/>
          <w:sz w:val="19"/>
        </w:rPr>
        <w:t>should</w:t>
      </w:r>
      <w:r>
        <w:rPr>
          <w:color w:val="231F20"/>
          <w:spacing w:val="-9"/>
          <w:sz w:val="19"/>
        </w:rPr>
        <w:t> </w:t>
      </w:r>
      <w:r>
        <w:rPr>
          <w:color w:val="231F20"/>
          <w:sz w:val="19"/>
        </w:rPr>
        <w:t>not</w:t>
      </w:r>
      <w:r>
        <w:rPr>
          <w:color w:val="231F20"/>
          <w:spacing w:val="-8"/>
          <w:sz w:val="19"/>
        </w:rPr>
        <w:t> </w:t>
      </w:r>
      <w:r>
        <w:rPr>
          <w:color w:val="231F20"/>
          <w:sz w:val="19"/>
        </w:rPr>
        <w:t>be</w:t>
      </w:r>
      <w:r>
        <w:rPr>
          <w:color w:val="231F20"/>
          <w:spacing w:val="-8"/>
          <w:sz w:val="19"/>
        </w:rPr>
        <w:t> </w:t>
      </w:r>
      <w:r>
        <w:rPr>
          <w:color w:val="231F20"/>
          <w:sz w:val="19"/>
        </w:rPr>
        <w:t>treated differently depending on whether it concerns the main subject matter of the contract or another aspect of it</w:t>
      </w:r>
      <w:r>
        <w:rPr>
          <w:rFonts w:ascii="Arial" w:hAnsi="Arial"/>
          <w:color w:val="231F20"/>
          <w:sz w:val="19"/>
        </w:rPr>
        <w:t>’</w:t>
      </w:r>
      <w:r>
        <w:rPr>
          <w:color w:val="231F20"/>
          <w:sz w:val="19"/>
        </w:rPr>
        <w:t>.</w:t>
      </w:r>
      <w:r>
        <w:rPr>
          <w:color w:val="231F20"/>
          <w:sz w:val="19"/>
          <w:vertAlign w:val="superscript"/>
        </w:rPr>
        <w:t>51</w:t>
      </w:r>
    </w:p>
    <w:p>
      <w:pPr>
        <w:pStyle w:val="ListParagraph"/>
        <w:numPr>
          <w:ilvl w:val="0"/>
          <w:numId w:val="4"/>
        </w:numPr>
        <w:tabs>
          <w:tab w:pos="1324" w:val="left" w:leader="none"/>
        </w:tabs>
        <w:spacing w:line="288" w:lineRule="auto" w:before="126" w:after="0"/>
        <w:ind w:left="871" w:right="868" w:firstLine="0"/>
        <w:jc w:val="both"/>
        <w:rPr>
          <w:sz w:val="19"/>
        </w:rPr>
      </w:pPr>
      <w:r>
        <w:rPr>
          <w:color w:val="231F20"/>
          <w:sz w:val="19"/>
        </w:rPr>
        <w:t>Therefore,</w:t>
      </w:r>
      <w:r>
        <w:rPr>
          <w:color w:val="231F20"/>
          <w:spacing w:val="-5"/>
          <w:sz w:val="19"/>
        </w:rPr>
        <w:t> </w:t>
      </w:r>
      <w:r>
        <w:rPr>
          <w:color w:val="231F20"/>
          <w:sz w:val="19"/>
        </w:rPr>
        <w:t>a</w:t>
      </w:r>
      <w:r>
        <w:rPr>
          <w:color w:val="231F20"/>
          <w:spacing w:val="-5"/>
          <w:sz w:val="19"/>
        </w:rPr>
        <w:t> </w:t>
      </w:r>
      <w:r>
        <w:rPr>
          <w:color w:val="231F20"/>
          <w:sz w:val="19"/>
        </w:rPr>
        <w:t>term</w:t>
      </w:r>
      <w:r>
        <w:rPr>
          <w:color w:val="231F20"/>
          <w:spacing w:val="-5"/>
          <w:sz w:val="19"/>
        </w:rPr>
        <w:t> </w:t>
      </w:r>
      <w:r>
        <w:rPr>
          <w:color w:val="231F20"/>
          <w:sz w:val="19"/>
        </w:rPr>
        <w:t>that</w:t>
      </w:r>
      <w:r>
        <w:rPr>
          <w:color w:val="231F20"/>
          <w:spacing w:val="-5"/>
          <w:sz w:val="19"/>
        </w:rPr>
        <w:t> </w:t>
      </w:r>
      <w:r>
        <w:rPr>
          <w:color w:val="231F20"/>
          <w:sz w:val="19"/>
        </w:rPr>
        <w:t>lacks</w:t>
      </w:r>
      <w:r>
        <w:rPr>
          <w:color w:val="231F20"/>
          <w:spacing w:val="-5"/>
          <w:sz w:val="19"/>
        </w:rPr>
        <w:t> </w:t>
      </w:r>
      <w:r>
        <w:rPr>
          <w:color w:val="231F20"/>
          <w:sz w:val="19"/>
        </w:rPr>
        <w:t>transparency</w:t>
      </w:r>
      <w:r>
        <w:rPr>
          <w:color w:val="231F20"/>
          <w:spacing w:val="-5"/>
          <w:sz w:val="19"/>
        </w:rPr>
        <w:t> </w:t>
      </w:r>
      <w:r>
        <w:rPr>
          <w:color w:val="231F20"/>
          <w:sz w:val="19"/>
        </w:rPr>
        <w:t>(Arts</w:t>
      </w:r>
      <w:r>
        <w:rPr>
          <w:color w:val="231F20"/>
          <w:spacing w:val="-5"/>
          <w:sz w:val="19"/>
        </w:rPr>
        <w:t> </w:t>
      </w:r>
      <w:r>
        <w:rPr>
          <w:color w:val="231F20"/>
          <w:sz w:val="19"/>
        </w:rPr>
        <w:t>4(2)</w:t>
      </w:r>
      <w:r>
        <w:rPr>
          <w:color w:val="231F20"/>
          <w:spacing w:val="-5"/>
          <w:sz w:val="19"/>
        </w:rPr>
        <w:t> </w:t>
      </w:r>
      <w:r>
        <w:rPr>
          <w:color w:val="231F20"/>
          <w:sz w:val="19"/>
        </w:rPr>
        <w:t>and</w:t>
      </w:r>
      <w:r>
        <w:rPr>
          <w:color w:val="231F20"/>
          <w:spacing w:val="-5"/>
          <w:sz w:val="19"/>
        </w:rPr>
        <w:t> </w:t>
      </w:r>
      <w:r>
        <w:rPr>
          <w:color w:val="231F20"/>
          <w:sz w:val="19"/>
        </w:rPr>
        <w:t>5</w:t>
      </w:r>
      <w:r>
        <w:rPr>
          <w:color w:val="231F20"/>
          <w:spacing w:val="-5"/>
          <w:sz w:val="19"/>
        </w:rPr>
        <w:t> </w:t>
      </w:r>
      <w:r>
        <w:rPr>
          <w:color w:val="231F20"/>
          <w:sz w:val="19"/>
        </w:rPr>
        <w:t>UCTD)</w:t>
      </w:r>
      <w:r>
        <w:rPr>
          <w:color w:val="231F20"/>
          <w:spacing w:val="-5"/>
          <w:sz w:val="19"/>
        </w:rPr>
        <w:t> </w:t>
      </w:r>
      <w:r>
        <w:rPr>
          <w:color w:val="231F20"/>
          <w:sz w:val="19"/>
        </w:rPr>
        <w:t>would</w:t>
      </w:r>
      <w:r>
        <w:rPr>
          <w:color w:val="231F20"/>
          <w:spacing w:val="-4"/>
          <w:sz w:val="19"/>
        </w:rPr>
        <w:t> </w:t>
      </w:r>
      <w:r>
        <w:rPr>
          <w:color w:val="231F20"/>
          <w:sz w:val="19"/>
        </w:rPr>
        <w:t>not be</w:t>
      </w:r>
      <w:r>
        <w:rPr>
          <w:color w:val="231F20"/>
          <w:spacing w:val="-2"/>
          <w:sz w:val="19"/>
        </w:rPr>
        <w:t> </w:t>
      </w:r>
      <w:r>
        <w:rPr>
          <w:color w:val="231F20"/>
          <w:sz w:val="19"/>
        </w:rPr>
        <w:t>binding</w:t>
      </w:r>
      <w:r>
        <w:rPr>
          <w:color w:val="231F20"/>
          <w:spacing w:val="-3"/>
          <w:sz w:val="19"/>
        </w:rPr>
        <w:t> </w:t>
      </w:r>
      <w:r>
        <w:rPr>
          <w:color w:val="231F20"/>
          <w:sz w:val="19"/>
        </w:rPr>
        <w:t>on</w:t>
      </w:r>
      <w:r>
        <w:rPr>
          <w:color w:val="231F20"/>
          <w:spacing w:val="-3"/>
          <w:sz w:val="19"/>
        </w:rPr>
        <w:t> </w:t>
      </w:r>
      <w:r>
        <w:rPr>
          <w:color w:val="231F20"/>
          <w:sz w:val="19"/>
        </w:rPr>
        <w:t>the</w:t>
      </w:r>
      <w:r>
        <w:rPr>
          <w:color w:val="231F20"/>
          <w:spacing w:val="-3"/>
          <w:sz w:val="19"/>
        </w:rPr>
        <w:t> </w:t>
      </w:r>
      <w:r>
        <w:rPr>
          <w:color w:val="231F20"/>
          <w:sz w:val="19"/>
        </w:rPr>
        <w:t>consumer</w:t>
      </w:r>
      <w:r>
        <w:rPr>
          <w:color w:val="231F20"/>
          <w:spacing w:val="-2"/>
          <w:sz w:val="19"/>
        </w:rPr>
        <w:t> </w:t>
      </w:r>
      <w:r>
        <w:rPr>
          <w:color w:val="231F20"/>
          <w:sz w:val="19"/>
        </w:rPr>
        <w:t>(Art.</w:t>
      </w:r>
      <w:r>
        <w:rPr>
          <w:color w:val="231F20"/>
          <w:spacing w:val="-2"/>
          <w:sz w:val="19"/>
        </w:rPr>
        <w:t> </w:t>
      </w:r>
      <w:r>
        <w:rPr>
          <w:color w:val="231F20"/>
          <w:sz w:val="19"/>
        </w:rPr>
        <w:t>6(1)</w:t>
      </w:r>
      <w:r>
        <w:rPr>
          <w:color w:val="231F20"/>
          <w:spacing w:val="-3"/>
          <w:sz w:val="19"/>
        </w:rPr>
        <w:t> </w:t>
      </w:r>
      <w:r>
        <w:rPr>
          <w:color w:val="231F20"/>
          <w:sz w:val="19"/>
        </w:rPr>
        <w:t>UCTD)</w:t>
      </w:r>
      <w:r>
        <w:rPr>
          <w:color w:val="231F20"/>
          <w:spacing w:val="-3"/>
          <w:sz w:val="19"/>
        </w:rPr>
        <w:t> </w:t>
      </w:r>
      <w:r>
        <w:rPr>
          <w:color w:val="231F20"/>
          <w:sz w:val="19"/>
        </w:rPr>
        <w:t>if</w:t>
      </w:r>
      <w:r>
        <w:rPr>
          <w:color w:val="231F20"/>
          <w:spacing w:val="-2"/>
          <w:sz w:val="19"/>
        </w:rPr>
        <w:t> </w:t>
      </w:r>
      <w:r>
        <w:rPr>
          <w:color w:val="231F20"/>
          <w:sz w:val="19"/>
        </w:rPr>
        <w:t>a</w:t>
      </w:r>
      <w:r>
        <w:rPr>
          <w:color w:val="231F20"/>
          <w:spacing w:val="-3"/>
          <w:sz w:val="19"/>
        </w:rPr>
        <w:t> </w:t>
      </w:r>
      <w:r>
        <w:rPr>
          <w:color w:val="231F20"/>
          <w:sz w:val="19"/>
        </w:rPr>
        <w:t>court</w:t>
      </w:r>
      <w:r>
        <w:rPr>
          <w:color w:val="231F20"/>
          <w:spacing w:val="-3"/>
          <w:sz w:val="19"/>
        </w:rPr>
        <w:t> </w:t>
      </w:r>
      <w:r>
        <w:rPr>
          <w:color w:val="231F20"/>
          <w:sz w:val="19"/>
        </w:rPr>
        <w:t>were</w:t>
      </w:r>
      <w:r>
        <w:rPr>
          <w:color w:val="231F20"/>
          <w:spacing w:val="-4"/>
          <w:sz w:val="19"/>
        </w:rPr>
        <w:t> </w:t>
      </w:r>
      <w:r>
        <w:rPr>
          <w:color w:val="231F20"/>
          <w:sz w:val="19"/>
        </w:rPr>
        <w:t>to</w:t>
      </w:r>
      <w:r>
        <w:rPr>
          <w:color w:val="231F20"/>
          <w:spacing w:val="-2"/>
          <w:sz w:val="19"/>
        </w:rPr>
        <w:t> </w:t>
      </w:r>
      <w:r>
        <w:rPr>
          <w:color w:val="231F20"/>
          <w:sz w:val="19"/>
        </w:rPr>
        <w:t>find</w:t>
      </w:r>
      <w:r>
        <w:rPr>
          <w:color w:val="231F20"/>
          <w:spacing w:val="-2"/>
          <w:sz w:val="19"/>
        </w:rPr>
        <w:t> </w:t>
      </w:r>
      <w:r>
        <w:rPr>
          <w:color w:val="231F20"/>
          <w:sz w:val="19"/>
        </w:rPr>
        <w:t>it</w:t>
      </w:r>
      <w:r>
        <w:rPr>
          <w:color w:val="231F20"/>
          <w:spacing w:val="-3"/>
          <w:sz w:val="19"/>
        </w:rPr>
        <w:t> </w:t>
      </w:r>
      <w:r>
        <w:rPr>
          <w:color w:val="231F20"/>
          <w:sz w:val="19"/>
        </w:rPr>
        <w:t>unfair</w:t>
      </w:r>
      <w:r>
        <w:rPr>
          <w:color w:val="231F20"/>
          <w:spacing w:val="-3"/>
          <w:sz w:val="19"/>
        </w:rPr>
        <w:t> </w:t>
      </w:r>
      <w:r>
        <w:rPr>
          <w:color w:val="231F20"/>
          <w:sz w:val="19"/>
        </w:rPr>
        <w:t>(Art. 3(1) UCTD). Member States can improve consumer protection by ordering that a non-transparent term is directly unfair and, thus, non-binding.</w:t>
      </w:r>
    </w:p>
    <w:p>
      <w:pPr>
        <w:pStyle w:val="BodyText"/>
        <w:rPr>
          <w:sz w:val="20"/>
        </w:rPr>
      </w:pPr>
    </w:p>
    <w:p>
      <w:pPr>
        <w:pStyle w:val="BodyText"/>
        <w:spacing w:before="44"/>
        <w:rPr>
          <w:sz w:val="20"/>
        </w:rPr>
      </w:pPr>
      <w:r>
        <w:rPr/>
        <mc:AlternateContent>
          <mc:Choice Requires="wps">
            <w:drawing>
              <wp:anchor distT="0" distB="0" distL="0" distR="0" allowOverlap="1" layoutInCell="1" locked="0" behindDoc="1" simplePos="0" relativeHeight="487593472">
                <wp:simplePos x="0" y="0"/>
                <wp:positionH relativeFrom="page">
                  <wp:posOffset>1979993</wp:posOffset>
                </wp:positionH>
                <wp:positionV relativeFrom="paragraph">
                  <wp:posOffset>187892</wp:posOffset>
                </wp:positionV>
                <wp:extent cx="1656080" cy="4445"/>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4.794685pt;width:130.394pt;height:.34015pt;mso-position-horizontal-relative:page;mso-position-vertical-relative:paragraph;z-index:-15723008;mso-wrap-distance-left:0;mso-wrap-distance-right:0" id="docshape14" filled="true" fillcolor="#000000" stroked="false">
                <v:fill type="solid"/>
                <w10:wrap type="topAndBottom"/>
              </v:rect>
            </w:pict>
          </mc:Fallback>
        </mc:AlternateContent>
      </w:r>
    </w:p>
    <w:p>
      <w:pPr>
        <w:pStyle w:val="BodyText"/>
        <w:spacing w:before="72"/>
        <w:rPr>
          <w:sz w:val="16"/>
        </w:rPr>
      </w:pPr>
    </w:p>
    <w:p>
      <w:pPr>
        <w:spacing w:line="285" w:lineRule="auto" w:before="1"/>
        <w:ind w:left="866" w:right="660" w:firstLine="0"/>
        <w:jc w:val="left"/>
        <w:rPr>
          <w:sz w:val="16"/>
        </w:rPr>
      </w:pPr>
      <w:r>
        <w:rPr>
          <w:color w:val="231F20"/>
          <w:sz w:val="16"/>
        </w:rPr>
        <w:t>64.</w:t>
      </w:r>
      <w:r>
        <w:rPr>
          <w:color w:val="231F20"/>
          <w:spacing w:val="40"/>
          <w:sz w:val="16"/>
        </w:rPr>
        <w:t> </w:t>
      </w:r>
      <w:r>
        <w:rPr>
          <w:color w:val="231F20"/>
          <w:sz w:val="16"/>
        </w:rPr>
        <w:t>A.</w:t>
      </w:r>
      <w:r>
        <w:rPr>
          <w:color w:val="231F20"/>
          <w:spacing w:val="40"/>
          <w:sz w:val="16"/>
        </w:rPr>
        <w:t> </w:t>
      </w:r>
      <w:r>
        <w:rPr>
          <w:color w:val="231F20"/>
          <w:sz w:val="16"/>
        </w:rPr>
        <w:t>W</w:t>
      </w:r>
      <w:r>
        <w:rPr>
          <w:color w:val="231F20"/>
          <w:sz w:val="11"/>
        </w:rPr>
        <w:t>IEWIÓROWSKA</w:t>
      </w:r>
      <w:r>
        <w:rPr>
          <w:color w:val="231F20"/>
          <w:sz w:val="16"/>
        </w:rPr>
        <w:t>-D</w:t>
      </w:r>
      <w:r>
        <w:rPr>
          <w:color w:val="231F20"/>
          <w:sz w:val="11"/>
        </w:rPr>
        <w:t>OMAGALSKA</w:t>
      </w:r>
      <w:r>
        <w:rPr>
          <w:color w:val="231F20"/>
          <w:sz w:val="16"/>
        </w:rPr>
        <w:t>,</w:t>
      </w:r>
      <w:r>
        <w:rPr>
          <w:color w:val="231F20"/>
          <w:spacing w:val="40"/>
          <w:sz w:val="16"/>
        </w:rPr>
        <w:t> </w:t>
      </w:r>
      <w:r>
        <w:rPr>
          <w:rFonts w:ascii="Arial" w:hAnsi="Arial"/>
          <w:color w:val="231F20"/>
          <w:sz w:val="16"/>
        </w:rPr>
        <w:t>‘</w:t>
      </w:r>
      <w:r>
        <w:rPr>
          <w:color w:val="231F20"/>
          <w:sz w:val="16"/>
        </w:rPr>
        <w:t>Lost</w:t>
      </w:r>
      <w:r>
        <w:rPr>
          <w:color w:val="231F20"/>
          <w:spacing w:val="40"/>
          <w:sz w:val="16"/>
        </w:rPr>
        <w:t> </w:t>
      </w:r>
      <w:r>
        <w:rPr>
          <w:color w:val="231F20"/>
          <w:sz w:val="16"/>
        </w:rPr>
        <w:t>in</w:t>
      </w:r>
      <w:r>
        <w:rPr>
          <w:color w:val="231F20"/>
          <w:spacing w:val="40"/>
          <w:sz w:val="16"/>
        </w:rPr>
        <w:t> </w:t>
      </w:r>
      <w:r>
        <w:rPr>
          <w:color w:val="231F20"/>
          <w:sz w:val="16"/>
        </w:rPr>
        <w:t>information.</w:t>
      </w:r>
      <w:r>
        <w:rPr>
          <w:color w:val="231F20"/>
          <w:spacing w:val="40"/>
          <w:sz w:val="16"/>
        </w:rPr>
        <w:t> </w:t>
      </w:r>
      <w:r>
        <w:rPr>
          <w:color w:val="231F20"/>
          <w:sz w:val="16"/>
        </w:rPr>
        <w:t>Transparency</w:t>
      </w:r>
      <w:r>
        <w:rPr>
          <w:color w:val="231F20"/>
          <w:spacing w:val="40"/>
          <w:sz w:val="16"/>
        </w:rPr>
        <w:t> </w:t>
      </w:r>
      <w:r>
        <w:rPr>
          <w:color w:val="231F20"/>
          <w:sz w:val="16"/>
        </w:rPr>
        <w:t>dogma</w:t>
      </w:r>
      <w:r>
        <w:rPr>
          <w:color w:val="231F20"/>
          <w:spacing w:val="40"/>
          <w:sz w:val="16"/>
        </w:rPr>
        <w:t> </w:t>
      </w:r>
      <w:r>
        <w:rPr>
          <w:color w:val="231F20"/>
          <w:sz w:val="16"/>
        </w:rPr>
        <w:t>of</w:t>
      </w:r>
      <w:r>
        <w:rPr>
          <w:color w:val="231F20"/>
          <w:spacing w:val="40"/>
          <w:sz w:val="16"/>
        </w:rPr>
        <w:t> </w:t>
      </w:r>
      <w:r>
        <w:rPr>
          <w:color w:val="231F20"/>
          <w:sz w:val="16"/>
        </w:rPr>
        <w:t>the</w:t>
      </w:r>
      <w:r>
        <w:rPr>
          <w:color w:val="231F20"/>
          <w:spacing w:val="40"/>
          <w:sz w:val="16"/>
        </w:rPr>
        <w:t> </w:t>
      </w:r>
      <w:r>
        <w:rPr>
          <w:color w:val="231F20"/>
          <w:sz w:val="16"/>
        </w:rPr>
        <w:t>Unfair</w:t>
      </w:r>
      <w:r>
        <w:rPr>
          <w:color w:val="231F20"/>
          <w:spacing w:val="40"/>
          <w:sz w:val="16"/>
        </w:rPr>
        <w:t> </w:t>
      </w:r>
      <w:r>
        <w:rPr>
          <w:color w:val="231F20"/>
          <w:sz w:val="16"/>
        </w:rPr>
        <w:t>Contract Terms Directive</w:t>
      </w:r>
      <w:r>
        <w:rPr>
          <w:rFonts w:ascii="Arial" w:hAnsi="Arial"/>
          <w:color w:val="231F20"/>
          <w:sz w:val="16"/>
        </w:rPr>
        <w:t>’</w:t>
      </w:r>
      <w:r>
        <w:rPr>
          <w:color w:val="231F20"/>
          <w:sz w:val="16"/>
        </w:rPr>
        <w:t>, in this issue.</w:t>
      </w:r>
    </w:p>
    <w:p>
      <w:pPr>
        <w:pStyle w:val="ListParagraph"/>
        <w:numPr>
          <w:ilvl w:val="0"/>
          <w:numId w:val="3"/>
        </w:numPr>
        <w:tabs>
          <w:tab w:pos="866" w:val="left" w:leader="none"/>
        </w:tabs>
        <w:spacing w:line="288" w:lineRule="auto" w:before="2" w:after="0"/>
        <w:ind w:left="866" w:right="869" w:hanging="354"/>
        <w:jc w:val="left"/>
        <w:rPr>
          <w:sz w:val="16"/>
        </w:rPr>
      </w:pPr>
      <w:r>
        <w:rPr>
          <w:color w:val="231F20"/>
          <w:sz w:val="16"/>
        </w:rPr>
        <w:t>ECJ 9 Jul. 2015, ECLI:EU:C:2015:447, </w:t>
      </w:r>
      <w:r>
        <w:rPr>
          <w:i/>
          <w:color w:val="231F20"/>
          <w:sz w:val="16"/>
        </w:rPr>
        <w:t>Maria Bucura</w:t>
      </w:r>
      <w:r>
        <w:rPr>
          <w:i/>
          <w:color w:val="231F20"/>
          <w:spacing w:val="-1"/>
          <w:sz w:val="16"/>
        </w:rPr>
        <w:t> </w:t>
      </w:r>
      <w:r>
        <w:rPr>
          <w:color w:val="231F20"/>
          <w:sz w:val="16"/>
        </w:rPr>
        <w:t>v. </w:t>
      </w:r>
      <w:r>
        <w:rPr>
          <w:i/>
          <w:color w:val="231F20"/>
          <w:sz w:val="16"/>
        </w:rPr>
        <w:t>SC Bancpost SA</w:t>
      </w:r>
      <w:r>
        <w:rPr>
          <w:color w:val="231F20"/>
          <w:sz w:val="16"/>
        </w:rPr>
        <w:t>, curia.europa.eu/juris/</w:t>
      </w:r>
      <w:r>
        <w:rPr>
          <w:color w:val="231F20"/>
          <w:spacing w:val="40"/>
          <w:sz w:val="16"/>
        </w:rPr>
        <w:t> </w:t>
      </w:r>
      <w:r>
        <w:rPr>
          <w:color w:val="231F20"/>
          <w:spacing w:val="-2"/>
          <w:sz w:val="16"/>
        </w:rPr>
        <w:t>liste.jsf?num=C-348/14.</w:t>
      </w:r>
    </w:p>
    <w:p>
      <w:pPr>
        <w:pStyle w:val="ListParagraph"/>
        <w:numPr>
          <w:ilvl w:val="0"/>
          <w:numId w:val="3"/>
        </w:numPr>
        <w:tabs>
          <w:tab w:pos="865" w:val="left" w:leader="none"/>
        </w:tabs>
        <w:spacing w:line="240" w:lineRule="auto" w:before="1" w:after="0"/>
        <w:ind w:left="865" w:right="0" w:hanging="353"/>
        <w:jc w:val="left"/>
        <w:rPr>
          <w:i/>
          <w:sz w:val="16"/>
        </w:rPr>
      </w:pPr>
      <w:r>
        <w:rPr>
          <w:color w:val="231F20"/>
          <w:sz w:val="16"/>
        </w:rPr>
        <w:t>ECJ</w:t>
      </w:r>
      <w:r>
        <w:rPr>
          <w:color w:val="231F20"/>
          <w:spacing w:val="-2"/>
          <w:sz w:val="16"/>
        </w:rPr>
        <w:t> </w:t>
      </w:r>
      <w:r>
        <w:rPr>
          <w:color w:val="231F20"/>
          <w:sz w:val="16"/>
        </w:rPr>
        <w:t>21</w:t>
      </w:r>
      <w:r>
        <w:rPr>
          <w:color w:val="231F20"/>
          <w:spacing w:val="-2"/>
          <w:sz w:val="16"/>
        </w:rPr>
        <w:t> </w:t>
      </w:r>
      <w:r>
        <w:rPr>
          <w:color w:val="231F20"/>
          <w:sz w:val="16"/>
        </w:rPr>
        <w:t>Dec. 2016,</w:t>
      </w:r>
      <w:r>
        <w:rPr>
          <w:color w:val="231F20"/>
          <w:spacing w:val="-2"/>
          <w:sz w:val="16"/>
        </w:rPr>
        <w:t> </w:t>
      </w:r>
      <w:r>
        <w:rPr>
          <w:color w:val="231F20"/>
          <w:sz w:val="16"/>
        </w:rPr>
        <w:t>ECLI:EU:C:2016:980</w:t>
      </w:r>
      <w:r>
        <w:rPr>
          <w:i/>
          <w:color w:val="231F20"/>
          <w:sz w:val="16"/>
        </w:rPr>
        <w:t>,</w:t>
      </w:r>
      <w:r>
        <w:rPr>
          <w:i/>
          <w:color w:val="231F20"/>
          <w:spacing w:val="-1"/>
          <w:sz w:val="16"/>
        </w:rPr>
        <w:t> </w:t>
      </w:r>
      <w:r>
        <w:rPr>
          <w:i/>
          <w:color w:val="231F20"/>
          <w:sz w:val="16"/>
        </w:rPr>
        <w:t>Gutiérrez</w:t>
      </w:r>
      <w:r>
        <w:rPr>
          <w:i/>
          <w:color w:val="231F20"/>
          <w:spacing w:val="-1"/>
          <w:sz w:val="16"/>
        </w:rPr>
        <w:t> </w:t>
      </w:r>
      <w:r>
        <w:rPr>
          <w:i/>
          <w:color w:val="231F20"/>
          <w:spacing w:val="-2"/>
          <w:sz w:val="16"/>
        </w:rPr>
        <w:t>Naranjo.</w:t>
      </w:r>
    </w:p>
    <w:p>
      <w:pPr>
        <w:pStyle w:val="ListParagraph"/>
        <w:numPr>
          <w:ilvl w:val="0"/>
          <w:numId w:val="3"/>
        </w:numPr>
        <w:tabs>
          <w:tab w:pos="866" w:val="left" w:leader="none"/>
        </w:tabs>
        <w:spacing w:line="285" w:lineRule="auto" w:before="37" w:after="0"/>
        <w:ind w:left="866" w:right="869" w:hanging="354"/>
        <w:jc w:val="left"/>
        <w:rPr>
          <w:sz w:val="16"/>
        </w:rPr>
      </w:pPr>
      <w:r>
        <w:rPr>
          <w:color w:val="231F20"/>
          <w:sz w:val="16"/>
        </w:rPr>
        <w:t>ECJ</w:t>
      </w:r>
      <w:r>
        <w:rPr>
          <w:color w:val="231F20"/>
          <w:spacing w:val="-6"/>
          <w:sz w:val="16"/>
        </w:rPr>
        <w:t> </w:t>
      </w:r>
      <w:r>
        <w:rPr>
          <w:color w:val="231F20"/>
          <w:sz w:val="16"/>
        </w:rPr>
        <w:t>12</w:t>
      </w:r>
      <w:r>
        <w:rPr>
          <w:color w:val="231F20"/>
          <w:spacing w:val="-5"/>
          <w:sz w:val="16"/>
        </w:rPr>
        <w:t> </w:t>
      </w:r>
      <w:r>
        <w:rPr>
          <w:color w:val="231F20"/>
          <w:sz w:val="16"/>
        </w:rPr>
        <w:t>Jan.</w:t>
      </w:r>
      <w:r>
        <w:rPr>
          <w:color w:val="231F20"/>
          <w:spacing w:val="-5"/>
          <w:sz w:val="16"/>
        </w:rPr>
        <w:t> </w:t>
      </w:r>
      <w:r>
        <w:rPr>
          <w:color w:val="231F20"/>
          <w:sz w:val="16"/>
        </w:rPr>
        <w:t>2023,</w:t>
      </w:r>
      <w:r>
        <w:rPr>
          <w:color w:val="231F20"/>
          <w:spacing w:val="-5"/>
          <w:sz w:val="16"/>
        </w:rPr>
        <w:t> </w:t>
      </w:r>
      <w:r>
        <w:rPr>
          <w:color w:val="231F20"/>
          <w:sz w:val="16"/>
        </w:rPr>
        <w:t>ECLI:EU:C:2023:14,</w:t>
      </w:r>
      <w:r>
        <w:rPr>
          <w:color w:val="231F20"/>
          <w:spacing w:val="-5"/>
          <w:sz w:val="16"/>
        </w:rPr>
        <w:t> </w:t>
      </w:r>
      <w:r>
        <w:rPr>
          <w:i/>
          <w:color w:val="231F20"/>
          <w:sz w:val="16"/>
        </w:rPr>
        <w:t>D.</w:t>
      </w:r>
      <w:r>
        <w:rPr>
          <w:color w:val="231F20"/>
          <w:sz w:val="16"/>
        </w:rPr>
        <w:t>V.</w:t>
      </w:r>
      <w:r>
        <w:rPr>
          <w:color w:val="231F20"/>
          <w:spacing w:val="-5"/>
          <w:sz w:val="16"/>
        </w:rPr>
        <w:t> </w:t>
      </w:r>
      <w:r>
        <w:rPr>
          <w:color w:val="231F20"/>
          <w:sz w:val="16"/>
        </w:rPr>
        <w:t>v.</w:t>
      </w:r>
      <w:r>
        <w:rPr>
          <w:color w:val="231F20"/>
          <w:spacing w:val="-5"/>
          <w:sz w:val="16"/>
        </w:rPr>
        <w:t> </w:t>
      </w:r>
      <w:r>
        <w:rPr>
          <w:i/>
          <w:color w:val="231F20"/>
          <w:sz w:val="16"/>
        </w:rPr>
        <w:t>M.A.</w:t>
      </w:r>
      <w:r>
        <w:rPr>
          <w:color w:val="231F20"/>
          <w:sz w:val="16"/>
        </w:rPr>
        <w:t>,</w:t>
      </w:r>
      <w:r>
        <w:rPr>
          <w:color w:val="231F20"/>
          <w:spacing w:val="-6"/>
          <w:sz w:val="16"/>
        </w:rPr>
        <w:t> </w:t>
      </w:r>
      <w:r>
        <w:rPr>
          <w:color w:val="231F20"/>
          <w:sz w:val="16"/>
        </w:rPr>
        <w:t>curia.europa.eu/juris/liste.jsf?num=C-395/</w:t>
      </w:r>
      <w:r>
        <w:rPr>
          <w:color w:val="231F20"/>
          <w:spacing w:val="40"/>
          <w:sz w:val="16"/>
        </w:rPr>
        <w:t> </w:t>
      </w:r>
      <w:r>
        <w:rPr>
          <w:color w:val="231F20"/>
          <w:sz w:val="16"/>
        </w:rPr>
        <w:t>21, paras 49</w:t>
      </w:r>
      <w:r>
        <w:rPr>
          <w:rFonts w:ascii="Arial" w:hAnsi="Arial"/>
          <w:color w:val="231F20"/>
          <w:sz w:val="16"/>
        </w:rPr>
        <w:t>–</w:t>
      </w:r>
      <w:r>
        <w:rPr>
          <w:color w:val="231F20"/>
          <w:sz w:val="16"/>
        </w:rPr>
        <w:t>51.</w:t>
      </w:r>
    </w:p>
    <w:p>
      <w:pPr>
        <w:pStyle w:val="ListParagraph"/>
        <w:numPr>
          <w:ilvl w:val="0"/>
          <w:numId w:val="3"/>
        </w:numPr>
        <w:tabs>
          <w:tab w:pos="866" w:val="left" w:leader="none"/>
        </w:tabs>
        <w:spacing w:line="288" w:lineRule="auto" w:before="1" w:after="0"/>
        <w:ind w:left="866" w:right="869" w:hanging="354"/>
        <w:jc w:val="left"/>
        <w:rPr>
          <w:sz w:val="16"/>
        </w:rPr>
      </w:pPr>
      <w:r>
        <w:rPr>
          <w:color w:val="231F20"/>
          <w:sz w:val="16"/>
        </w:rPr>
        <w:t>ECJ</w:t>
      </w:r>
      <w:r>
        <w:rPr>
          <w:color w:val="231F20"/>
          <w:spacing w:val="40"/>
          <w:sz w:val="16"/>
        </w:rPr>
        <w:t> </w:t>
      </w:r>
      <w:r>
        <w:rPr>
          <w:color w:val="231F20"/>
          <w:sz w:val="16"/>
        </w:rPr>
        <w:t>30</w:t>
      </w:r>
      <w:r>
        <w:rPr>
          <w:color w:val="231F20"/>
          <w:spacing w:val="40"/>
          <w:sz w:val="16"/>
        </w:rPr>
        <w:t> </w:t>
      </w:r>
      <w:r>
        <w:rPr>
          <w:color w:val="231F20"/>
          <w:sz w:val="16"/>
        </w:rPr>
        <w:t>Apr.</w:t>
      </w:r>
      <w:r>
        <w:rPr>
          <w:color w:val="231F20"/>
          <w:spacing w:val="40"/>
          <w:sz w:val="16"/>
        </w:rPr>
        <w:t> </w:t>
      </w:r>
      <w:r>
        <w:rPr>
          <w:color w:val="231F20"/>
          <w:sz w:val="16"/>
        </w:rPr>
        <w:t>2014,</w:t>
      </w:r>
      <w:r>
        <w:rPr>
          <w:color w:val="231F20"/>
          <w:spacing w:val="40"/>
          <w:sz w:val="16"/>
        </w:rPr>
        <w:t> </w:t>
      </w:r>
      <w:r>
        <w:rPr>
          <w:color w:val="231F20"/>
          <w:sz w:val="16"/>
        </w:rPr>
        <w:t>ECLI:EU:C:2014:282,</w:t>
      </w:r>
      <w:r>
        <w:rPr>
          <w:color w:val="231F20"/>
          <w:spacing w:val="40"/>
          <w:sz w:val="16"/>
        </w:rPr>
        <w:t> </w:t>
      </w:r>
      <w:r>
        <w:rPr>
          <w:i/>
          <w:color w:val="231F20"/>
          <w:sz w:val="16"/>
        </w:rPr>
        <w:t>Árpád</w:t>
      </w:r>
      <w:r>
        <w:rPr>
          <w:i/>
          <w:color w:val="231F20"/>
          <w:spacing w:val="40"/>
          <w:sz w:val="16"/>
        </w:rPr>
        <w:t> </w:t>
      </w:r>
      <w:r>
        <w:rPr>
          <w:i/>
          <w:color w:val="231F20"/>
          <w:sz w:val="16"/>
        </w:rPr>
        <w:t>Kásler,</w:t>
      </w:r>
      <w:r>
        <w:rPr>
          <w:i/>
          <w:color w:val="231F20"/>
          <w:spacing w:val="40"/>
          <w:sz w:val="16"/>
        </w:rPr>
        <w:t> </w:t>
      </w:r>
      <w:r>
        <w:rPr>
          <w:i/>
          <w:color w:val="231F20"/>
          <w:sz w:val="16"/>
        </w:rPr>
        <w:t>Hajnalka</w:t>
      </w:r>
      <w:r>
        <w:rPr>
          <w:i/>
          <w:color w:val="231F20"/>
          <w:spacing w:val="40"/>
          <w:sz w:val="16"/>
        </w:rPr>
        <w:t> </w:t>
      </w:r>
      <w:r>
        <w:rPr>
          <w:i/>
          <w:color w:val="231F20"/>
          <w:sz w:val="16"/>
        </w:rPr>
        <w:t>Káslerné</w:t>
      </w:r>
      <w:r>
        <w:rPr>
          <w:i/>
          <w:color w:val="231F20"/>
          <w:spacing w:val="40"/>
          <w:sz w:val="16"/>
        </w:rPr>
        <w:t> </w:t>
      </w:r>
      <w:r>
        <w:rPr>
          <w:i/>
          <w:color w:val="231F20"/>
          <w:sz w:val="16"/>
        </w:rPr>
        <w:t>Rábai</w:t>
      </w:r>
      <w:r>
        <w:rPr>
          <w:i/>
          <w:color w:val="231F20"/>
          <w:spacing w:val="40"/>
          <w:sz w:val="16"/>
        </w:rPr>
        <w:t> </w:t>
      </w:r>
      <w:r>
        <w:rPr>
          <w:color w:val="231F20"/>
          <w:sz w:val="16"/>
        </w:rPr>
        <w:t>v.</w:t>
      </w:r>
      <w:r>
        <w:rPr>
          <w:color w:val="231F20"/>
          <w:spacing w:val="40"/>
          <w:sz w:val="16"/>
        </w:rPr>
        <w:t> </w:t>
      </w:r>
      <w:r>
        <w:rPr>
          <w:i/>
          <w:color w:val="231F20"/>
          <w:sz w:val="16"/>
        </w:rPr>
        <w:t>OTP</w:t>
      </w:r>
      <w:r>
        <w:rPr>
          <w:i/>
          <w:color w:val="231F20"/>
          <w:spacing w:val="40"/>
          <w:sz w:val="16"/>
        </w:rPr>
        <w:t> </w:t>
      </w:r>
      <w:r>
        <w:rPr>
          <w:i/>
          <w:color w:val="231F20"/>
          <w:sz w:val="16"/>
        </w:rPr>
        <w:t>Jelzálogbank Zrt</w:t>
      </w:r>
      <w:r>
        <w:rPr>
          <w:color w:val="231F20"/>
          <w:sz w:val="16"/>
        </w:rPr>
        <w:t>, curia.europa.eu/juris/liste.jsf?num=C-26/13, para. 69.</w:t>
      </w:r>
    </w:p>
    <w:p>
      <w:pPr>
        <w:pStyle w:val="ListParagraph"/>
        <w:numPr>
          <w:ilvl w:val="0"/>
          <w:numId w:val="3"/>
        </w:numPr>
        <w:tabs>
          <w:tab w:pos="865" w:val="left" w:leader="none"/>
        </w:tabs>
        <w:spacing w:line="240" w:lineRule="auto" w:before="1" w:after="0"/>
        <w:ind w:left="865" w:right="0" w:hanging="353"/>
        <w:jc w:val="left"/>
        <w:rPr>
          <w:sz w:val="16"/>
        </w:rPr>
      </w:pPr>
      <w:r>
        <w:rPr>
          <w:color w:val="231F20"/>
          <w:sz w:val="16"/>
        </w:rPr>
        <w:t>ECJ 30 Apr.</w:t>
      </w:r>
      <w:r>
        <w:rPr>
          <w:color w:val="231F20"/>
          <w:spacing w:val="1"/>
          <w:sz w:val="16"/>
        </w:rPr>
        <w:t> </w:t>
      </w:r>
      <w:r>
        <w:rPr>
          <w:color w:val="231F20"/>
          <w:sz w:val="16"/>
        </w:rPr>
        <w:t>2014, ECLI:EU:C:2014:282, </w:t>
      </w:r>
      <w:r>
        <w:rPr>
          <w:i/>
          <w:color w:val="231F20"/>
          <w:sz w:val="16"/>
        </w:rPr>
        <w:t>Kásler,</w:t>
      </w:r>
      <w:r>
        <w:rPr>
          <w:i/>
          <w:color w:val="231F20"/>
          <w:spacing w:val="1"/>
          <w:sz w:val="16"/>
        </w:rPr>
        <w:t> </w:t>
      </w:r>
      <w:r>
        <w:rPr>
          <w:color w:val="231F20"/>
          <w:sz w:val="16"/>
        </w:rPr>
        <w:t>paras 74 and</w:t>
      </w:r>
      <w:r>
        <w:rPr>
          <w:color w:val="231F20"/>
          <w:spacing w:val="1"/>
          <w:sz w:val="16"/>
        </w:rPr>
        <w:t> </w:t>
      </w:r>
      <w:r>
        <w:rPr>
          <w:color w:val="231F20"/>
          <w:spacing w:val="-5"/>
          <w:sz w:val="16"/>
        </w:rPr>
        <w:t>75.</w:t>
      </w:r>
    </w:p>
    <w:p>
      <w:pPr>
        <w:pStyle w:val="ListParagraph"/>
        <w:numPr>
          <w:ilvl w:val="0"/>
          <w:numId w:val="3"/>
        </w:numPr>
        <w:tabs>
          <w:tab w:pos="865" w:val="left" w:leader="none"/>
        </w:tabs>
        <w:spacing w:line="240" w:lineRule="auto" w:before="38" w:after="0"/>
        <w:ind w:left="865" w:right="0" w:hanging="353"/>
        <w:jc w:val="left"/>
        <w:rPr>
          <w:sz w:val="16"/>
        </w:rPr>
      </w:pPr>
      <w:r>
        <w:rPr>
          <w:color w:val="231F20"/>
          <w:sz w:val="16"/>
        </w:rPr>
        <w:t>ECJ</w:t>
      </w:r>
      <w:r>
        <w:rPr>
          <w:color w:val="231F20"/>
          <w:spacing w:val="4"/>
          <w:sz w:val="16"/>
        </w:rPr>
        <w:t> </w:t>
      </w:r>
      <w:r>
        <w:rPr>
          <w:color w:val="231F20"/>
          <w:sz w:val="16"/>
        </w:rPr>
        <w:t>12</w:t>
      </w:r>
      <w:r>
        <w:rPr>
          <w:color w:val="231F20"/>
          <w:spacing w:val="4"/>
          <w:sz w:val="16"/>
        </w:rPr>
        <w:t> </w:t>
      </w:r>
      <w:r>
        <w:rPr>
          <w:color w:val="231F20"/>
          <w:sz w:val="16"/>
        </w:rPr>
        <w:t>Jan.</w:t>
      </w:r>
      <w:r>
        <w:rPr>
          <w:color w:val="231F20"/>
          <w:spacing w:val="4"/>
          <w:sz w:val="16"/>
        </w:rPr>
        <w:t> </w:t>
      </w:r>
      <w:r>
        <w:rPr>
          <w:color w:val="231F20"/>
          <w:sz w:val="16"/>
        </w:rPr>
        <w:t>2023,</w:t>
      </w:r>
      <w:r>
        <w:rPr>
          <w:color w:val="231F20"/>
          <w:spacing w:val="5"/>
          <w:sz w:val="16"/>
        </w:rPr>
        <w:t> </w:t>
      </w:r>
      <w:r>
        <w:rPr>
          <w:color w:val="231F20"/>
          <w:sz w:val="16"/>
        </w:rPr>
        <w:t>ECLI:EU:C:2023:14,</w:t>
      </w:r>
      <w:r>
        <w:rPr>
          <w:color w:val="231F20"/>
          <w:spacing w:val="5"/>
          <w:sz w:val="16"/>
        </w:rPr>
        <w:t> </w:t>
      </w:r>
      <w:r>
        <w:rPr>
          <w:i/>
          <w:color w:val="231F20"/>
          <w:sz w:val="16"/>
        </w:rPr>
        <w:t>D.</w:t>
      </w:r>
      <w:r>
        <w:rPr>
          <w:color w:val="231F20"/>
          <w:sz w:val="16"/>
        </w:rPr>
        <w:t>V.</w:t>
      </w:r>
      <w:r>
        <w:rPr>
          <w:color w:val="231F20"/>
          <w:spacing w:val="5"/>
          <w:sz w:val="16"/>
        </w:rPr>
        <w:t> </w:t>
      </w:r>
      <w:r>
        <w:rPr>
          <w:color w:val="231F20"/>
          <w:sz w:val="16"/>
        </w:rPr>
        <w:t>v.</w:t>
      </w:r>
      <w:r>
        <w:rPr>
          <w:color w:val="231F20"/>
          <w:spacing w:val="48"/>
          <w:sz w:val="16"/>
        </w:rPr>
        <w:t> </w:t>
      </w:r>
      <w:r>
        <w:rPr>
          <w:i/>
          <w:color w:val="231F20"/>
          <w:sz w:val="16"/>
        </w:rPr>
        <w:t>M.A.</w:t>
      </w:r>
      <w:r>
        <w:rPr>
          <w:color w:val="231F20"/>
          <w:sz w:val="16"/>
        </w:rPr>
        <w:t>,</w:t>
      </w:r>
      <w:r>
        <w:rPr>
          <w:color w:val="231F20"/>
          <w:spacing w:val="4"/>
          <w:sz w:val="16"/>
        </w:rPr>
        <w:t> </w:t>
      </w:r>
      <w:r>
        <w:rPr>
          <w:color w:val="231F20"/>
          <w:sz w:val="16"/>
        </w:rPr>
        <w:t>para.</w:t>
      </w:r>
      <w:r>
        <w:rPr>
          <w:color w:val="231F20"/>
          <w:spacing w:val="5"/>
          <w:sz w:val="16"/>
        </w:rPr>
        <w:t> </w:t>
      </w:r>
      <w:r>
        <w:rPr>
          <w:color w:val="231F20"/>
          <w:spacing w:val="-5"/>
          <w:sz w:val="16"/>
        </w:rPr>
        <w:t>48.</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324" w:val="left" w:leader="none"/>
        </w:tabs>
        <w:spacing w:line="288" w:lineRule="auto" w:before="0" w:after="0"/>
        <w:ind w:left="871" w:right="867" w:firstLine="0"/>
        <w:jc w:val="both"/>
        <w:rPr>
          <w:sz w:val="19"/>
        </w:rPr>
      </w:pPr>
      <w:r>
        <w:rPr>
          <w:color w:val="231F20"/>
          <w:spacing w:val="-2"/>
          <w:sz w:val="19"/>
        </w:rPr>
        <w:t>Only</w:t>
      </w:r>
      <w:r>
        <w:rPr>
          <w:color w:val="231F20"/>
          <w:spacing w:val="-10"/>
          <w:sz w:val="19"/>
        </w:rPr>
        <w:t> </w:t>
      </w:r>
      <w:r>
        <w:rPr>
          <w:color w:val="231F20"/>
          <w:spacing w:val="-2"/>
          <w:sz w:val="19"/>
        </w:rPr>
        <w:t>for</w:t>
      </w:r>
      <w:r>
        <w:rPr>
          <w:color w:val="231F20"/>
          <w:spacing w:val="-9"/>
          <w:sz w:val="19"/>
        </w:rPr>
        <w:t> </w:t>
      </w:r>
      <w:r>
        <w:rPr>
          <w:color w:val="231F20"/>
          <w:spacing w:val="-2"/>
          <w:sz w:val="19"/>
        </w:rPr>
        <w:t>some</w:t>
      </w:r>
      <w:r>
        <w:rPr>
          <w:color w:val="231F20"/>
          <w:spacing w:val="-10"/>
          <w:sz w:val="19"/>
        </w:rPr>
        <w:t> </w:t>
      </w:r>
      <w:r>
        <w:rPr>
          <w:color w:val="231F20"/>
          <w:spacing w:val="-2"/>
          <w:sz w:val="19"/>
        </w:rPr>
        <w:t>instances</w:t>
      </w:r>
      <w:r>
        <w:rPr>
          <w:color w:val="231F20"/>
          <w:spacing w:val="-9"/>
          <w:sz w:val="19"/>
        </w:rPr>
        <w:t> </w:t>
      </w:r>
      <w:r>
        <w:rPr>
          <w:color w:val="231F20"/>
          <w:spacing w:val="-2"/>
          <w:sz w:val="19"/>
        </w:rPr>
        <w:t>of</w:t>
      </w:r>
      <w:r>
        <w:rPr>
          <w:color w:val="231F20"/>
          <w:spacing w:val="-10"/>
          <w:sz w:val="19"/>
        </w:rPr>
        <w:t> </w:t>
      </w:r>
      <w:r>
        <w:rPr>
          <w:color w:val="231F20"/>
          <w:spacing w:val="-2"/>
          <w:sz w:val="19"/>
        </w:rPr>
        <w:t>a</w:t>
      </w:r>
      <w:r>
        <w:rPr>
          <w:color w:val="231F20"/>
          <w:spacing w:val="-9"/>
          <w:sz w:val="19"/>
        </w:rPr>
        <w:t> </w:t>
      </w:r>
      <w:r>
        <w:rPr>
          <w:color w:val="231F20"/>
          <w:spacing w:val="-2"/>
          <w:sz w:val="19"/>
        </w:rPr>
        <w:t>formal</w:t>
      </w:r>
      <w:r>
        <w:rPr>
          <w:color w:val="231F20"/>
          <w:spacing w:val="-10"/>
          <w:sz w:val="19"/>
        </w:rPr>
        <w:t> </w:t>
      </w:r>
      <w:r>
        <w:rPr>
          <w:color w:val="231F20"/>
          <w:spacing w:val="-2"/>
          <w:sz w:val="19"/>
        </w:rPr>
        <w:t>lack</w:t>
      </w:r>
      <w:r>
        <w:rPr>
          <w:color w:val="231F20"/>
          <w:spacing w:val="-9"/>
          <w:sz w:val="19"/>
        </w:rPr>
        <w:t> </w:t>
      </w:r>
      <w:r>
        <w:rPr>
          <w:color w:val="231F20"/>
          <w:spacing w:val="-2"/>
          <w:sz w:val="19"/>
        </w:rPr>
        <w:t>of</w:t>
      </w:r>
      <w:r>
        <w:rPr>
          <w:color w:val="231F20"/>
          <w:spacing w:val="-7"/>
          <w:sz w:val="19"/>
        </w:rPr>
        <w:t> </w:t>
      </w:r>
      <w:r>
        <w:rPr>
          <w:color w:val="231F20"/>
          <w:spacing w:val="-2"/>
          <w:sz w:val="19"/>
        </w:rPr>
        <w:t>transparency,</w:t>
      </w:r>
      <w:r>
        <w:rPr>
          <w:color w:val="231F20"/>
          <w:spacing w:val="-9"/>
          <w:sz w:val="19"/>
        </w:rPr>
        <w:t> </w:t>
      </w:r>
      <w:r>
        <w:rPr>
          <w:color w:val="231F20"/>
          <w:spacing w:val="-2"/>
          <w:sz w:val="19"/>
        </w:rPr>
        <w:t>which</w:t>
      </w:r>
      <w:r>
        <w:rPr>
          <w:color w:val="231F20"/>
          <w:spacing w:val="-10"/>
          <w:sz w:val="19"/>
        </w:rPr>
        <w:t> </w:t>
      </w:r>
      <w:r>
        <w:rPr>
          <w:color w:val="231F20"/>
          <w:spacing w:val="-2"/>
          <w:sz w:val="19"/>
        </w:rPr>
        <w:t>does</w:t>
      </w:r>
      <w:r>
        <w:rPr>
          <w:color w:val="231F20"/>
          <w:spacing w:val="-8"/>
          <w:sz w:val="19"/>
        </w:rPr>
        <w:t> </w:t>
      </w:r>
      <w:r>
        <w:rPr>
          <w:color w:val="231F20"/>
          <w:spacing w:val="-2"/>
          <w:sz w:val="19"/>
        </w:rPr>
        <w:t>not</w:t>
      </w:r>
      <w:r>
        <w:rPr>
          <w:color w:val="231F20"/>
          <w:spacing w:val="-10"/>
          <w:sz w:val="19"/>
        </w:rPr>
        <w:t> </w:t>
      </w:r>
      <w:r>
        <w:rPr>
          <w:color w:val="231F20"/>
          <w:spacing w:val="-2"/>
          <w:sz w:val="19"/>
        </w:rPr>
        <w:t>make </w:t>
      </w:r>
      <w:r>
        <w:rPr>
          <w:color w:val="231F20"/>
          <w:sz w:val="19"/>
        </w:rPr>
        <w:t>the term unintelligible to an average consumer, but is open to alternative mean- ings, should the canon of interpretation apply (Art. 5 UCTD). If so, courts should interpret the obscure term contra proferentem, i.e., against the business.</w:t>
      </w:r>
    </w:p>
    <w:p>
      <w:pPr>
        <w:pStyle w:val="BodyText"/>
        <w:spacing w:before="55"/>
      </w:pPr>
    </w:p>
    <w:p>
      <w:pPr>
        <w:pStyle w:val="Heading1"/>
        <w:numPr>
          <w:ilvl w:val="0"/>
          <w:numId w:val="1"/>
        </w:numPr>
        <w:tabs>
          <w:tab w:pos="865" w:val="left" w:leader="none"/>
        </w:tabs>
        <w:spacing w:line="240" w:lineRule="auto" w:before="0" w:after="0"/>
        <w:ind w:left="865" w:right="0" w:hanging="353"/>
        <w:jc w:val="left"/>
      </w:pPr>
      <w:r>
        <w:rPr>
          <w:color w:val="231F20"/>
          <w:w w:val="105"/>
        </w:rPr>
        <w:t>The</w:t>
      </w:r>
      <w:r>
        <w:rPr>
          <w:color w:val="231F20"/>
          <w:spacing w:val="15"/>
          <w:w w:val="105"/>
        </w:rPr>
        <w:t> </w:t>
      </w:r>
      <w:r>
        <w:rPr>
          <w:color w:val="231F20"/>
          <w:spacing w:val="-2"/>
          <w:w w:val="105"/>
        </w:rPr>
        <w:t>Remedy</w:t>
      </w:r>
    </w:p>
    <w:p>
      <w:pPr>
        <w:pStyle w:val="Heading2"/>
        <w:numPr>
          <w:ilvl w:val="1"/>
          <w:numId w:val="1"/>
        </w:numPr>
        <w:tabs>
          <w:tab w:pos="846" w:val="left" w:leader="none"/>
        </w:tabs>
        <w:spacing w:line="240" w:lineRule="auto" w:before="139" w:after="0"/>
        <w:ind w:left="846" w:right="0" w:hanging="543"/>
        <w:jc w:val="left"/>
        <w:rPr>
          <w:i/>
        </w:rPr>
      </w:pPr>
      <w:r>
        <w:rPr>
          <w:i/>
          <w:color w:val="231F20"/>
          <w:w w:val="105"/>
        </w:rPr>
        <w:t>The</w:t>
      </w:r>
      <w:r>
        <w:rPr>
          <w:i/>
          <w:color w:val="231F20"/>
          <w:spacing w:val="8"/>
          <w:w w:val="105"/>
        </w:rPr>
        <w:t> </w:t>
      </w:r>
      <w:r>
        <w:rPr>
          <w:i/>
          <w:color w:val="231F20"/>
          <w:w w:val="105"/>
        </w:rPr>
        <w:t>Unfair</w:t>
      </w:r>
      <w:r>
        <w:rPr>
          <w:i/>
          <w:color w:val="231F20"/>
          <w:spacing w:val="10"/>
          <w:w w:val="105"/>
        </w:rPr>
        <w:t> </w:t>
      </w:r>
      <w:r>
        <w:rPr>
          <w:i/>
          <w:color w:val="231F20"/>
          <w:w w:val="105"/>
        </w:rPr>
        <w:t>Term</w:t>
      </w:r>
      <w:r>
        <w:rPr>
          <w:i/>
          <w:color w:val="231F20"/>
          <w:spacing w:val="9"/>
          <w:w w:val="105"/>
        </w:rPr>
        <w:t> </w:t>
      </w:r>
      <w:r>
        <w:rPr>
          <w:i/>
          <w:color w:val="231F20"/>
          <w:w w:val="105"/>
        </w:rPr>
        <w:t>Shall</w:t>
      </w:r>
      <w:r>
        <w:rPr>
          <w:i/>
          <w:color w:val="231F20"/>
          <w:spacing w:val="8"/>
          <w:w w:val="105"/>
        </w:rPr>
        <w:t> </w:t>
      </w:r>
      <w:r>
        <w:rPr>
          <w:i/>
          <w:color w:val="231F20"/>
          <w:w w:val="105"/>
        </w:rPr>
        <w:t>Not</w:t>
      </w:r>
      <w:r>
        <w:rPr>
          <w:i/>
          <w:color w:val="231F20"/>
          <w:spacing w:val="9"/>
          <w:w w:val="105"/>
        </w:rPr>
        <w:t> </w:t>
      </w:r>
      <w:r>
        <w:rPr>
          <w:i/>
          <w:color w:val="231F20"/>
          <w:w w:val="105"/>
        </w:rPr>
        <w:t>Be</w:t>
      </w:r>
      <w:r>
        <w:rPr>
          <w:i/>
          <w:color w:val="231F20"/>
          <w:spacing w:val="9"/>
          <w:w w:val="105"/>
        </w:rPr>
        <w:t> </w:t>
      </w:r>
      <w:r>
        <w:rPr>
          <w:i/>
          <w:color w:val="231F20"/>
          <w:w w:val="105"/>
        </w:rPr>
        <w:t>Binding</w:t>
      </w:r>
      <w:r>
        <w:rPr>
          <w:i/>
          <w:color w:val="231F20"/>
          <w:spacing w:val="8"/>
          <w:w w:val="105"/>
        </w:rPr>
        <w:t> </w:t>
      </w:r>
      <w:r>
        <w:rPr>
          <w:i/>
          <w:color w:val="231F20"/>
          <w:w w:val="105"/>
        </w:rPr>
        <w:t>on</w:t>
      </w:r>
      <w:r>
        <w:rPr>
          <w:i/>
          <w:color w:val="231F20"/>
          <w:spacing w:val="8"/>
          <w:w w:val="105"/>
        </w:rPr>
        <w:t> </w:t>
      </w:r>
      <w:r>
        <w:rPr>
          <w:i/>
          <w:color w:val="231F20"/>
          <w:w w:val="105"/>
        </w:rPr>
        <w:t>the</w:t>
      </w:r>
      <w:r>
        <w:rPr>
          <w:i/>
          <w:color w:val="231F20"/>
          <w:spacing w:val="9"/>
          <w:w w:val="105"/>
        </w:rPr>
        <w:t> </w:t>
      </w:r>
      <w:r>
        <w:rPr>
          <w:i/>
          <w:color w:val="231F20"/>
          <w:spacing w:val="-2"/>
          <w:w w:val="105"/>
        </w:rPr>
        <w:t>Consumer</w:t>
      </w:r>
    </w:p>
    <w:p>
      <w:pPr>
        <w:pStyle w:val="ListParagraph"/>
        <w:numPr>
          <w:ilvl w:val="0"/>
          <w:numId w:val="4"/>
        </w:numPr>
        <w:tabs>
          <w:tab w:pos="1324" w:val="left" w:leader="none"/>
        </w:tabs>
        <w:spacing w:line="283" w:lineRule="auto" w:before="166" w:after="0"/>
        <w:ind w:left="871" w:right="869" w:firstLine="0"/>
        <w:jc w:val="both"/>
        <w:rPr>
          <w:sz w:val="19"/>
        </w:rPr>
      </w:pPr>
      <w:r>
        <w:rPr>
          <w:color w:val="231F20"/>
          <w:sz w:val="19"/>
        </w:rPr>
        <w:t>Article 6(1) UCTD harmonized the consequences for unfair terms with </w:t>
      </w:r>
      <w:r>
        <w:rPr>
          <w:color w:val="231F20"/>
          <w:sz w:val="19"/>
        </w:rPr>
        <w:t>a novel,</w:t>
      </w:r>
      <w:r>
        <w:rPr>
          <w:color w:val="231F20"/>
          <w:spacing w:val="-7"/>
          <w:sz w:val="19"/>
        </w:rPr>
        <w:t> </w:t>
      </w:r>
      <w:r>
        <w:rPr>
          <w:color w:val="231F20"/>
          <w:sz w:val="19"/>
        </w:rPr>
        <w:t>purportedly</w:t>
      </w:r>
      <w:r>
        <w:rPr>
          <w:color w:val="231F20"/>
          <w:spacing w:val="-7"/>
          <w:sz w:val="19"/>
        </w:rPr>
        <w:t> </w:t>
      </w:r>
      <w:r>
        <w:rPr>
          <w:color w:val="231F20"/>
          <w:sz w:val="19"/>
        </w:rPr>
        <w:t>neutral,</w:t>
      </w:r>
      <w:r>
        <w:rPr>
          <w:color w:val="231F20"/>
          <w:spacing w:val="-6"/>
          <w:sz w:val="19"/>
        </w:rPr>
        <w:t> </w:t>
      </w:r>
      <w:r>
        <w:rPr>
          <w:color w:val="231F20"/>
          <w:sz w:val="19"/>
        </w:rPr>
        <w:t>remedy:</w:t>
      </w:r>
      <w:r>
        <w:rPr>
          <w:color w:val="231F20"/>
          <w:spacing w:val="-7"/>
          <w:sz w:val="19"/>
        </w:rPr>
        <w:t> </w:t>
      </w:r>
      <w:r>
        <w:rPr>
          <w:color w:val="231F20"/>
          <w:sz w:val="19"/>
        </w:rPr>
        <w:t>the</w:t>
      </w:r>
      <w:r>
        <w:rPr>
          <w:color w:val="231F20"/>
          <w:spacing w:val="-6"/>
          <w:sz w:val="19"/>
        </w:rPr>
        <w:t> </w:t>
      </w:r>
      <w:r>
        <w:rPr>
          <w:color w:val="231F20"/>
          <w:sz w:val="19"/>
        </w:rPr>
        <w:t>non-bindingness</w:t>
      </w:r>
      <w:r>
        <w:rPr>
          <w:color w:val="231F20"/>
          <w:spacing w:val="-7"/>
          <w:sz w:val="19"/>
        </w:rPr>
        <w:t> </w:t>
      </w:r>
      <w:r>
        <w:rPr>
          <w:color w:val="231F20"/>
          <w:sz w:val="19"/>
        </w:rPr>
        <w:t>of</w:t>
      </w:r>
      <w:r>
        <w:rPr>
          <w:color w:val="231F20"/>
          <w:spacing w:val="-3"/>
          <w:sz w:val="19"/>
        </w:rPr>
        <w:t> </w:t>
      </w:r>
      <w:r>
        <w:rPr>
          <w:color w:val="231F20"/>
          <w:sz w:val="19"/>
        </w:rPr>
        <w:t>the</w:t>
      </w:r>
      <w:r>
        <w:rPr>
          <w:color w:val="231F20"/>
          <w:spacing w:val="-6"/>
          <w:sz w:val="19"/>
        </w:rPr>
        <w:t> </w:t>
      </w:r>
      <w:r>
        <w:rPr>
          <w:color w:val="231F20"/>
          <w:sz w:val="19"/>
        </w:rPr>
        <w:t>term.</w:t>
      </w:r>
      <w:r>
        <w:rPr>
          <w:color w:val="231F20"/>
          <w:sz w:val="19"/>
          <w:vertAlign w:val="superscript"/>
        </w:rPr>
        <w:t>52</w:t>
      </w:r>
      <w:r>
        <w:rPr>
          <w:color w:val="231F20"/>
          <w:spacing w:val="-7"/>
          <w:sz w:val="19"/>
          <w:vertAlign w:val="baseline"/>
        </w:rPr>
        <w:t> </w:t>
      </w:r>
      <w:r>
        <w:rPr>
          <w:color w:val="231F20"/>
          <w:sz w:val="19"/>
          <w:vertAlign w:val="baseline"/>
        </w:rPr>
        <w:t>According to it, </w:t>
      </w:r>
      <w:r>
        <w:rPr>
          <w:rFonts w:ascii="Arial" w:hAnsi="Arial"/>
          <w:color w:val="231F20"/>
          <w:sz w:val="19"/>
          <w:vertAlign w:val="baseline"/>
        </w:rPr>
        <w:t>‘</w:t>
      </w:r>
      <w:r>
        <w:rPr>
          <w:color w:val="231F20"/>
          <w:sz w:val="19"/>
          <w:vertAlign w:val="baseline"/>
        </w:rPr>
        <w:t>the contract shall continue to bind the parties upon those terms if it is capable of continuing in existence without the unfair terms</w:t>
      </w:r>
      <w:r>
        <w:rPr>
          <w:rFonts w:ascii="Arial" w:hAnsi="Arial"/>
          <w:color w:val="231F20"/>
          <w:sz w:val="19"/>
          <w:vertAlign w:val="baseline"/>
        </w:rPr>
        <w:t>’</w:t>
      </w:r>
      <w:r>
        <w:rPr>
          <w:color w:val="231F20"/>
          <w:sz w:val="19"/>
          <w:vertAlign w:val="baseline"/>
        </w:rPr>
        <w:t>. Hence, in principle, only</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unfair</w:t>
      </w:r>
      <w:r>
        <w:rPr>
          <w:color w:val="231F20"/>
          <w:spacing w:val="-10"/>
          <w:sz w:val="19"/>
          <w:vertAlign w:val="baseline"/>
        </w:rPr>
        <w:t> </w:t>
      </w:r>
      <w:r>
        <w:rPr>
          <w:color w:val="231F20"/>
          <w:sz w:val="19"/>
          <w:vertAlign w:val="baseline"/>
        </w:rPr>
        <w:t>term</w:t>
      </w:r>
      <w:r>
        <w:rPr>
          <w:color w:val="231F20"/>
          <w:spacing w:val="-10"/>
          <w:sz w:val="19"/>
          <w:vertAlign w:val="baseline"/>
        </w:rPr>
        <w:t> </w:t>
      </w:r>
      <w:r>
        <w:rPr>
          <w:color w:val="231F20"/>
          <w:sz w:val="19"/>
          <w:vertAlign w:val="baseline"/>
        </w:rPr>
        <w:t>is</w:t>
      </w:r>
      <w:r>
        <w:rPr>
          <w:color w:val="231F20"/>
          <w:spacing w:val="-10"/>
          <w:sz w:val="19"/>
          <w:vertAlign w:val="baseline"/>
        </w:rPr>
        <w:t> </w:t>
      </w:r>
      <w:r>
        <w:rPr>
          <w:color w:val="231F20"/>
          <w:sz w:val="19"/>
          <w:vertAlign w:val="baseline"/>
        </w:rPr>
        <w:t>to</w:t>
      </w:r>
      <w:r>
        <w:rPr>
          <w:color w:val="231F20"/>
          <w:spacing w:val="-10"/>
          <w:sz w:val="19"/>
          <w:vertAlign w:val="baseline"/>
        </w:rPr>
        <w:t> </w:t>
      </w:r>
      <w:r>
        <w:rPr>
          <w:color w:val="231F20"/>
          <w:sz w:val="19"/>
          <w:vertAlign w:val="baseline"/>
        </w:rPr>
        <w:t>be</w:t>
      </w:r>
      <w:r>
        <w:rPr>
          <w:color w:val="231F20"/>
          <w:spacing w:val="-10"/>
          <w:sz w:val="19"/>
          <w:vertAlign w:val="baseline"/>
        </w:rPr>
        <w:t> </w:t>
      </w:r>
      <w:r>
        <w:rPr>
          <w:color w:val="231F20"/>
          <w:sz w:val="19"/>
          <w:vertAlign w:val="baseline"/>
        </w:rPr>
        <w:t>declared</w:t>
      </w:r>
      <w:r>
        <w:rPr>
          <w:color w:val="231F20"/>
          <w:spacing w:val="-10"/>
          <w:sz w:val="19"/>
          <w:vertAlign w:val="baseline"/>
        </w:rPr>
        <w:t> </w:t>
      </w:r>
      <w:r>
        <w:rPr>
          <w:rFonts w:ascii="Arial" w:hAnsi="Arial"/>
          <w:color w:val="231F20"/>
          <w:sz w:val="19"/>
          <w:vertAlign w:val="baseline"/>
        </w:rPr>
        <w:t>‘</w:t>
      </w:r>
      <w:r>
        <w:rPr>
          <w:color w:val="231F20"/>
          <w:sz w:val="19"/>
          <w:vertAlign w:val="baseline"/>
        </w:rPr>
        <w:t>non-binding</w:t>
      </w:r>
      <w:r>
        <w:rPr>
          <w:rFonts w:ascii="Arial" w:hAnsi="Arial"/>
          <w:color w:val="231F20"/>
          <w:sz w:val="19"/>
          <w:vertAlign w:val="baseline"/>
        </w:rPr>
        <w:t>’</w:t>
      </w:r>
      <w:r>
        <w:rPr>
          <w:color w:val="231F20"/>
          <w:sz w:val="19"/>
          <w:vertAlign w:val="baseline"/>
        </w:rPr>
        <w:t>,</w:t>
      </w:r>
      <w:r>
        <w:rPr>
          <w:color w:val="231F20"/>
          <w:spacing w:val="-10"/>
          <w:sz w:val="19"/>
          <w:vertAlign w:val="baseline"/>
        </w:rPr>
        <w:t> </w:t>
      </w:r>
      <w:r>
        <w:rPr>
          <w:color w:val="231F20"/>
          <w:sz w:val="19"/>
          <w:vertAlign w:val="baseline"/>
        </w:rPr>
        <w:t>leaving</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rest</w:t>
      </w:r>
      <w:r>
        <w:rPr>
          <w:color w:val="231F20"/>
          <w:spacing w:val="-10"/>
          <w:sz w:val="19"/>
          <w:vertAlign w:val="baseline"/>
        </w:rPr>
        <w:t> </w:t>
      </w:r>
      <w:r>
        <w:rPr>
          <w:color w:val="231F20"/>
          <w:sz w:val="19"/>
          <w:vertAlign w:val="baseline"/>
        </w:rPr>
        <w:t>of</w:t>
      </w:r>
      <w:r>
        <w:rPr>
          <w:color w:val="231F20"/>
          <w:spacing w:val="-7"/>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contract in force (</w:t>
      </w:r>
      <w:r>
        <w:rPr>
          <w:rFonts w:ascii="Arial" w:hAnsi="Arial"/>
          <w:color w:val="231F20"/>
          <w:sz w:val="19"/>
          <w:vertAlign w:val="baseline"/>
        </w:rPr>
        <w:t>‘</w:t>
      </w:r>
      <w:r>
        <w:rPr>
          <w:i/>
          <w:color w:val="231F20"/>
          <w:sz w:val="19"/>
          <w:vertAlign w:val="baseline"/>
        </w:rPr>
        <w:t>utile per inutile non vitiatur</w:t>
      </w:r>
      <w:r>
        <w:rPr>
          <w:rFonts w:ascii="Arial" w:hAnsi="Arial"/>
          <w:color w:val="231F20"/>
          <w:sz w:val="19"/>
          <w:vertAlign w:val="baseline"/>
        </w:rPr>
        <w:t>’</w:t>
      </w:r>
      <w:r>
        <w:rPr>
          <w:color w:val="231F20"/>
          <w:sz w:val="19"/>
          <w:vertAlign w:val="baseline"/>
        </w:rPr>
        <w:t>).</w:t>
      </w:r>
      <w:r>
        <w:rPr>
          <w:color w:val="231F20"/>
          <w:sz w:val="19"/>
          <w:vertAlign w:val="superscript"/>
        </w:rPr>
        <w:t>53</w:t>
      </w:r>
    </w:p>
    <w:p>
      <w:pPr>
        <w:pStyle w:val="ListParagraph"/>
        <w:numPr>
          <w:ilvl w:val="0"/>
          <w:numId w:val="4"/>
        </w:numPr>
        <w:tabs>
          <w:tab w:pos="1324" w:val="left" w:leader="none"/>
        </w:tabs>
        <w:spacing w:line="288" w:lineRule="auto" w:before="127" w:after="0"/>
        <w:ind w:left="871" w:right="869" w:firstLine="0"/>
        <w:jc w:val="both"/>
        <w:rPr>
          <w:sz w:val="19"/>
        </w:rPr>
      </w:pPr>
      <w:r>
        <w:rPr>
          <w:color w:val="231F20"/>
          <w:sz w:val="19"/>
        </w:rPr>
        <w:t>The UCTD delegated to national law the definition of the precise content of </w:t>
      </w:r>
      <w:r>
        <w:rPr>
          <w:color w:val="231F20"/>
          <w:spacing w:val="-2"/>
          <w:sz w:val="19"/>
        </w:rPr>
        <w:t>the</w:t>
      </w:r>
      <w:r>
        <w:rPr>
          <w:color w:val="231F20"/>
          <w:spacing w:val="-6"/>
          <w:sz w:val="19"/>
        </w:rPr>
        <w:t> </w:t>
      </w:r>
      <w:r>
        <w:rPr>
          <w:color w:val="231F20"/>
          <w:spacing w:val="-2"/>
          <w:sz w:val="19"/>
        </w:rPr>
        <w:t>remedy,</w:t>
      </w:r>
      <w:r>
        <w:rPr>
          <w:color w:val="231F20"/>
          <w:spacing w:val="-6"/>
          <w:sz w:val="19"/>
        </w:rPr>
        <w:t> </w:t>
      </w:r>
      <w:r>
        <w:rPr>
          <w:color w:val="231F20"/>
          <w:spacing w:val="-2"/>
          <w:sz w:val="19"/>
        </w:rPr>
        <w:t>which</w:t>
      </w:r>
      <w:r>
        <w:rPr>
          <w:color w:val="231F20"/>
          <w:spacing w:val="-7"/>
          <w:sz w:val="19"/>
        </w:rPr>
        <w:t> </w:t>
      </w:r>
      <w:r>
        <w:rPr>
          <w:color w:val="231F20"/>
          <w:spacing w:val="-2"/>
          <w:sz w:val="19"/>
        </w:rPr>
        <w:t>had</w:t>
      </w:r>
      <w:r>
        <w:rPr>
          <w:color w:val="231F20"/>
          <w:spacing w:val="-6"/>
          <w:sz w:val="19"/>
        </w:rPr>
        <w:t> </w:t>
      </w:r>
      <w:r>
        <w:rPr>
          <w:color w:val="231F20"/>
          <w:spacing w:val="-2"/>
          <w:sz w:val="19"/>
        </w:rPr>
        <w:t>to</w:t>
      </w:r>
      <w:r>
        <w:rPr>
          <w:color w:val="231F20"/>
          <w:spacing w:val="-6"/>
          <w:sz w:val="19"/>
        </w:rPr>
        <w:t> </w:t>
      </w:r>
      <w:r>
        <w:rPr>
          <w:color w:val="231F20"/>
          <w:spacing w:val="-2"/>
          <w:sz w:val="19"/>
        </w:rPr>
        <w:t>respect</w:t>
      </w:r>
      <w:r>
        <w:rPr>
          <w:color w:val="231F20"/>
          <w:spacing w:val="-7"/>
          <w:sz w:val="19"/>
        </w:rPr>
        <w:t> </w:t>
      </w:r>
      <w:r>
        <w:rPr>
          <w:color w:val="231F20"/>
          <w:spacing w:val="-2"/>
          <w:sz w:val="19"/>
        </w:rPr>
        <w:t>the</w:t>
      </w:r>
      <w:r>
        <w:rPr>
          <w:color w:val="231F20"/>
          <w:spacing w:val="-7"/>
          <w:sz w:val="19"/>
        </w:rPr>
        <w:t> </w:t>
      </w:r>
      <w:r>
        <w:rPr>
          <w:color w:val="231F20"/>
          <w:spacing w:val="-2"/>
          <w:sz w:val="19"/>
        </w:rPr>
        <w:t>common</w:t>
      </w:r>
      <w:r>
        <w:rPr>
          <w:color w:val="231F20"/>
          <w:spacing w:val="-6"/>
          <w:sz w:val="19"/>
        </w:rPr>
        <w:t> </w:t>
      </w:r>
      <w:r>
        <w:rPr>
          <w:color w:val="231F20"/>
          <w:spacing w:val="-2"/>
          <w:sz w:val="19"/>
        </w:rPr>
        <w:t>EU</w:t>
      </w:r>
      <w:r>
        <w:rPr>
          <w:color w:val="231F20"/>
          <w:spacing w:val="-8"/>
          <w:sz w:val="19"/>
        </w:rPr>
        <w:t> </w:t>
      </w:r>
      <w:r>
        <w:rPr>
          <w:color w:val="231F20"/>
          <w:spacing w:val="-2"/>
          <w:sz w:val="19"/>
        </w:rPr>
        <w:t>requirement</w:t>
      </w:r>
      <w:r>
        <w:rPr>
          <w:color w:val="231F20"/>
          <w:spacing w:val="-7"/>
          <w:sz w:val="19"/>
        </w:rPr>
        <w:t> </w:t>
      </w:r>
      <w:r>
        <w:rPr>
          <w:color w:val="231F20"/>
          <w:spacing w:val="-2"/>
          <w:sz w:val="19"/>
        </w:rPr>
        <w:t>that</w:t>
      </w:r>
      <w:r>
        <w:rPr>
          <w:color w:val="231F20"/>
          <w:spacing w:val="-7"/>
          <w:sz w:val="19"/>
        </w:rPr>
        <w:t> </w:t>
      </w:r>
      <w:r>
        <w:rPr>
          <w:color w:val="231F20"/>
          <w:spacing w:val="-2"/>
          <w:sz w:val="19"/>
        </w:rPr>
        <w:t>the</w:t>
      </w:r>
      <w:r>
        <w:rPr>
          <w:color w:val="231F20"/>
          <w:spacing w:val="-7"/>
          <w:sz w:val="19"/>
        </w:rPr>
        <w:t> </w:t>
      </w:r>
      <w:r>
        <w:rPr>
          <w:color w:val="231F20"/>
          <w:spacing w:val="-2"/>
          <w:sz w:val="19"/>
        </w:rPr>
        <w:t>unfair</w:t>
      </w:r>
      <w:r>
        <w:rPr>
          <w:color w:val="231F20"/>
          <w:spacing w:val="-7"/>
          <w:sz w:val="19"/>
        </w:rPr>
        <w:t> </w:t>
      </w:r>
      <w:r>
        <w:rPr>
          <w:color w:val="231F20"/>
          <w:spacing w:val="-2"/>
          <w:sz w:val="19"/>
        </w:rPr>
        <w:t>term should</w:t>
      </w:r>
      <w:r>
        <w:rPr>
          <w:color w:val="231F20"/>
          <w:spacing w:val="-7"/>
          <w:sz w:val="19"/>
        </w:rPr>
        <w:t> </w:t>
      </w:r>
      <w:r>
        <w:rPr>
          <w:color w:val="231F20"/>
          <w:spacing w:val="-2"/>
          <w:sz w:val="19"/>
        </w:rPr>
        <w:t>not</w:t>
      </w:r>
      <w:r>
        <w:rPr>
          <w:color w:val="231F20"/>
          <w:spacing w:val="-7"/>
          <w:sz w:val="19"/>
        </w:rPr>
        <w:t> </w:t>
      </w:r>
      <w:r>
        <w:rPr>
          <w:color w:val="231F20"/>
          <w:spacing w:val="-2"/>
          <w:sz w:val="19"/>
        </w:rPr>
        <w:t>be</w:t>
      </w:r>
      <w:r>
        <w:rPr>
          <w:color w:val="231F20"/>
          <w:spacing w:val="-6"/>
          <w:sz w:val="19"/>
        </w:rPr>
        <w:t> </w:t>
      </w:r>
      <w:r>
        <w:rPr>
          <w:color w:val="231F20"/>
          <w:spacing w:val="-2"/>
          <w:sz w:val="19"/>
        </w:rPr>
        <w:t>binding</w:t>
      </w:r>
      <w:r>
        <w:rPr>
          <w:color w:val="231F20"/>
          <w:spacing w:val="-8"/>
          <w:sz w:val="19"/>
        </w:rPr>
        <w:t> </w:t>
      </w:r>
      <w:r>
        <w:rPr>
          <w:color w:val="231F20"/>
          <w:spacing w:val="-2"/>
          <w:sz w:val="19"/>
        </w:rPr>
        <w:t>on</w:t>
      </w:r>
      <w:r>
        <w:rPr>
          <w:color w:val="231F20"/>
          <w:spacing w:val="-7"/>
          <w:sz w:val="19"/>
        </w:rPr>
        <w:t> </w:t>
      </w:r>
      <w:r>
        <w:rPr>
          <w:color w:val="231F20"/>
          <w:spacing w:val="-2"/>
          <w:sz w:val="19"/>
        </w:rPr>
        <w:t>the</w:t>
      </w:r>
      <w:r>
        <w:rPr>
          <w:color w:val="231F20"/>
          <w:spacing w:val="-7"/>
          <w:sz w:val="19"/>
        </w:rPr>
        <w:t> </w:t>
      </w:r>
      <w:r>
        <w:rPr>
          <w:color w:val="231F20"/>
          <w:spacing w:val="-2"/>
          <w:sz w:val="19"/>
        </w:rPr>
        <w:t>consumer.</w:t>
      </w:r>
      <w:r>
        <w:rPr>
          <w:color w:val="231F20"/>
          <w:spacing w:val="-7"/>
          <w:sz w:val="19"/>
        </w:rPr>
        <w:t> </w:t>
      </w:r>
      <w:r>
        <w:rPr>
          <w:color w:val="231F20"/>
          <w:spacing w:val="-2"/>
          <w:sz w:val="19"/>
        </w:rPr>
        <w:t>However,</w:t>
      </w:r>
      <w:r>
        <w:rPr>
          <w:color w:val="231F20"/>
          <w:spacing w:val="-8"/>
          <w:sz w:val="19"/>
        </w:rPr>
        <w:t> </w:t>
      </w:r>
      <w:r>
        <w:rPr>
          <w:color w:val="231F20"/>
          <w:spacing w:val="-2"/>
          <w:sz w:val="19"/>
        </w:rPr>
        <w:t>the</w:t>
      </w:r>
      <w:r>
        <w:rPr>
          <w:color w:val="231F20"/>
          <w:spacing w:val="-7"/>
          <w:sz w:val="19"/>
        </w:rPr>
        <w:t> </w:t>
      </w:r>
      <w:r>
        <w:rPr>
          <w:color w:val="231F20"/>
          <w:spacing w:val="-2"/>
          <w:sz w:val="19"/>
        </w:rPr>
        <w:t>ECJ</w:t>
      </w:r>
      <w:r>
        <w:rPr>
          <w:color w:val="231F20"/>
          <w:spacing w:val="-7"/>
          <w:sz w:val="19"/>
        </w:rPr>
        <w:t> </w:t>
      </w:r>
      <w:r>
        <w:rPr>
          <w:color w:val="231F20"/>
          <w:spacing w:val="-2"/>
          <w:sz w:val="19"/>
        </w:rPr>
        <w:t>built</w:t>
      </w:r>
      <w:r>
        <w:rPr>
          <w:color w:val="231F20"/>
          <w:spacing w:val="-7"/>
          <w:sz w:val="19"/>
        </w:rPr>
        <w:t> </w:t>
      </w:r>
      <w:r>
        <w:rPr>
          <w:color w:val="231F20"/>
          <w:spacing w:val="-2"/>
          <w:sz w:val="19"/>
        </w:rPr>
        <w:t>upon</w:t>
      </w:r>
      <w:r>
        <w:rPr>
          <w:color w:val="231F20"/>
          <w:spacing w:val="-6"/>
          <w:sz w:val="19"/>
        </w:rPr>
        <w:t> </w:t>
      </w:r>
      <w:r>
        <w:rPr>
          <w:color w:val="231F20"/>
          <w:spacing w:val="-2"/>
          <w:sz w:val="19"/>
        </w:rPr>
        <w:t>the</w:t>
      </w:r>
      <w:r>
        <w:rPr>
          <w:color w:val="231F20"/>
          <w:spacing w:val="-8"/>
          <w:sz w:val="19"/>
        </w:rPr>
        <w:t> </w:t>
      </w:r>
      <w:r>
        <w:rPr>
          <w:color w:val="231F20"/>
          <w:spacing w:val="-2"/>
          <w:sz w:val="19"/>
        </w:rPr>
        <w:t>principles </w:t>
      </w:r>
      <w:r>
        <w:rPr>
          <w:color w:val="231F20"/>
          <w:sz w:val="19"/>
        </w:rPr>
        <w:t>of equivalence and effectiveness to restrict the procedural autonomy of Member States</w:t>
      </w:r>
      <w:r>
        <w:rPr>
          <w:color w:val="231F20"/>
          <w:spacing w:val="-12"/>
          <w:sz w:val="19"/>
        </w:rPr>
        <w:t> </w:t>
      </w:r>
      <w:r>
        <w:rPr>
          <w:color w:val="231F20"/>
          <w:sz w:val="19"/>
        </w:rPr>
        <w:t>in</w:t>
      </w:r>
      <w:r>
        <w:rPr>
          <w:color w:val="231F20"/>
          <w:spacing w:val="-11"/>
          <w:sz w:val="19"/>
        </w:rPr>
        <w:t> </w:t>
      </w:r>
      <w:r>
        <w:rPr>
          <w:color w:val="231F20"/>
          <w:sz w:val="19"/>
        </w:rPr>
        <w:t>the</w:t>
      </w:r>
      <w:r>
        <w:rPr>
          <w:color w:val="231F20"/>
          <w:spacing w:val="-12"/>
          <w:sz w:val="19"/>
        </w:rPr>
        <w:t> </w:t>
      </w:r>
      <w:r>
        <w:rPr>
          <w:color w:val="231F20"/>
          <w:sz w:val="19"/>
        </w:rPr>
        <w:t>interpretation</w:t>
      </w:r>
      <w:r>
        <w:rPr>
          <w:color w:val="231F20"/>
          <w:spacing w:val="-11"/>
          <w:sz w:val="19"/>
        </w:rPr>
        <w:t> </w:t>
      </w:r>
      <w:r>
        <w:rPr>
          <w:color w:val="231F20"/>
          <w:sz w:val="19"/>
        </w:rPr>
        <w:t>of</w:t>
      </w:r>
      <w:r>
        <w:rPr>
          <w:color w:val="231F20"/>
          <w:spacing w:val="-12"/>
          <w:sz w:val="19"/>
        </w:rPr>
        <w:t> </w:t>
      </w:r>
      <w:r>
        <w:rPr>
          <w:color w:val="231F20"/>
          <w:sz w:val="19"/>
        </w:rPr>
        <w:t>Article</w:t>
      </w:r>
      <w:r>
        <w:rPr>
          <w:color w:val="231F20"/>
          <w:spacing w:val="-11"/>
          <w:sz w:val="19"/>
        </w:rPr>
        <w:t> </w:t>
      </w:r>
      <w:r>
        <w:rPr>
          <w:color w:val="231F20"/>
          <w:sz w:val="19"/>
        </w:rPr>
        <w:t>6(1)</w:t>
      </w:r>
      <w:r>
        <w:rPr>
          <w:color w:val="231F20"/>
          <w:spacing w:val="-12"/>
          <w:sz w:val="19"/>
        </w:rPr>
        <w:t> </w:t>
      </w:r>
      <w:r>
        <w:rPr>
          <w:color w:val="231F20"/>
          <w:sz w:val="19"/>
        </w:rPr>
        <w:t>UCTD.</w:t>
      </w:r>
      <w:r>
        <w:rPr>
          <w:color w:val="231F20"/>
          <w:spacing w:val="-11"/>
          <w:sz w:val="19"/>
        </w:rPr>
        <w:t> </w:t>
      </w:r>
      <w:r>
        <w:rPr>
          <w:color w:val="231F20"/>
          <w:sz w:val="19"/>
        </w:rPr>
        <w:t>The</w:t>
      </w:r>
      <w:r>
        <w:rPr>
          <w:color w:val="231F20"/>
          <w:spacing w:val="-12"/>
          <w:sz w:val="19"/>
        </w:rPr>
        <w:t> </w:t>
      </w:r>
      <w:r>
        <w:rPr>
          <w:color w:val="231F20"/>
          <w:sz w:val="19"/>
        </w:rPr>
        <w:t>judgments</w:t>
      </w:r>
      <w:r>
        <w:rPr>
          <w:color w:val="231F20"/>
          <w:spacing w:val="-11"/>
          <w:sz w:val="19"/>
        </w:rPr>
        <w:t> </w:t>
      </w:r>
      <w:r>
        <w:rPr>
          <w:color w:val="231F20"/>
          <w:sz w:val="19"/>
        </w:rPr>
        <w:t>of</w:t>
      </w:r>
      <w:r>
        <w:rPr>
          <w:color w:val="231F20"/>
          <w:spacing w:val="-12"/>
          <w:sz w:val="19"/>
        </w:rPr>
        <w:t> </w:t>
      </w:r>
      <w:r>
        <w:rPr>
          <w:color w:val="231F20"/>
          <w:sz w:val="19"/>
        </w:rPr>
        <w:t>the</w:t>
      </w:r>
      <w:r>
        <w:rPr>
          <w:color w:val="231F20"/>
          <w:spacing w:val="-11"/>
          <w:sz w:val="19"/>
        </w:rPr>
        <w:t> </w:t>
      </w:r>
      <w:r>
        <w:rPr>
          <w:color w:val="231F20"/>
          <w:sz w:val="19"/>
        </w:rPr>
        <w:t>ECJ</w:t>
      </w:r>
      <w:r>
        <w:rPr>
          <w:color w:val="231F20"/>
          <w:spacing w:val="-11"/>
          <w:sz w:val="19"/>
        </w:rPr>
        <w:t> </w:t>
      </w:r>
      <w:r>
        <w:rPr>
          <w:color w:val="231F20"/>
          <w:sz w:val="19"/>
        </w:rPr>
        <w:t>shaped the remedy for unfair terms and continue to do so.</w:t>
      </w:r>
    </w:p>
    <w:p>
      <w:pPr>
        <w:pStyle w:val="ListParagraph"/>
        <w:numPr>
          <w:ilvl w:val="0"/>
          <w:numId w:val="4"/>
        </w:numPr>
        <w:tabs>
          <w:tab w:pos="1324" w:val="left" w:leader="none"/>
        </w:tabs>
        <w:spacing w:line="288" w:lineRule="auto" w:before="116" w:after="0"/>
        <w:ind w:left="871" w:right="868" w:firstLine="0"/>
        <w:jc w:val="both"/>
        <w:rPr>
          <w:sz w:val="19"/>
        </w:rPr>
      </w:pPr>
      <w:r>
        <w:rPr>
          <w:color w:val="231F20"/>
          <w:sz w:val="19"/>
        </w:rPr>
        <w:t>The</w:t>
      </w:r>
      <w:r>
        <w:rPr>
          <w:color w:val="231F20"/>
          <w:spacing w:val="-6"/>
          <w:sz w:val="19"/>
        </w:rPr>
        <w:t> </w:t>
      </w:r>
      <w:r>
        <w:rPr>
          <w:color w:val="231F20"/>
          <w:sz w:val="19"/>
        </w:rPr>
        <w:t>ECJ</w:t>
      </w:r>
      <w:r>
        <w:rPr>
          <w:color w:val="231F20"/>
          <w:spacing w:val="-7"/>
          <w:sz w:val="19"/>
        </w:rPr>
        <w:t> </w:t>
      </w:r>
      <w:r>
        <w:rPr>
          <w:color w:val="231F20"/>
          <w:sz w:val="19"/>
        </w:rPr>
        <w:t>first</w:t>
      </w:r>
      <w:r>
        <w:rPr>
          <w:color w:val="231F20"/>
          <w:spacing w:val="-7"/>
          <w:sz w:val="19"/>
        </w:rPr>
        <w:t> </w:t>
      </w:r>
      <w:r>
        <w:rPr>
          <w:color w:val="231F20"/>
          <w:sz w:val="19"/>
        </w:rPr>
        <w:t>mandated</w:t>
      </w:r>
      <w:r>
        <w:rPr>
          <w:color w:val="231F20"/>
          <w:spacing w:val="-6"/>
          <w:sz w:val="19"/>
        </w:rPr>
        <w:t> </w:t>
      </w:r>
      <w:r>
        <w:rPr>
          <w:color w:val="231F20"/>
          <w:sz w:val="19"/>
        </w:rPr>
        <w:t>courts</w:t>
      </w:r>
      <w:r>
        <w:rPr>
          <w:color w:val="231F20"/>
          <w:spacing w:val="-5"/>
          <w:sz w:val="19"/>
        </w:rPr>
        <w:t> </w:t>
      </w:r>
      <w:r>
        <w:rPr>
          <w:color w:val="231F20"/>
          <w:sz w:val="19"/>
        </w:rPr>
        <w:t>to</w:t>
      </w:r>
      <w:r>
        <w:rPr>
          <w:color w:val="231F20"/>
          <w:spacing w:val="-6"/>
          <w:sz w:val="19"/>
        </w:rPr>
        <w:t> </w:t>
      </w:r>
      <w:r>
        <w:rPr>
          <w:rFonts w:ascii="Arial" w:hAnsi="Arial"/>
          <w:color w:val="231F20"/>
          <w:sz w:val="19"/>
        </w:rPr>
        <w:t>‘</w:t>
      </w:r>
      <w:r>
        <w:rPr>
          <w:color w:val="231F20"/>
          <w:sz w:val="19"/>
        </w:rPr>
        <w:t>draw</w:t>
      </w:r>
      <w:r>
        <w:rPr>
          <w:color w:val="231F20"/>
          <w:spacing w:val="-5"/>
          <w:sz w:val="19"/>
        </w:rPr>
        <w:t> </w:t>
      </w:r>
      <w:r>
        <w:rPr>
          <w:color w:val="231F20"/>
          <w:sz w:val="19"/>
        </w:rPr>
        <w:t>all</w:t>
      </w:r>
      <w:r>
        <w:rPr>
          <w:color w:val="231F20"/>
          <w:spacing w:val="-6"/>
          <w:sz w:val="19"/>
        </w:rPr>
        <w:t> </w:t>
      </w:r>
      <w:r>
        <w:rPr>
          <w:color w:val="231F20"/>
          <w:sz w:val="19"/>
        </w:rPr>
        <w:t>the</w:t>
      </w:r>
      <w:r>
        <w:rPr>
          <w:color w:val="231F20"/>
          <w:spacing w:val="-6"/>
          <w:sz w:val="19"/>
        </w:rPr>
        <w:t> </w:t>
      </w:r>
      <w:r>
        <w:rPr>
          <w:color w:val="231F20"/>
          <w:sz w:val="19"/>
        </w:rPr>
        <w:t>consequences</w:t>
      </w:r>
      <w:r>
        <w:rPr>
          <w:rFonts w:ascii="Arial" w:hAnsi="Arial"/>
          <w:color w:val="231F20"/>
          <w:sz w:val="19"/>
        </w:rPr>
        <w:t>’</w:t>
      </w:r>
      <w:r>
        <w:rPr>
          <w:rFonts w:ascii="Arial" w:hAnsi="Arial"/>
          <w:color w:val="231F20"/>
          <w:spacing w:val="-12"/>
          <w:sz w:val="19"/>
        </w:rPr>
        <w:t> </w:t>
      </w:r>
      <w:r>
        <w:rPr>
          <w:color w:val="231F20"/>
          <w:sz w:val="19"/>
        </w:rPr>
        <w:t>under</w:t>
      </w:r>
      <w:r>
        <w:rPr>
          <w:color w:val="231F20"/>
          <w:spacing w:val="-7"/>
          <w:sz w:val="19"/>
        </w:rPr>
        <w:t> </w:t>
      </w:r>
      <w:r>
        <w:rPr>
          <w:color w:val="231F20"/>
          <w:sz w:val="19"/>
        </w:rPr>
        <w:t>national law</w:t>
      </w:r>
      <w:r>
        <w:rPr>
          <w:color w:val="231F20"/>
          <w:spacing w:val="-2"/>
          <w:sz w:val="19"/>
        </w:rPr>
        <w:t> </w:t>
      </w:r>
      <w:r>
        <w:rPr>
          <w:color w:val="231F20"/>
          <w:sz w:val="19"/>
        </w:rPr>
        <w:t>that</w:t>
      </w:r>
      <w:r>
        <w:rPr>
          <w:color w:val="231F20"/>
          <w:spacing w:val="-1"/>
          <w:sz w:val="19"/>
        </w:rPr>
        <w:t> </w:t>
      </w:r>
      <w:r>
        <w:rPr>
          <w:color w:val="231F20"/>
          <w:sz w:val="19"/>
        </w:rPr>
        <w:t>follow</w:t>
      </w:r>
      <w:r>
        <w:rPr>
          <w:color w:val="231F20"/>
          <w:spacing w:val="-3"/>
          <w:sz w:val="19"/>
        </w:rPr>
        <w:t> </w:t>
      </w:r>
      <w:r>
        <w:rPr>
          <w:color w:val="231F20"/>
          <w:sz w:val="19"/>
        </w:rPr>
        <w:t>from</w:t>
      </w:r>
      <w:r>
        <w:rPr>
          <w:color w:val="231F20"/>
          <w:spacing w:val="-3"/>
          <w:sz w:val="19"/>
        </w:rPr>
        <w:t> </w:t>
      </w:r>
      <w:r>
        <w:rPr>
          <w:color w:val="231F20"/>
          <w:sz w:val="19"/>
        </w:rPr>
        <w:t>finding an</w:t>
      </w:r>
      <w:r>
        <w:rPr>
          <w:color w:val="231F20"/>
          <w:spacing w:val="-2"/>
          <w:sz w:val="19"/>
        </w:rPr>
        <w:t> </w:t>
      </w:r>
      <w:r>
        <w:rPr>
          <w:color w:val="231F20"/>
          <w:sz w:val="19"/>
        </w:rPr>
        <w:t>unfair</w:t>
      </w:r>
      <w:r>
        <w:rPr>
          <w:color w:val="231F20"/>
          <w:spacing w:val="-2"/>
          <w:sz w:val="19"/>
        </w:rPr>
        <w:t> </w:t>
      </w:r>
      <w:r>
        <w:rPr>
          <w:color w:val="231F20"/>
          <w:sz w:val="19"/>
        </w:rPr>
        <w:t>term,</w:t>
      </w:r>
      <w:r>
        <w:rPr>
          <w:color w:val="231F20"/>
          <w:spacing w:val="-3"/>
          <w:sz w:val="19"/>
        </w:rPr>
        <w:t> </w:t>
      </w:r>
      <w:r>
        <w:rPr>
          <w:color w:val="231F20"/>
          <w:sz w:val="19"/>
        </w:rPr>
        <w:t>so</w:t>
      </w:r>
      <w:r>
        <w:rPr>
          <w:color w:val="231F20"/>
          <w:spacing w:val="-1"/>
          <w:sz w:val="19"/>
        </w:rPr>
        <w:t> </w:t>
      </w:r>
      <w:r>
        <w:rPr>
          <w:color w:val="231F20"/>
          <w:sz w:val="19"/>
        </w:rPr>
        <w:t>that</w:t>
      </w:r>
      <w:r>
        <w:rPr>
          <w:color w:val="231F20"/>
          <w:spacing w:val="-3"/>
          <w:sz w:val="19"/>
        </w:rPr>
        <w:t> </w:t>
      </w:r>
      <w:r>
        <w:rPr>
          <w:color w:val="231F20"/>
          <w:sz w:val="19"/>
        </w:rPr>
        <w:t>the</w:t>
      </w:r>
      <w:r>
        <w:rPr>
          <w:color w:val="231F20"/>
          <w:spacing w:val="-2"/>
          <w:sz w:val="19"/>
        </w:rPr>
        <w:t> </w:t>
      </w:r>
      <w:r>
        <w:rPr>
          <w:color w:val="231F20"/>
          <w:sz w:val="19"/>
        </w:rPr>
        <w:t>consumer</w:t>
      </w:r>
      <w:r>
        <w:rPr>
          <w:color w:val="231F20"/>
          <w:spacing w:val="-2"/>
          <w:sz w:val="19"/>
        </w:rPr>
        <w:t> </w:t>
      </w:r>
      <w:r>
        <w:rPr>
          <w:color w:val="231F20"/>
          <w:sz w:val="19"/>
        </w:rPr>
        <w:t>is</w:t>
      </w:r>
      <w:r>
        <w:rPr>
          <w:color w:val="231F20"/>
          <w:spacing w:val="-2"/>
          <w:sz w:val="19"/>
        </w:rPr>
        <w:t> </w:t>
      </w:r>
      <w:r>
        <w:rPr>
          <w:color w:val="231F20"/>
          <w:sz w:val="19"/>
        </w:rPr>
        <w:t>not</w:t>
      </w:r>
      <w:r>
        <w:rPr>
          <w:color w:val="231F20"/>
          <w:spacing w:val="-2"/>
          <w:sz w:val="19"/>
        </w:rPr>
        <w:t> </w:t>
      </w:r>
      <w:r>
        <w:rPr>
          <w:color w:val="231F20"/>
          <w:sz w:val="19"/>
        </w:rPr>
        <w:t>bound</w:t>
      </w:r>
      <w:r>
        <w:rPr>
          <w:color w:val="231F20"/>
          <w:spacing w:val="-1"/>
          <w:sz w:val="19"/>
        </w:rPr>
        <w:t> </w:t>
      </w:r>
      <w:r>
        <w:rPr>
          <w:color w:val="231F20"/>
          <w:sz w:val="19"/>
        </w:rPr>
        <w:t>by it.</w:t>
      </w:r>
      <w:r>
        <w:rPr>
          <w:color w:val="231F20"/>
          <w:sz w:val="19"/>
          <w:vertAlign w:val="superscript"/>
        </w:rPr>
        <w:t>54</w:t>
      </w:r>
      <w:r>
        <w:rPr>
          <w:color w:val="231F20"/>
          <w:sz w:val="19"/>
          <w:vertAlign w:val="baseline"/>
        </w:rPr>
        <w:t> In joined Cases C-154/15 and 307/15, </w:t>
      </w:r>
      <w:r>
        <w:rPr>
          <w:i/>
          <w:color w:val="231F20"/>
          <w:sz w:val="19"/>
          <w:vertAlign w:val="baseline"/>
        </w:rPr>
        <w:t>Gutiérrez Naranjo</w:t>
      </w:r>
      <w:r>
        <w:rPr>
          <w:color w:val="231F20"/>
          <w:sz w:val="19"/>
          <w:vertAlign w:val="baseline"/>
        </w:rPr>
        <w:t>, the ECJ </w:t>
      </w:r>
      <w:r>
        <w:rPr>
          <w:color w:val="231F20"/>
          <w:sz w:val="19"/>
          <w:vertAlign w:val="baseline"/>
        </w:rPr>
        <w:t>advanced this interpretation of Article 6(1) UCTD. It then required that consumers be restored</w:t>
      </w:r>
      <w:r>
        <w:rPr>
          <w:color w:val="231F20"/>
          <w:spacing w:val="-1"/>
          <w:sz w:val="19"/>
          <w:vertAlign w:val="baseline"/>
        </w:rPr>
        <w:t> </w:t>
      </w:r>
      <w:r>
        <w:rPr>
          <w:color w:val="231F20"/>
          <w:sz w:val="19"/>
          <w:vertAlign w:val="baseline"/>
        </w:rPr>
        <w:t>to</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position they</w:t>
      </w:r>
      <w:r>
        <w:rPr>
          <w:color w:val="231F20"/>
          <w:spacing w:val="-1"/>
          <w:sz w:val="19"/>
          <w:vertAlign w:val="baseline"/>
        </w:rPr>
        <w:t> </w:t>
      </w:r>
      <w:r>
        <w:rPr>
          <w:color w:val="231F20"/>
          <w:sz w:val="19"/>
          <w:vertAlign w:val="baseline"/>
        </w:rPr>
        <w:t>would have been</w:t>
      </w:r>
      <w:r>
        <w:rPr>
          <w:color w:val="231F20"/>
          <w:spacing w:val="-2"/>
          <w:sz w:val="19"/>
          <w:vertAlign w:val="baseline"/>
        </w:rPr>
        <w:t> </w:t>
      </w:r>
      <w:r>
        <w:rPr>
          <w:color w:val="231F20"/>
          <w:sz w:val="19"/>
          <w:vertAlign w:val="baseline"/>
        </w:rPr>
        <w:t>in the</w:t>
      </w:r>
      <w:r>
        <w:rPr>
          <w:color w:val="231F20"/>
          <w:spacing w:val="-1"/>
          <w:sz w:val="19"/>
          <w:vertAlign w:val="baseline"/>
        </w:rPr>
        <w:t> </w:t>
      </w:r>
      <w:r>
        <w:rPr>
          <w:color w:val="231F20"/>
          <w:sz w:val="19"/>
          <w:vertAlign w:val="baseline"/>
        </w:rPr>
        <w:t>absence</w:t>
      </w:r>
      <w:r>
        <w:rPr>
          <w:color w:val="231F20"/>
          <w:spacing w:val="-2"/>
          <w:sz w:val="19"/>
          <w:vertAlign w:val="baseline"/>
        </w:rPr>
        <w:t> </w:t>
      </w:r>
      <w:r>
        <w:rPr>
          <w:color w:val="231F20"/>
          <w:sz w:val="19"/>
          <w:vertAlign w:val="baseline"/>
        </w:rPr>
        <w:t>of</w:t>
      </w:r>
      <w:r>
        <w:rPr>
          <w:color w:val="231F20"/>
          <w:spacing w:val="3"/>
          <w:sz w:val="19"/>
          <w:vertAlign w:val="baseline"/>
        </w:rPr>
        <w:t> </w:t>
      </w:r>
      <w:r>
        <w:rPr>
          <w:color w:val="231F20"/>
          <w:sz w:val="19"/>
          <w:vertAlign w:val="baseline"/>
        </w:rPr>
        <w:t>the unfair</w:t>
      </w:r>
      <w:r>
        <w:rPr>
          <w:color w:val="231F20"/>
          <w:spacing w:val="-2"/>
          <w:sz w:val="19"/>
          <w:vertAlign w:val="baseline"/>
        </w:rPr>
        <w:t> term.</w:t>
      </w:r>
      <w:r>
        <w:rPr>
          <w:color w:val="231F20"/>
          <w:spacing w:val="-2"/>
          <w:sz w:val="19"/>
          <w:vertAlign w:val="superscript"/>
        </w:rPr>
        <w:t>55</w:t>
      </w:r>
    </w:p>
    <w:p>
      <w:pPr>
        <w:pStyle w:val="BodyText"/>
        <w:spacing w:before="189"/>
        <w:rPr>
          <w:sz w:val="20"/>
        </w:rPr>
      </w:pPr>
      <w:r>
        <w:rPr/>
        <mc:AlternateContent>
          <mc:Choice Requires="wps">
            <w:drawing>
              <wp:anchor distT="0" distB="0" distL="0" distR="0" allowOverlap="1" layoutInCell="1" locked="0" behindDoc="1" simplePos="0" relativeHeight="487593984">
                <wp:simplePos x="0" y="0"/>
                <wp:positionH relativeFrom="page">
                  <wp:posOffset>1979993</wp:posOffset>
                </wp:positionH>
                <wp:positionV relativeFrom="paragraph">
                  <wp:posOffset>279922</wp:posOffset>
                </wp:positionV>
                <wp:extent cx="1656080" cy="4445"/>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2.041134pt;width:130.394pt;height:.34015pt;mso-position-horizontal-relative:page;mso-position-vertical-relative:paragraph;z-index:-15722496;mso-wrap-distance-left:0;mso-wrap-distance-right:0" id="docshape15"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6" w:val="left" w:leader="none"/>
        </w:tabs>
        <w:spacing w:line="290" w:lineRule="auto" w:before="1" w:after="0"/>
        <w:ind w:left="866" w:right="869" w:hanging="354"/>
        <w:jc w:val="both"/>
        <w:rPr>
          <w:sz w:val="16"/>
        </w:rPr>
      </w:pPr>
      <w:r>
        <w:rPr>
          <w:color w:val="231F20"/>
          <w:sz w:val="16"/>
        </w:rPr>
        <w:t>M. T</w:t>
      </w:r>
      <w:r>
        <w:rPr>
          <w:color w:val="231F20"/>
          <w:sz w:val="11"/>
        </w:rPr>
        <w:t>ENREIRO</w:t>
      </w:r>
      <w:r>
        <w:rPr>
          <w:color w:val="231F20"/>
          <w:sz w:val="16"/>
        </w:rPr>
        <w:t>, 3. </w:t>
      </w:r>
      <w:r>
        <w:rPr>
          <w:i/>
          <w:color w:val="231F20"/>
          <w:sz w:val="16"/>
        </w:rPr>
        <w:t>ERPL </w:t>
      </w:r>
      <w:r>
        <w:rPr>
          <w:color w:val="231F20"/>
          <w:sz w:val="16"/>
        </w:rPr>
        <w:t>1995, p 280, found this terminology to be </w:t>
      </w:r>
      <w:r>
        <w:rPr>
          <w:rFonts w:ascii="Arial" w:hAnsi="Arial"/>
          <w:color w:val="231F20"/>
          <w:sz w:val="16"/>
        </w:rPr>
        <w:t>‘</w:t>
      </w:r>
      <w:r>
        <w:rPr>
          <w:color w:val="231F20"/>
          <w:sz w:val="16"/>
        </w:rPr>
        <w:t>not very legal</w:t>
      </w:r>
      <w:r>
        <w:rPr>
          <w:rFonts w:ascii="Arial" w:hAnsi="Arial"/>
          <w:color w:val="231F20"/>
          <w:sz w:val="16"/>
        </w:rPr>
        <w:t>’</w:t>
      </w:r>
      <w:r>
        <w:rPr>
          <w:color w:val="231F20"/>
          <w:sz w:val="16"/>
        </w:rPr>
        <w:t>. On the neutral</w:t>
      </w:r>
      <w:r>
        <w:rPr>
          <w:color w:val="231F20"/>
          <w:spacing w:val="40"/>
          <w:sz w:val="16"/>
        </w:rPr>
        <w:t> </w:t>
      </w:r>
      <w:r>
        <w:rPr>
          <w:color w:val="231F20"/>
          <w:sz w:val="16"/>
        </w:rPr>
        <w:t>character of the remedy see s. 1 above.</w:t>
      </w:r>
    </w:p>
    <w:p>
      <w:pPr>
        <w:pStyle w:val="ListParagraph"/>
        <w:numPr>
          <w:ilvl w:val="0"/>
          <w:numId w:val="3"/>
        </w:numPr>
        <w:tabs>
          <w:tab w:pos="866" w:val="left" w:leader="none"/>
        </w:tabs>
        <w:spacing w:line="285" w:lineRule="auto" w:before="0" w:after="0"/>
        <w:ind w:left="866" w:right="868" w:hanging="354"/>
        <w:jc w:val="both"/>
        <w:rPr>
          <w:sz w:val="16"/>
        </w:rPr>
      </w:pPr>
      <w:r>
        <w:rPr>
          <w:color w:val="231F20"/>
          <w:sz w:val="16"/>
        </w:rPr>
        <w:t>Article</w:t>
      </w:r>
      <w:r>
        <w:rPr>
          <w:color w:val="231F20"/>
          <w:spacing w:val="-10"/>
          <w:sz w:val="16"/>
        </w:rPr>
        <w:t> </w:t>
      </w:r>
      <w:r>
        <w:rPr>
          <w:color w:val="231F20"/>
          <w:sz w:val="16"/>
        </w:rPr>
        <w:t>6</w:t>
      </w:r>
      <w:r>
        <w:rPr>
          <w:color w:val="231F20"/>
          <w:spacing w:val="-10"/>
          <w:sz w:val="16"/>
        </w:rPr>
        <w:t> </w:t>
      </w:r>
      <w:r>
        <w:rPr>
          <w:color w:val="231F20"/>
          <w:sz w:val="16"/>
        </w:rPr>
        <w:t>UCTD</w:t>
      </w:r>
      <w:r>
        <w:rPr>
          <w:color w:val="231F20"/>
          <w:spacing w:val="-9"/>
          <w:sz w:val="16"/>
        </w:rPr>
        <w:t> </w:t>
      </w:r>
      <w:r>
        <w:rPr>
          <w:color w:val="231F20"/>
          <w:sz w:val="16"/>
        </w:rPr>
        <w:t>designs</w:t>
      </w:r>
      <w:r>
        <w:rPr>
          <w:color w:val="231F20"/>
          <w:spacing w:val="-10"/>
          <w:sz w:val="16"/>
        </w:rPr>
        <w:t> </w:t>
      </w:r>
      <w:r>
        <w:rPr>
          <w:color w:val="231F20"/>
          <w:sz w:val="16"/>
        </w:rPr>
        <w:t>a</w:t>
      </w:r>
      <w:r>
        <w:rPr>
          <w:color w:val="231F20"/>
          <w:spacing w:val="-10"/>
          <w:sz w:val="16"/>
        </w:rPr>
        <w:t> </w:t>
      </w:r>
      <w:r>
        <w:rPr>
          <w:color w:val="231F20"/>
          <w:sz w:val="16"/>
        </w:rPr>
        <w:t>proportional</w:t>
      </w:r>
      <w:r>
        <w:rPr>
          <w:color w:val="231F20"/>
          <w:spacing w:val="-9"/>
          <w:sz w:val="16"/>
        </w:rPr>
        <w:t> </w:t>
      </w:r>
      <w:r>
        <w:rPr>
          <w:color w:val="231F20"/>
          <w:sz w:val="16"/>
        </w:rPr>
        <w:t>sanction.</w:t>
      </w:r>
      <w:r>
        <w:rPr>
          <w:color w:val="231F20"/>
          <w:spacing w:val="-10"/>
          <w:sz w:val="16"/>
        </w:rPr>
        <w:t> </w:t>
      </w:r>
      <w:r>
        <w:rPr>
          <w:color w:val="231F20"/>
          <w:sz w:val="16"/>
        </w:rPr>
        <w:t>On</w:t>
      </w:r>
      <w:r>
        <w:rPr>
          <w:color w:val="231F20"/>
          <w:spacing w:val="-10"/>
          <w:sz w:val="16"/>
        </w:rPr>
        <w:t> </w:t>
      </w:r>
      <w:r>
        <w:rPr>
          <w:color w:val="231F20"/>
          <w:sz w:val="16"/>
        </w:rPr>
        <w:t>the</w:t>
      </w:r>
      <w:r>
        <w:rPr>
          <w:color w:val="231F20"/>
          <w:spacing w:val="-9"/>
          <w:sz w:val="16"/>
        </w:rPr>
        <w:t> </w:t>
      </w:r>
      <w:r>
        <w:rPr>
          <w:color w:val="231F20"/>
          <w:sz w:val="16"/>
        </w:rPr>
        <w:t>meaning</w:t>
      </w:r>
      <w:r>
        <w:rPr>
          <w:color w:val="231F20"/>
          <w:spacing w:val="-10"/>
          <w:sz w:val="16"/>
        </w:rPr>
        <w:t> </w:t>
      </w:r>
      <w:r>
        <w:rPr>
          <w:color w:val="231F20"/>
          <w:sz w:val="16"/>
        </w:rPr>
        <w:t>of</w:t>
      </w:r>
      <w:r>
        <w:rPr>
          <w:color w:val="231F20"/>
          <w:spacing w:val="-10"/>
          <w:sz w:val="16"/>
        </w:rPr>
        <w:t> </w:t>
      </w:r>
      <w:r>
        <w:rPr>
          <w:color w:val="231F20"/>
          <w:sz w:val="16"/>
        </w:rPr>
        <w:t>proportionality</w:t>
      </w:r>
      <w:r>
        <w:rPr>
          <w:color w:val="231F20"/>
          <w:spacing w:val="-9"/>
          <w:sz w:val="16"/>
        </w:rPr>
        <w:t> </w:t>
      </w:r>
      <w:r>
        <w:rPr>
          <w:color w:val="231F20"/>
          <w:sz w:val="16"/>
        </w:rPr>
        <w:t>in</w:t>
      </w:r>
      <w:r>
        <w:rPr>
          <w:color w:val="231F20"/>
          <w:spacing w:val="-10"/>
          <w:sz w:val="16"/>
        </w:rPr>
        <w:t> </w:t>
      </w:r>
      <w:r>
        <w:rPr>
          <w:color w:val="231F20"/>
          <w:sz w:val="16"/>
        </w:rPr>
        <w:t>EU</w:t>
      </w:r>
      <w:r>
        <w:rPr>
          <w:color w:val="231F20"/>
          <w:spacing w:val="-10"/>
          <w:sz w:val="16"/>
        </w:rPr>
        <w:t> </w:t>
      </w:r>
      <w:r>
        <w:rPr>
          <w:color w:val="231F20"/>
          <w:sz w:val="16"/>
        </w:rPr>
        <w:t>contract</w:t>
      </w:r>
      <w:r>
        <w:rPr>
          <w:color w:val="231F20"/>
          <w:spacing w:val="40"/>
          <w:sz w:val="16"/>
        </w:rPr>
        <w:t> </w:t>
      </w:r>
      <w:r>
        <w:rPr>
          <w:color w:val="231F20"/>
          <w:sz w:val="16"/>
        </w:rPr>
        <w:t>law,</w:t>
      </w:r>
      <w:r>
        <w:rPr>
          <w:color w:val="231F20"/>
          <w:spacing w:val="-8"/>
          <w:sz w:val="16"/>
        </w:rPr>
        <w:t> </w:t>
      </w:r>
      <w:r>
        <w:rPr>
          <w:color w:val="231F20"/>
          <w:sz w:val="16"/>
        </w:rPr>
        <w:t>see</w:t>
      </w:r>
      <w:r>
        <w:rPr>
          <w:color w:val="231F20"/>
          <w:spacing w:val="-8"/>
          <w:sz w:val="16"/>
        </w:rPr>
        <w:t> </w:t>
      </w:r>
      <w:r>
        <w:rPr>
          <w:color w:val="231F20"/>
          <w:sz w:val="16"/>
        </w:rPr>
        <w:t>C.</w:t>
      </w:r>
      <w:r>
        <w:rPr>
          <w:color w:val="231F20"/>
          <w:spacing w:val="-7"/>
          <w:sz w:val="16"/>
        </w:rPr>
        <w:t> </w:t>
      </w:r>
      <w:r>
        <w:rPr>
          <w:color w:val="231F20"/>
          <w:sz w:val="16"/>
        </w:rPr>
        <w:t>C</w:t>
      </w:r>
      <w:r>
        <w:rPr>
          <w:color w:val="231F20"/>
          <w:sz w:val="11"/>
        </w:rPr>
        <w:t>AUFFMAN</w:t>
      </w:r>
      <w:r>
        <w:rPr>
          <w:color w:val="231F20"/>
          <w:sz w:val="16"/>
        </w:rPr>
        <w:t>,</w:t>
      </w:r>
      <w:r>
        <w:rPr>
          <w:color w:val="231F20"/>
          <w:spacing w:val="-8"/>
          <w:sz w:val="16"/>
        </w:rPr>
        <w:t> </w:t>
      </w:r>
      <w:r>
        <w:rPr>
          <w:rFonts w:ascii="Arial" w:hAnsi="Arial"/>
          <w:color w:val="231F20"/>
          <w:sz w:val="16"/>
        </w:rPr>
        <w:t>‘</w:t>
      </w:r>
      <w:r>
        <w:rPr>
          <w:color w:val="231F20"/>
          <w:sz w:val="16"/>
        </w:rPr>
        <w:t>The</w:t>
      </w:r>
      <w:r>
        <w:rPr>
          <w:color w:val="231F20"/>
          <w:spacing w:val="-7"/>
          <w:sz w:val="16"/>
        </w:rPr>
        <w:t> </w:t>
      </w:r>
      <w:r>
        <w:rPr>
          <w:color w:val="231F20"/>
          <w:sz w:val="16"/>
        </w:rPr>
        <w:t>principle</w:t>
      </w:r>
      <w:r>
        <w:rPr>
          <w:color w:val="231F20"/>
          <w:spacing w:val="-8"/>
          <w:sz w:val="16"/>
        </w:rPr>
        <w:t> </w:t>
      </w:r>
      <w:r>
        <w:rPr>
          <w:color w:val="231F20"/>
          <w:sz w:val="16"/>
        </w:rPr>
        <w:t>of</w:t>
      </w:r>
      <w:r>
        <w:rPr>
          <w:color w:val="231F20"/>
          <w:spacing w:val="-8"/>
          <w:sz w:val="16"/>
        </w:rPr>
        <w:t> </w:t>
      </w:r>
      <w:r>
        <w:rPr>
          <w:color w:val="231F20"/>
          <w:sz w:val="16"/>
        </w:rPr>
        <w:t>proportionality</w:t>
      </w:r>
      <w:r>
        <w:rPr>
          <w:color w:val="231F20"/>
          <w:spacing w:val="-7"/>
          <w:sz w:val="16"/>
        </w:rPr>
        <w:t> </w:t>
      </w:r>
      <w:r>
        <w:rPr>
          <w:color w:val="231F20"/>
          <w:sz w:val="16"/>
        </w:rPr>
        <w:t>and</w:t>
      </w:r>
      <w:r>
        <w:rPr>
          <w:color w:val="231F20"/>
          <w:spacing w:val="-8"/>
          <w:sz w:val="16"/>
        </w:rPr>
        <w:t> </w:t>
      </w:r>
      <w:r>
        <w:rPr>
          <w:color w:val="231F20"/>
          <w:sz w:val="16"/>
        </w:rPr>
        <w:t>European</w:t>
      </w:r>
      <w:r>
        <w:rPr>
          <w:color w:val="231F20"/>
          <w:spacing w:val="-7"/>
          <w:sz w:val="16"/>
        </w:rPr>
        <w:t> </w:t>
      </w:r>
      <w:r>
        <w:rPr>
          <w:color w:val="231F20"/>
          <w:sz w:val="16"/>
        </w:rPr>
        <w:t>contract</w:t>
      </w:r>
      <w:r>
        <w:rPr>
          <w:color w:val="231F20"/>
          <w:spacing w:val="-7"/>
          <w:sz w:val="16"/>
        </w:rPr>
        <w:t> </w:t>
      </w:r>
      <w:r>
        <w:rPr>
          <w:color w:val="231F20"/>
          <w:sz w:val="16"/>
        </w:rPr>
        <w:t>law</w:t>
      </w:r>
      <w:r>
        <w:rPr>
          <w:rFonts w:ascii="Arial" w:hAnsi="Arial"/>
          <w:color w:val="231F20"/>
          <w:sz w:val="16"/>
        </w:rPr>
        <w:t>’</w:t>
      </w:r>
      <w:r>
        <w:rPr>
          <w:color w:val="231F20"/>
          <w:sz w:val="16"/>
        </w:rPr>
        <w:t>,</w:t>
      </w:r>
      <w:r>
        <w:rPr>
          <w:color w:val="231F20"/>
          <w:spacing w:val="-7"/>
          <w:sz w:val="16"/>
        </w:rPr>
        <w:t> </w:t>
      </w:r>
      <w:r>
        <w:rPr>
          <w:color w:val="231F20"/>
          <w:sz w:val="16"/>
        </w:rPr>
        <w:t>in</w:t>
      </w:r>
      <w:r>
        <w:rPr>
          <w:color w:val="231F20"/>
          <w:spacing w:val="-7"/>
          <w:sz w:val="16"/>
        </w:rPr>
        <w:t> </w:t>
      </w:r>
      <w:r>
        <w:rPr>
          <w:color w:val="231F20"/>
          <w:sz w:val="16"/>
        </w:rPr>
        <w:t>J.</w:t>
      </w:r>
      <w:r>
        <w:rPr>
          <w:color w:val="231F20"/>
          <w:spacing w:val="-8"/>
          <w:sz w:val="16"/>
        </w:rPr>
        <w:t> </w:t>
      </w:r>
      <w:r>
        <w:rPr>
          <w:color w:val="231F20"/>
          <w:sz w:val="16"/>
        </w:rPr>
        <w:t>Rutgers</w:t>
      </w:r>
      <w:r>
        <w:rPr>
          <w:color w:val="231F20"/>
          <w:spacing w:val="-7"/>
          <w:sz w:val="16"/>
        </w:rPr>
        <w:t> </w:t>
      </w:r>
      <w:r>
        <w:rPr>
          <w:color w:val="231F20"/>
          <w:sz w:val="16"/>
        </w:rPr>
        <w:t>&amp;</w:t>
      </w:r>
    </w:p>
    <w:p>
      <w:pPr>
        <w:spacing w:line="285" w:lineRule="auto" w:before="0"/>
        <w:ind w:left="866" w:right="1026" w:firstLine="0"/>
        <w:jc w:val="both"/>
        <w:rPr>
          <w:sz w:val="16"/>
        </w:rPr>
      </w:pPr>
      <w:r>
        <w:rPr>
          <w:color w:val="231F20"/>
          <w:sz w:val="16"/>
        </w:rPr>
        <w:t>P.</w:t>
      </w:r>
      <w:r>
        <w:rPr>
          <w:color w:val="231F20"/>
          <w:spacing w:val="-10"/>
          <w:sz w:val="16"/>
        </w:rPr>
        <w:t> </w:t>
      </w:r>
      <w:r>
        <w:rPr>
          <w:color w:val="231F20"/>
          <w:sz w:val="16"/>
        </w:rPr>
        <w:t>Sirena</w:t>
      </w:r>
      <w:r>
        <w:rPr>
          <w:color w:val="231F20"/>
          <w:spacing w:val="-10"/>
          <w:sz w:val="16"/>
        </w:rPr>
        <w:t> </w:t>
      </w:r>
      <w:r>
        <w:rPr>
          <w:color w:val="231F20"/>
          <w:sz w:val="16"/>
        </w:rPr>
        <w:t>(eds),</w:t>
      </w:r>
      <w:r>
        <w:rPr>
          <w:color w:val="231F20"/>
          <w:spacing w:val="-9"/>
          <w:sz w:val="16"/>
        </w:rPr>
        <w:t> </w:t>
      </w:r>
      <w:r>
        <w:rPr>
          <w:i/>
          <w:color w:val="231F20"/>
          <w:sz w:val="16"/>
        </w:rPr>
        <w:t>Rules</w:t>
      </w:r>
      <w:r>
        <w:rPr>
          <w:i/>
          <w:color w:val="231F20"/>
          <w:spacing w:val="-10"/>
          <w:sz w:val="16"/>
        </w:rPr>
        <w:t> </w:t>
      </w:r>
      <w:r>
        <w:rPr>
          <w:i/>
          <w:color w:val="231F20"/>
          <w:sz w:val="16"/>
        </w:rPr>
        <w:t>and</w:t>
      </w:r>
      <w:r>
        <w:rPr>
          <w:i/>
          <w:color w:val="231F20"/>
          <w:spacing w:val="-10"/>
          <w:sz w:val="16"/>
        </w:rPr>
        <w:t> </w:t>
      </w:r>
      <w:r>
        <w:rPr>
          <w:i/>
          <w:color w:val="231F20"/>
          <w:sz w:val="16"/>
        </w:rPr>
        <w:t>Principles</w:t>
      </w:r>
      <w:r>
        <w:rPr>
          <w:i/>
          <w:color w:val="231F20"/>
          <w:spacing w:val="-9"/>
          <w:sz w:val="16"/>
        </w:rPr>
        <w:t> </w:t>
      </w:r>
      <w:r>
        <w:rPr>
          <w:i/>
          <w:color w:val="231F20"/>
          <w:sz w:val="16"/>
        </w:rPr>
        <w:t>in</w:t>
      </w:r>
      <w:r>
        <w:rPr>
          <w:i/>
          <w:color w:val="231F20"/>
          <w:spacing w:val="-10"/>
          <w:sz w:val="16"/>
        </w:rPr>
        <w:t> </w:t>
      </w:r>
      <w:r>
        <w:rPr>
          <w:i/>
          <w:color w:val="231F20"/>
          <w:sz w:val="16"/>
        </w:rPr>
        <w:t>European</w:t>
      </w:r>
      <w:r>
        <w:rPr>
          <w:i/>
          <w:color w:val="231F20"/>
          <w:spacing w:val="-10"/>
          <w:sz w:val="16"/>
        </w:rPr>
        <w:t> </w:t>
      </w:r>
      <w:r>
        <w:rPr>
          <w:i/>
          <w:color w:val="231F20"/>
          <w:sz w:val="16"/>
        </w:rPr>
        <w:t>Contract</w:t>
      </w:r>
      <w:r>
        <w:rPr>
          <w:i/>
          <w:color w:val="231F20"/>
          <w:spacing w:val="-9"/>
          <w:sz w:val="16"/>
        </w:rPr>
        <w:t> </w:t>
      </w:r>
      <w:r>
        <w:rPr>
          <w:i/>
          <w:color w:val="231F20"/>
          <w:sz w:val="16"/>
        </w:rPr>
        <w:t>Law</w:t>
      </w:r>
      <w:r>
        <w:rPr>
          <w:i/>
          <w:color w:val="231F20"/>
          <w:spacing w:val="-10"/>
          <w:sz w:val="16"/>
        </w:rPr>
        <w:t> </w:t>
      </w:r>
      <w:r>
        <w:rPr>
          <w:color w:val="231F20"/>
          <w:sz w:val="16"/>
        </w:rPr>
        <w:t>(Cambridge:</w:t>
      </w:r>
      <w:r>
        <w:rPr>
          <w:color w:val="231F20"/>
          <w:spacing w:val="-10"/>
          <w:sz w:val="16"/>
        </w:rPr>
        <w:t> </w:t>
      </w:r>
      <w:r>
        <w:rPr>
          <w:color w:val="231F20"/>
          <w:sz w:val="16"/>
        </w:rPr>
        <w:t>Intersentia</w:t>
      </w:r>
      <w:r>
        <w:rPr>
          <w:color w:val="231F20"/>
          <w:spacing w:val="-9"/>
          <w:sz w:val="16"/>
        </w:rPr>
        <w:t> </w:t>
      </w:r>
      <w:r>
        <w:rPr>
          <w:color w:val="231F20"/>
          <w:sz w:val="16"/>
        </w:rPr>
        <w:t>2015),</w:t>
      </w:r>
      <w:r>
        <w:rPr>
          <w:color w:val="231F20"/>
          <w:spacing w:val="40"/>
          <w:sz w:val="16"/>
        </w:rPr>
        <w:t> </w:t>
      </w:r>
      <w:r>
        <w:rPr>
          <w:color w:val="231F20"/>
          <w:sz w:val="16"/>
        </w:rPr>
        <w:t>p (69) at 70</w:t>
      </w:r>
      <w:r>
        <w:rPr>
          <w:rFonts w:ascii="Arial" w:hAnsi="Arial"/>
          <w:color w:val="231F20"/>
          <w:sz w:val="16"/>
        </w:rPr>
        <w:t>–</w:t>
      </w:r>
      <w:r>
        <w:rPr>
          <w:color w:val="231F20"/>
          <w:sz w:val="16"/>
        </w:rPr>
        <w:t>71.</w:t>
      </w:r>
    </w:p>
    <w:p>
      <w:pPr>
        <w:pStyle w:val="ListParagraph"/>
        <w:numPr>
          <w:ilvl w:val="0"/>
          <w:numId w:val="3"/>
        </w:numPr>
        <w:tabs>
          <w:tab w:pos="866" w:val="left" w:leader="none"/>
        </w:tabs>
        <w:spacing w:line="288" w:lineRule="auto" w:before="2" w:after="0"/>
        <w:ind w:left="866" w:right="868" w:hanging="354"/>
        <w:jc w:val="both"/>
        <w:rPr>
          <w:sz w:val="16"/>
        </w:rPr>
      </w:pPr>
      <w:r>
        <w:rPr>
          <w:color w:val="231F20"/>
          <w:sz w:val="16"/>
        </w:rPr>
        <w:t>Among others: ECJ 6 Oct. 2009, ECLI:EU:C:2009:615, </w:t>
      </w:r>
      <w:r>
        <w:rPr>
          <w:i/>
          <w:color w:val="231F20"/>
          <w:sz w:val="16"/>
        </w:rPr>
        <w:t>Asturcom</w:t>
      </w:r>
      <w:r>
        <w:rPr>
          <w:color w:val="231F20"/>
          <w:sz w:val="16"/>
        </w:rPr>
        <w:t>, para. 59; ECJ 15 Mar. 2012,</w:t>
      </w:r>
      <w:r>
        <w:rPr>
          <w:color w:val="231F20"/>
          <w:spacing w:val="40"/>
          <w:sz w:val="16"/>
        </w:rPr>
        <w:t> </w:t>
      </w:r>
      <w:r>
        <w:rPr>
          <w:color w:val="231F20"/>
          <w:sz w:val="16"/>
        </w:rPr>
        <w:t>ECLI:EU:C:2012:144, </w:t>
      </w:r>
      <w:r>
        <w:rPr>
          <w:i/>
          <w:color w:val="231F20"/>
          <w:sz w:val="16"/>
        </w:rPr>
        <w:t>Jana Pereni</w:t>
      </w:r>
      <w:r>
        <w:rPr>
          <w:rFonts w:ascii="Trebuchet MS" w:hAnsi="Trebuchet MS"/>
          <w:color w:val="231F20"/>
          <w:sz w:val="16"/>
        </w:rPr>
        <w:t>č</w:t>
      </w:r>
      <w:r>
        <w:rPr>
          <w:i/>
          <w:color w:val="231F20"/>
          <w:sz w:val="16"/>
        </w:rPr>
        <w:t>ová and Vladislav Pereni</w:t>
      </w:r>
      <w:r>
        <w:rPr>
          <w:rFonts w:ascii="Trebuchet MS" w:hAnsi="Trebuchet MS"/>
          <w:color w:val="231F20"/>
          <w:sz w:val="16"/>
        </w:rPr>
        <w:t>č</w:t>
      </w:r>
      <w:r>
        <w:rPr>
          <w:rFonts w:ascii="Trebuchet MS" w:hAnsi="Trebuchet MS"/>
          <w:color w:val="231F20"/>
          <w:spacing w:val="-1"/>
          <w:sz w:val="16"/>
        </w:rPr>
        <w:t> </w:t>
      </w:r>
      <w:r>
        <w:rPr>
          <w:color w:val="231F20"/>
          <w:sz w:val="16"/>
        </w:rPr>
        <w:t>v. </w:t>
      </w:r>
      <w:r>
        <w:rPr>
          <w:i/>
          <w:color w:val="231F20"/>
          <w:sz w:val="16"/>
        </w:rPr>
        <w:t>SOS financ spol. s r. o.</w:t>
      </w:r>
      <w:r>
        <w:rPr>
          <w:color w:val="231F20"/>
          <w:sz w:val="16"/>
        </w:rPr>
        <w:t>, curia.</w:t>
      </w:r>
      <w:r>
        <w:rPr>
          <w:color w:val="231F20"/>
          <w:spacing w:val="40"/>
          <w:sz w:val="16"/>
        </w:rPr>
        <w:t> </w:t>
      </w:r>
      <w:r>
        <w:rPr>
          <w:color w:val="231F20"/>
          <w:sz w:val="16"/>
        </w:rPr>
        <w:t>europa.eu/juris/liste.jsf?num=C-453/10 (para. 30); ECJ 26 Apr. 2012, </w:t>
      </w:r>
      <w:r>
        <w:rPr>
          <w:color w:val="231F20"/>
          <w:sz w:val="16"/>
        </w:rPr>
        <w:t>ECLI:EU:C:2012:242,</w:t>
      </w:r>
      <w:r>
        <w:rPr>
          <w:color w:val="231F20"/>
          <w:spacing w:val="40"/>
          <w:sz w:val="16"/>
        </w:rPr>
        <w:t> </w:t>
      </w:r>
      <w:r>
        <w:rPr>
          <w:i/>
          <w:color w:val="231F20"/>
          <w:spacing w:val="-2"/>
          <w:sz w:val="16"/>
        </w:rPr>
        <w:t>Nemzeti</w:t>
      </w:r>
      <w:r>
        <w:rPr>
          <w:i/>
          <w:color w:val="231F20"/>
          <w:spacing w:val="-4"/>
          <w:sz w:val="16"/>
        </w:rPr>
        <w:t> </w:t>
      </w:r>
      <w:r>
        <w:rPr>
          <w:i/>
          <w:color w:val="231F20"/>
          <w:spacing w:val="-2"/>
          <w:sz w:val="16"/>
        </w:rPr>
        <w:t>Fogyasztóvédelmi</w:t>
      </w:r>
      <w:r>
        <w:rPr>
          <w:i/>
          <w:color w:val="231F20"/>
          <w:spacing w:val="-4"/>
          <w:sz w:val="16"/>
        </w:rPr>
        <w:t> </w:t>
      </w:r>
      <w:r>
        <w:rPr>
          <w:i/>
          <w:color w:val="231F20"/>
          <w:spacing w:val="-2"/>
          <w:sz w:val="16"/>
        </w:rPr>
        <w:t>Hatóság</w:t>
      </w:r>
      <w:r>
        <w:rPr>
          <w:i/>
          <w:color w:val="231F20"/>
          <w:spacing w:val="-4"/>
          <w:sz w:val="16"/>
        </w:rPr>
        <w:t> </w:t>
      </w:r>
      <w:r>
        <w:rPr>
          <w:color w:val="231F20"/>
          <w:spacing w:val="-2"/>
          <w:sz w:val="16"/>
        </w:rPr>
        <w:t>v.</w:t>
      </w:r>
      <w:r>
        <w:rPr>
          <w:color w:val="231F20"/>
          <w:spacing w:val="-4"/>
          <w:sz w:val="16"/>
        </w:rPr>
        <w:t> </w:t>
      </w:r>
      <w:r>
        <w:rPr>
          <w:i/>
          <w:color w:val="231F20"/>
          <w:spacing w:val="-2"/>
          <w:sz w:val="16"/>
        </w:rPr>
        <w:t>Invitel</w:t>
      </w:r>
      <w:r>
        <w:rPr>
          <w:i/>
          <w:color w:val="231F20"/>
          <w:spacing w:val="-5"/>
          <w:sz w:val="16"/>
        </w:rPr>
        <w:t> </w:t>
      </w:r>
      <w:r>
        <w:rPr>
          <w:i/>
          <w:color w:val="231F20"/>
          <w:spacing w:val="-2"/>
          <w:sz w:val="16"/>
        </w:rPr>
        <w:t>Távközlési</w:t>
      </w:r>
      <w:r>
        <w:rPr>
          <w:i/>
          <w:color w:val="231F20"/>
          <w:spacing w:val="-4"/>
          <w:sz w:val="16"/>
        </w:rPr>
        <w:t> </w:t>
      </w:r>
      <w:r>
        <w:rPr>
          <w:i/>
          <w:color w:val="231F20"/>
          <w:spacing w:val="-2"/>
          <w:sz w:val="16"/>
        </w:rPr>
        <w:t>Zrt</w:t>
      </w:r>
      <w:r>
        <w:rPr>
          <w:color w:val="231F20"/>
          <w:spacing w:val="-2"/>
          <w:sz w:val="16"/>
        </w:rPr>
        <w:t>,</w:t>
      </w:r>
      <w:r>
        <w:rPr>
          <w:color w:val="231F20"/>
          <w:spacing w:val="-3"/>
          <w:sz w:val="16"/>
        </w:rPr>
        <w:t> </w:t>
      </w:r>
      <w:r>
        <w:rPr>
          <w:color w:val="231F20"/>
          <w:spacing w:val="-2"/>
          <w:sz w:val="16"/>
        </w:rPr>
        <w:t>curia.europa.eu/juris/liste.jsf?num=</w:t>
      </w:r>
      <w:r>
        <w:rPr>
          <w:color w:val="231F20"/>
          <w:spacing w:val="40"/>
          <w:sz w:val="16"/>
        </w:rPr>
        <w:t> </w:t>
      </w:r>
      <w:r>
        <w:rPr>
          <w:color w:val="231F20"/>
          <w:sz w:val="16"/>
        </w:rPr>
        <w:t>C-472/10 (para. 43), ECJ 14 Jun. 2012, ECLI:EU:C:2012:349, </w:t>
      </w:r>
      <w:r>
        <w:rPr>
          <w:i/>
          <w:color w:val="231F20"/>
          <w:sz w:val="16"/>
        </w:rPr>
        <w:t>Banco Español </w:t>
      </w:r>
      <w:r>
        <w:rPr>
          <w:color w:val="231F20"/>
          <w:sz w:val="16"/>
        </w:rPr>
        <w:t>(para. 63), ECJ 21</w:t>
      </w:r>
    </w:p>
    <w:p>
      <w:pPr>
        <w:spacing w:line="182" w:lineRule="exact" w:before="0"/>
        <w:ind w:left="866" w:right="0" w:firstLine="0"/>
        <w:jc w:val="both"/>
        <w:rPr>
          <w:sz w:val="16"/>
        </w:rPr>
      </w:pPr>
      <w:r>
        <w:rPr>
          <w:color w:val="231F20"/>
          <w:sz w:val="16"/>
        </w:rPr>
        <w:t>Feb.</w:t>
      </w:r>
      <w:r>
        <w:rPr>
          <w:color w:val="231F20"/>
          <w:spacing w:val="6"/>
          <w:sz w:val="16"/>
        </w:rPr>
        <w:t> </w:t>
      </w:r>
      <w:r>
        <w:rPr>
          <w:color w:val="231F20"/>
          <w:sz w:val="16"/>
        </w:rPr>
        <w:t>2013,</w:t>
      </w:r>
      <w:r>
        <w:rPr>
          <w:color w:val="231F20"/>
          <w:spacing w:val="6"/>
          <w:sz w:val="16"/>
        </w:rPr>
        <w:t> </w:t>
      </w:r>
      <w:r>
        <w:rPr>
          <w:color w:val="231F20"/>
          <w:sz w:val="16"/>
        </w:rPr>
        <w:t>ECLI:EU:C:2013:88,</w:t>
      </w:r>
      <w:r>
        <w:rPr>
          <w:color w:val="231F20"/>
          <w:spacing w:val="7"/>
          <w:sz w:val="16"/>
        </w:rPr>
        <w:t> </w:t>
      </w:r>
      <w:r>
        <w:rPr>
          <w:i/>
          <w:color w:val="231F20"/>
          <w:sz w:val="16"/>
        </w:rPr>
        <w:t>Banif</w:t>
      </w:r>
      <w:r>
        <w:rPr>
          <w:i/>
          <w:color w:val="231F20"/>
          <w:spacing w:val="6"/>
          <w:sz w:val="16"/>
        </w:rPr>
        <w:t> </w:t>
      </w:r>
      <w:r>
        <w:rPr>
          <w:i/>
          <w:color w:val="231F20"/>
          <w:sz w:val="16"/>
        </w:rPr>
        <w:t>Plus</w:t>
      </w:r>
      <w:r>
        <w:rPr>
          <w:i/>
          <w:color w:val="231F20"/>
          <w:spacing w:val="6"/>
          <w:sz w:val="16"/>
        </w:rPr>
        <w:t> </w:t>
      </w:r>
      <w:r>
        <w:rPr>
          <w:color w:val="231F20"/>
          <w:sz w:val="16"/>
        </w:rPr>
        <w:t>(para.</w:t>
      </w:r>
      <w:r>
        <w:rPr>
          <w:color w:val="231F20"/>
          <w:spacing w:val="6"/>
          <w:sz w:val="16"/>
        </w:rPr>
        <w:t> </w:t>
      </w:r>
      <w:r>
        <w:rPr>
          <w:color w:val="231F20"/>
          <w:sz w:val="16"/>
        </w:rPr>
        <w:t>28),</w:t>
      </w:r>
      <w:r>
        <w:rPr>
          <w:color w:val="231F20"/>
          <w:spacing w:val="7"/>
          <w:sz w:val="16"/>
        </w:rPr>
        <w:t> </w:t>
      </w:r>
      <w:r>
        <w:rPr>
          <w:color w:val="231F20"/>
          <w:sz w:val="16"/>
        </w:rPr>
        <w:t>ECJ</w:t>
      </w:r>
      <w:r>
        <w:rPr>
          <w:color w:val="231F20"/>
          <w:spacing w:val="6"/>
          <w:sz w:val="16"/>
        </w:rPr>
        <w:t> </w:t>
      </w:r>
      <w:r>
        <w:rPr>
          <w:color w:val="231F20"/>
          <w:sz w:val="16"/>
        </w:rPr>
        <w:t>30</w:t>
      </w:r>
      <w:r>
        <w:rPr>
          <w:color w:val="231F20"/>
          <w:spacing w:val="6"/>
          <w:sz w:val="16"/>
        </w:rPr>
        <w:t> </w:t>
      </w:r>
      <w:r>
        <w:rPr>
          <w:color w:val="231F20"/>
          <w:sz w:val="16"/>
        </w:rPr>
        <w:t>May</w:t>
      </w:r>
      <w:r>
        <w:rPr>
          <w:color w:val="231F20"/>
          <w:spacing w:val="7"/>
          <w:sz w:val="16"/>
        </w:rPr>
        <w:t> </w:t>
      </w:r>
      <w:r>
        <w:rPr>
          <w:color w:val="231F20"/>
          <w:sz w:val="16"/>
        </w:rPr>
        <w:t>2013,</w:t>
      </w:r>
      <w:r>
        <w:rPr>
          <w:color w:val="231F20"/>
          <w:spacing w:val="7"/>
          <w:sz w:val="16"/>
        </w:rPr>
        <w:t> </w:t>
      </w:r>
      <w:r>
        <w:rPr>
          <w:color w:val="231F20"/>
          <w:spacing w:val="-2"/>
          <w:sz w:val="16"/>
        </w:rPr>
        <w:t>ECLI:EU:C:2013:340,</w:t>
      </w:r>
    </w:p>
    <w:p>
      <w:pPr>
        <w:spacing w:line="288" w:lineRule="auto" w:before="33"/>
        <w:ind w:left="866" w:right="868" w:firstLine="0"/>
        <w:jc w:val="both"/>
        <w:rPr>
          <w:sz w:val="16"/>
        </w:rPr>
      </w:pPr>
      <w:r>
        <w:rPr>
          <w:i/>
          <w:color w:val="231F20"/>
          <w:spacing w:val="-4"/>
          <w:sz w:val="16"/>
        </w:rPr>
        <w:t>Erika J</w:t>
      </w:r>
      <w:r>
        <w:rPr>
          <w:rFonts w:ascii="Trebuchet MS" w:hAnsi="Trebuchet MS"/>
          <w:color w:val="231F20"/>
          <w:spacing w:val="-4"/>
          <w:sz w:val="16"/>
        </w:rPr>
        <w:t>ő</w:t>
      </w:r>
      <w:r>
        <w:rPr>
          <w:i/>
          <w:color w:val="231F20"/>
          <w:spacing w:val="-4"/>
          <w:sz w:val="16"/>
        </w:rPr>
        <w:t>rös </w:t>
      </w:r>
      <w:r>
        <w:rPr>
          <w:color w:val="231F20"/>
          <w:spacing w:val="-4"/>
          <w:sz w:val="16"/>
        </w:rPr>
        <w:t>v. </w:t>
      </w:r>
      <w:r>
        <w:rPr>
          <w:i/>
          <w:color w:val="231F20"/>
          <w:spacing w:val="-4"/>
          <w:sz w:val="16"/>
        </w:rPr>
        <w:t>Aegon Magyarország Hitel Zrt.</w:t>
      </w:r>
      <w:r>
        <w:rPr>
          <w:color w:val="231F20"/>
          <w:spacing w:val="-4"/>
          <w:sz w:val="16"/>
        </w:rPr>
        <w:t>, curia.europa.eu/juris/liste.jsf?num=C-397/11 </w:t>
      </w:r>
      <w:r>
        <w:rPr>
          <w:color w:val="231F20"/>
          <w:spacing w:val="-4"/>
          <w:sz w:val="16"/>
        </w:rPr>
        <w:t>(para.</w:t>
      </w:r>
      <w:r>
        <w:rPr>
          <w:color w:val="231F20"/>
          <w:spacing w:val="40"/>
          <w:sz w:val="16"/>
        </w:rPr>
        <w:t> </w:t>
      </w:r>
      <w:r>
        <w:rPr>
          <w:color w:val="231F20"/>
          <w:sz w:val="16"/>
        </w:rPr>
        <w:t>42),</w:t>
      </w:r>
      <w:r>
        <w:rPr>
          <w:color w:val="231F20"/>
          <w:spacing w:val="-9"/>
          <w:sz w:val="16"/>
        </w:rPr>
        <w:t> </w:t>
      </w:r>
      <w:r>
        <w:rPr>
          <w:color w:val="231F20"/>
          <w:sz w:val="16"/>
        </w:rPr>
        <w:t>ECJ</w:t>
      </w:r>
      <w:r>
        <w:rPr>
          <w:color w:val="231F20"/>
          <w:spacing w:val="-9"/>
          <w:sz w:val="16"/>
        </w:rPr>
        <w:t> </w:t>
      </w:r>
      <w:r>
        <w:rPr>
          <w:color w:val="231F20"/>
          <w:sz w:val="16"/>
        </w:rPr>
        <w:t>21</w:t>
      </w:r>
      <w:r>
        <w:rPr>
          <w:color w:val="231F20"/>
          <w:spacing w:val="-8"/>
          <w:sz w:val="16"/>
        </w:rPr>
        <w:t> </w:t>
      </w:r>
      <w:r>
        <w:rPr>
          <w:color w:val="231F20"/>
          <w:sz w:val="16"/>
        </w:rPr>
        <w:t>Jan.</w:t>
      </w:r>
      <w:r>
        <w:rPr>
          <w:color w:val="231F20"/>
          <w:spacing w:val="-8"/>
          <w:sz w:val="16"/>
        </w:rPr>
        <w:t> </w:t>
      </w:r>
      <w:r>
        <w:rPr>
          <w:color w:val="231F20"/>
          <w:sz w:val="16"/>
        </w:rPr>
        <w:t>2015,</w:t>
      </w:r>
      <w:r>
        <w:rPr>
          <w:color w:val="231F20"/>
          <w:spacing w:val="-9"/>
          <w:sz w:val="16"/>
        </w:rPr>
        <w:t> </w:t>
      </w:r>
      <w:r>
        <w:rPr>
          <w:color w:val="231F20"/>
          <w:sz w:val="16"/>
        </w:rPr>
        <w:t>ECLI:EU:C:2015:21,</w:t>
      </w:r>
      <w:r>
        <w:rPr>
          <w:color w:val="231F20"/>
          <w:spacing w:val="-9"/>
          <w:sz w:val="16"/>
        </w:rPr>
        <w:t> </w:t>
      </w:r>
      <w:r>
        <w:rPr>
          <w:i/>
          <w:color w:val="231F20"/>
          <w:sz w:val="16"/>
        </w:rPr>
        <w:t>Unicaja</w:t>
      </w:r>
      <w:r>
        <w:rPr>
          <w:i/>
          <w:color w:val="231F20"/>
          <w:spacing w:val="-9"/>
          <w:sz w:val="16"/>
        </w:rPr>
        <w:t> </w:t>
      </w:r>
      <w:r>
        <w:rPr>
          <w:i/>
          <w:color w:val="231F20"/>
          <w:sz w:val="16"/>
        </w:rPr>
        <w:t>Banco,</w:t>
      </w:r>
      <w:r>
        <w:rPr>
          <w:i/>
          <w:color w:val="231F20"/>
          <w:spacing w:val="-8"/>
          <w:sz w:val="16"/>
        </w:rPr>
        <w:t> </w:t>
      </w:r>
      <w:r>
        <w:rPr>
          <w:i/>
          <w:color w:val="231F20"/>
          <w:sz w:val="16"/>
        </w:rPr>
        <w:t>SA</w:t>
      </w:r>
      <w:r>
        <w:rPr>
          <w:i/>
          <w:color w:val="231F20"/>
          <w:spacing w:val="-8"/>
          <w:sz w:val="16"/>
        </w:rPr>
        <w:t> </w:t>
      </w:r>
      <w:r>
        <w:rPr>
          <w:color w:val="231F20"/>
          <w:sz w:val="16"/>
        </w:rPr>
        <w:t>v.</w:t>
      </w:r>
      <w:r>
        <w:rPr>
          <w:color w:val="231F20"/>
          <w:spacing w:val="-9"/>
          <w:sz w:val="16"/>
        </w:rPr>
        <w:t> </w:t>
      </w:r>
      <w:r>
        <w:rPr>
          <w:i/>
          <w:color w:val="231F20"/>
          <w:sz w:val="16"/>
        </w:rPr>
        <w:t>José</w:t>
      </w:r>
      <w:r>
        <w:rPr>
          <w:i/>
          <w:color w:val="231F20"/>
          <w:spacing w:val="-8"/>
          <w:sz w:val="16"/>
        </w:rPr>
        <w:t> </w:t>
      </w:r>
      <w:r>
        <w:rPr>
          <w:i/>
          <w:color w:val="231F20"/>
          <w:sz w:val="16"/>
        </w:rPr>
        <w:t>Hidalgo</w:t>
      </w:r>
      <w:r>
        <w:rPr>
          <w:i/>
          <w:color w:val="231F20"/>
          <w:spacing w:val="-9"/>
          <w:sz w:val="16"/>
        </w:rPr>
        <w:t> </w:t>
      </w:r>
      <w:r>
        <w:rPr>
          <w:i/>
          <w:color w:val="231F20"/>
          <w:sz w:val="16"/>
        </w:rPr>
        <w:t>Rueda</w:t>
      </w:r>
      <w:r>
        <w:rPr>
          <w:i/>
          <w:color w:val="231F20"/>
          <w:spacing w:val="-9"/>
          <w:sz w:val="16"/>
        </w:rPr>
        <w:t> </w:t>
      </w:r>
      <w:r>
        <w:rPr>
          <w:i/>
          <w:color w:val="231F20"/>
          <w:sz w:val="16"/>
        </w:rPr>
        <w:t>and</w:t>
      </w:r>
      <w:r>
        <w:rPr>
          <w:i/>
          <w:color w:val="231F20"/>
          <w:spacing w:val="-8"/>
          <w:sz w:val="16"/>
        </w:rPr>
        <w:t> </w:t>
      </w:r>
      <w:r>
        <w:rPr>
          <w:i/>
          <w:color w:val="231F20"/>
          <w:sz w:val="16"/>
        </w:rPr>
        <w:t>Others</w:t>
      </w:r>
      <w:r>
        <w:rPr>
          <w:i/>
          <w:color w:val="231F20"/>
          <w:spacing w:val="40"/>
          <w:sz w:val="16"/>
        </w:rPr>
        <w:t> </w:t>
      </w:r>
      <w:r>
        <w:rPr>
          <w:i/>
          <w:color w:val="231F20"/>
          <w:sz w:val="16"/>
        </w:rPr>
        <w:t>and</w:t>
      </w:r>
      <w:r>
        <w:rPr>
          <w:i/>
          <w:color w:val="231F20"/>
          <w:spacing w:val="-6"/>
          <w:sz w:val="16"/>
        </w:rPr>
        <w:t> </w:t>
      </w:r>
      <w:r>
        <w:rPr>
          <w:i/>
          <w:color w:val="231F20"/>
          <w:sz w:val="16"/>
        </w:rPr>
        <w:t>Caixabank</w:t>
      </w:r>
      <w:r>
        <w:rPr>
          <w:i/>
          <w:color w:val="231F20"/>
          <w:spacing w:val="-4"/>
          <w:sz w:val="16"/>
        </w:rPr>
        <w:t> </w:t>
      </w:r>
      <w:r>
        <w:rPr>
          <w:i/>
          <w:color w:val="231F20"/>
          <w:sz w:val="16"/>
        </w:rPr>
        <w:t>SA</w:t>
      </w:r>
      <w:r>
        <w:rPr>
          <w:i/>
          <w:color w:val="231F20"/>
          <w:spacing w:val="-6"/>
          <w:sz w:val="16"/>
        </w:rPr>
        <w:t> </w:t>
      </w:r>
      <w:r>
        <w:rPr>
          <w:color w:val="231F20"/>
          <w:sz w:val="16"/>
        </w:rPr>
        <w:t>v.</w:t>
      </w:r>
      <w:r>
        <w:rPr>
          <w:color w:val="231F20"/>
          <w:spacing w:val="-5"/>
          <w:sz w:val="16"/>
        </w:rPr>
        <w:t> </w:t>
      </w:r>
      <w:r>
        <w:rPr>
          <w:i/>
          <w:color w:val="231F20"/>
          <w:sz w:val="16"/>
        </w:rPr>
        <w:t>Manuel</w:t>
      </w:r>
      <w:r>
        <w:rPr>
          <w:i/>
          <w:color w:val="231F20"/>
          <w:spacing w:val="-5"/>
          <w:sz w:val="16"/>
        </w:rPr>
        <w:t> </w:t>
      </w:r>
      <w:r>
        <w:rPr>
          <w:i/>
          <w:color w:val="231F20"/>
          <w:sz w:val="16"/>
        </w:rPr>
        <w:t>María</w:t>
      </w:r>
      <w:r>
        <w:rPr>
          <w:i/>
          <w:color w:val="231F20"/>
          <w:spacing w:val="-5"/>
          <w:sz w:val="16"/>
        </w:rPr>
        <w:t> </w:t>
      </w:r>
      <w:r>
        <w:rPr>
          <w:i/>
          <w:color w:val="231F20"/>
          <w:sz w:val="16"/>
        </w:rPr>
        <w:t>Rueda</w:t>
      </w:r>
      <w:r>
        <w:rPr>
          <w:i/>
          <w:color w:val="231F20"/>
          <w:spacing w:val="-6"/>
          <w:sz w:val="16"/>
        </w:rPr>
        <w:t> </w:t>
      </w:r>
      <w:r>
        <w:rPr>
          <w:i/>
          <w:color w:val="231F20"/>
          <w:sz w:val="16"/>
        </w:rPr>
        <w:t>Ledesma</w:t>
      </w:r>
      <w:r>
        <w:rPr>
          <w:i/>
          <w:color w:val="231F20"/>
          <w:spacing w:val="-5"/>
          <w:sz w:val="16"/>
        </w:rPr>
        <w:t> </w:t>
      </w:r>
      <w:r>
        <w:rPr>
          <w:i/>
          <w:color w:val="231F20"/>
          <w:sz w:val="16"/>
        </w:rPr>
        <w:t>and</w:t>
      </w:r>
      <w:r>
        <w:rPr>
          <w:i/>
          <w:color w:val="231F20"/>
          <w:spacing w:val="-5"/>
          <w:sz w:val="16"/>
        </w:rPr>
        <w:t> </w:t>
      </w:r>
      <w:r>
        <w:rPr>
          <w:i/>
          <w:color w:val="231F20"/>
          <w:sz w:val="16"/>
        </w:rPr>
        <w:t>Others</w:t>
      </w:r>
      <w:r>
        <w:rPr>
          <w:color w:val="231F20"/>
          <w:sz w:val="16"/>
        </w:rPr>
        <w:t>,</w:t>
      </w:r>
      <w:r>
        <w:rPr>
          <w:color w:val="231F20"/>
          <w:spacing w:val="-5"/>
          <w:sz w:val="16"/>
        </w:rPr>
        <w:t> </w:t>
      </w:r>
      <w:r>
        <w:rPr>
          <w:color w:val="231F20"/>
          <w:sz w:val="16"/>
        </w:rPr>
        <w:t>curia.europa.eu/juris/liste.jsf?</w:t>
      </w:r>
      <w:r>
        <w:rPr>
          <w:color w:val="231F20"/>
          <w:spacing w:val="40"/>
          <w:sz w:val="16"/>
        </w:rPr>
        <w:t> </w:t>
      </w:r>
      <w:r>
        <w:rPr>
          <w:color w:val="231F20"/>
          <w:sz w:val="16"/>
        </w:rPr>
        <w:t>num=C-482/13 (para. 41).</w:t>
      </w:r>
    </w:p>
    <w:p>
      <w:pPr>
        <w:pStyle w:val="ListParagraph"/>
        <w:numPr>
          <w:ilvl w:val="0"/>
          <w:numId w:val="3"/>
        </w:numPr>
        <w:tabs>
          <w:tab w:pos="865" w:val="left" w:leader="none"/>
        </w:tabs>
        <w:spacing w:line="240" w:lineRule="auto" w:before="3" w:after="0"/>
        <w:ind w:left="865" w:right="0" w:hanging="353"/>
        <w:jc w:val="both"/>
        <w:rPr>
          <w:sz w:val="16"/>
        </w:rPr>
      </w:pPr>
      <w:r>
        <w:rPr>
          <w:color w:val="231F20"/>
          <w:sz w:val="16"/>
        </w:rPr>
        <w:t>ECJ</w:t>
      </w:r>
      <w:r>
        <w:rPr>
          <w:color w:val="231F20"/>
          <w:spacing w:val="-5"/>
          <w:sz w:val="16"/>
        </w:rPr>
        <w:t> </w:t>
      </w:r>
      <w:r>
        <w:rPr>
          <w:color w:val="231F20"/>
          <w:sz w:val="16"/>
        </w:rPr>
        <w:t>21</w:t>
      </w:r>
      <w:r>
        <w:rPr>
          <w:color w:val="231F20"/>
          <w:spacing w:val="-4"/>
          <w:sz w:val="16"/>
        </w:rPr>
        <w:t> </w:t>
      </w:r>
      <w:r>
        <w:rPr>
          <w:color w:val="231F20"/>
          <w:sz w:val="16"/>
        </w:rPr>
        <w:t>Dec.</w:t>
      </w:r>
      <w:r>
        <w:rPr>
          <w:color w:val="231F20"/>
          <w:spacing w:val="-4"/>
          <w:sz w:val="16"/>
        </w:rPr>
        <w:t> </w:t>
      </w:r>
      <w:r>
        <w:rPr>
          <w:color w:val="231F20"/>
          <w:sz w:val="16"/>
        </w:rPr>
        <w:t>2016,</w:t>
      </w:r>
      <w:r>
        <w:rPr>
          <w:color w:val="231F20"/>
          <w:spacing w:val="-4"/>
          <w:sz w:val="16"/>
        </w:rPr>
        <w:t> </w:t>
      </w:r>
      <w:r>
        <w:rPr>
          <w:color w:val="231F20"/>
          <w:sz w:val="16"/>
        </w:rPr>
        <w:t>ECLI:EU:C:2016:980</w:t>
      </w:r>
      <w:r>
        <w:rPr>
          <w:i/>
          <w:color w:val="231F20"/>
          <w:sz w:val="16"/>
        </w:rPr>
        <w:t>,</w:t>
      </w:r>
      <w:r>
        <w:rPr>
          <w:i/>
          <w:color w:val="231F20"/>
          <w:spacing w:val="-4"/>
          <w:sz w:val="16"/>
        </w:rPr>
        <w:t> </w:t>
      </w:r>
      <w:r>
        <w:rPr>
          <w:i/>
          <w:color w:val="231F20"/>
          <w:sz w:val="16"/>
        </w:rPr>
        <w:t>Gutiérrez</w:t>
      </w:r>
      <w:r>
        <w:rPr>
          <w:i/>
          <w:color w:val="231F20"/>
          <w:spacing w:val="-3"/>
          <w:sz w:val="16"/>
        </w:rPr>
        <w:t> </w:t>
      </w:r>
      <w:r>
        <w:rPr>
          <w:i/>
          <w:color w:val="231F20"/>
          <w:sz w:val="16"/>
        </w:rPr>
        <w:t>Naranjo</w:t>
      </w:r>
      <w:r>
        <w:rPr>
          <w:color w:val="231F20"/>
          <w:sz w:val="16"/>
        </w:rPr>
        <w:t>,</w:t>
      </w:r>
      <w:r>
        <w:rPr>
          <w:color w:val="231F20"/>
          <w:spacing w:val="-5"/>
          <w:sz w:val="16"/>
        </w:rPr>
        <w:t> </w:t>
      </w:r>
      <w:r>
        <w:rPr>
          <w:color w:val="231F20"/>
          <w:sz w:val="16"/>
        </w:rPr>
        <w:t>para.</w:t>
      </w:r>
      <w:r>
        <w:rPr>
          <w:color w:val="231F20"/>
          <w:spacing w:val="-4"/>
          <w:sz w:val="16"/>
        </w:rPr>
        <w:t> </w:t>
      </w:r>
      <w:r>
        <w:rPr>
          <w:color w:val="231F20"/>
          <w:spacing w:val="-5"/>
          <w:sz w:val="16"/>
        </w:rPr>
        <w:t>61.</w:t>
      </w:r>
    </w:p>
    <w:p>
      <w:pPr>
        <w:spacing w:after="0" w:line="240"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spacing w:val="-2"/>
        </w:rPr>
        <w:t>In</w:t>
      </w:r>
      <w:r>
        <w:rPr>
          <w:color w:val="231F20"/>
          <w:spacing w:val="-4"/>
        </w:rPr>
        <w:t> </w:t>
      </w:r>
      <w:r>
        <w:rPr>
          <w:color w:val="231F20"/>
          <w:spacing w:val="-2"/>
        </w:rPr>
        <w:t>the</w:t>
      </w:r>
      <w:r>
        <w:rPr>
          <w:color w:val="231F20"/>
          <w:spacing w:val="-5"/>
        </w:rPr>
        <w:t> </w:t>
      </w:r>
      <w:r>
        <w:rPr>
          <w:color w:val="231F20"/>
          <w:spacing w:val="-2"/>
        </w:rPr>
        <w:t>case,</w:t>
      </w:r>
      <w:r>
        <w:rPr>
          <w:color w:val="231F20"/>
          <w:spacing w:val="-4"/>
        </w:rPr>
        <w:t> </w:t>
      </w:r>
      <w:r>
        <w:rPr>
          <w:color w:val="231F20"/>
          <w:spacing w:val="-2"/>
        </w:rPr>
        <w:t>the</w:t>
      </w:r>
      <w:r>
        <w:rPr>
          <w:color w:val="231F20"/>
          <w:spacing w:val="-4"/>
        </w:rPr>
        <w:t> </w:t>
      </w:r>
      <w:r>
        <w:rPr>
          <w:color w:val="231F20"/>
          <w:spacing w:val="-2"/>
        </w:rPr>
        <w:t>Spanish</w:t>
      </w:r>
      <w:r>
        <w:rPr>
          <w:color w:val="231F20"/>
          <w:spacing w:val="-4"/>
        </w:rPr>
        <w:t> </w:t>
      </w:r>
      <w:r>
        <w:rPr>
          <w:i/>
          <w:color w:val="231F20"/>
          <w:spacing w:val="-2"/>
        </w:rPr>
        <w:t>Tribunal</w:t>
      </w:r>
      <w:r>
        <w:rPr>
          <w:i/>
          <w:color w:val="231F20"/>
          <w:spacing w:val="-5"/>
        </w:rPr>
        <w:t> </w:t>
      </w:r>
      <w:r>
        <w:rPr>
          <w:i/>
          <w:color w:val="231F20"/>
          <w:spacing w:val="-2"/>
        </w:rPr>
        <w:t>Supremo</w:t>
      </w:r>
      <w:r>
        <w:rPr>
          <w:i/>
          <w:color w:val="231F20"/>
          <w:spacing w:val="-4"/>
        </w:rPr>
        <w:t> </w:t>
      </w:r>
      <w:r>
        <w:rPr>
          <w:color w:val="231F20"/>
          <w:spacing w:val="-2"/>
        </w:rPr>
        <w:t>(Supreme</w:t>
      </w:r>
      <w:r>
        <w:rPr>
          <w:color w:val="231F20"/>
          <w:spacing w:val="-5"/>
        </w:rPr>
        <w:t> </w:t>
      </w:r>
      <w:r>
        <w:rPr>
          <w:color w:val="231F20"/>
          <w:spacing w:val="-2"/>
        </w:rPr>
        <w:t>Court)</w:t>
      </w:r>
      <w:r>
        <w:rPr>
          <w:color w:val="231F20"/>
          <w:spacing w:val="-4"/>
        </w:rPr>
        <w:t> </w:t>
      </w:r>
      <w:r>
        <w:rPr>
          <w:color w:val="231F20"/>
          <w:spacing w:val="-2"/>
        </w:rPr>
        <w:t>limited</w:t>
      </w:r>
      <w:r>
        <w:rPr>
          <w:color w:val="231F20"/>
          <w:spacing w:val="-4"/>
        </w:rPr>
        <w:t> </w:t>
      </w:r>
      <w:r>
        <w:rPr>
          <w:color w:val="231F20"/>
          <w:spacing w:val="-2"/>
        </w:rPr>
        <w:t>the</w:t>
      </w:r>
      <w:r>
        <w:rPr>
          <w:color w:val="231F20"/>
          <w:spacing w:val="-5"/>
        </w:rPr>
        <w:t> </w:t>
      </w:r>
      <w:r>
        <w:rPr>
          <w:color w:val="231F20"/>
          <w:spacing w:val="-2"/>
        </w:rPr>
        <w:t>restitution of</w:t>
      </w:r>
      <w:r>
        <w:rPr>
          <w:color w:val="231F20"/>
          <w:spacing w:val="-7"/>
        </w:rPr>
        <w:t> </w:t>
      </w:r>
      <w:r>
        <w:rPr>
          <w:color w:val="231F20"/>
          <w:spacing w:val="-2"/>
        </w:rPr>
        <w:t>the</w:t>
      </w:r>
      <w:r>
        <w:rPr>
          <w:color w:val="231F20"/>
          <w:spacing w:val="-10"/>
        </w:rPr>
        <w:t> </w:t>
      </w:r>
      <w:r>
        <w:rPr>
          <w:color w:val="231F20"/>
          <w:spacing w:val="-2"/>
        </w:rPr>
        <w:t>amounts</w:t>
      </w:r>
      <w:r>
        <w:rPr>
          <w:color w:val="231F20"/>
          <w:spacing w:val="-8"/>
        </w:rPr>
        <w:t> </w:t>
      </w:r>
      <w:r>
        <w:rPr>
          <w:color w:val="231F20"/>
          <w:spacing w:val="-2"/>
        </w:rPr>
        <w:t>overpaid</w:t>
      </w:r>
      <w:r>
        <w:rPr>
          <w:color w:val="231F20"/>
          <w:spacing w:val="-10"/>
        </w:rPr>
        <w:t> </w:t>
      </w:r>
      <w:r>
        <w:rPr>
          <w:color w:val="231F20"/>
          <w:spacing w:val="-2"/>
        </w:rPr>
        <w:t>under</w:t>
      </w:r>
      <w:r>
        <w:rPr>
          <w:color w:val="231F20"/>
          <w:spacing w:val="-9"/>
        </w:rPr>
        <w:t> </w:t>
      </w:r>
      <w:r>
        <w:rPr>
          <w:color w:val="231F20"/>
          <w:spacing w:val="-2"/>
        </w:rPr>
        <w:t>floor</w:t>
      </w:r>
      <w:r>
        <w:rPr>
          <w:color w:val="231F20"/>
          <w:spacing w:val="-9"/>
        </w:rPr>
        <w:t> </w:t>
      </w:r>
      <w:r>
        <w:rPr>
          <w:color w:val="231F20"/>
          <w:spacing w:val="-2"/>
        </w:rPr>
        <w:t>clauses,</w:t>
      </w:r>
      <w:r>
        <w:rPr>
          <w:color w:val="231F20"/>
          <w:spacing w:val="-10"/>
        </w:rPr>
        <w:t> </w:t>
      </w:r>
      <w:r>
        <w:rPr>
          <w:color w:val="231F20"/>
          <w:spacing w:val="-2"/>
        </w:rPr>
        <w:t>by</w:t>
      </w:r>
      <w:r>
        <w:rPr>
          <w:color w:val="231F20"/>
          <w:spacing w:val="-9"/>
        </w:rPr>
        <w:t> </w:t>
      </w:r>
      <w:r>
        <w:rPr>
          <w:color w:val="231F20"/>
          <w:spacing w:val="-2"/>
        </w:rPr>
        <w:t>allowing</w:t>
      </w:r>
      <w:r>
        <w:rPr>
          <w:color w:val="231F20"/>
          <w:spacing w:val="-6"/>
        </w:rPr>
        <w:t> </w:t>
      </w:r>
      <w:r>
        <w:rPr>
          <w:color w:val="231F20"/>
          <w:spacing w:val="-2"/>
        </w:rPr>
        <w:t>reimbursements</w:t>
      </w:r>
      <w:r>
        <w:rPr>
          <w:color w:val="231F20"/>
          <w:spacing w:val="-10"/>
        </w:rPr>
        <w:t> </w:t>
      </w:r>
      <w:r>
        <w:rPr>
          <w:color w:val="231F20"/>
          <w:spacing w:val="-2"/>
        </w:rPr>
        <w:t>only</w:t>
      </w:r>
      <w:r>
        <w:rPr>
          <w:color w:val="231F20"/>
          <w:spacing w:val="-9"/>
        </w:rPr>
        <w:t> </w:t>
      </w:r>
      <w:r>
        <w:rPr>
          <w:color w:val="231F20"/>
          <w:spacing w:val="-2"/>
        </w:rPr>
        <w:t>after </w:t>
      </w:r>
      <w:r>
        <w:rPr>
          <w:color w:val="231F20"/>
        </w:rPr>
        <w:t>the judgment of the Supreme Court that had declared the terms unfair.</w:t>
      </w:r>
      <w:r>
        <w:rPr>
          <w:color w:val="231F20"/>
          <w:vertAlign w:val="superscript"/>
        </w:rPr>
        <w:t>56</w:t>
      </w:r>
      <w:r>
        <w:rPr>
          <w:color w:val="231F20"/>
          <w:vertAlign w:val="baseline"/>
        </w:rPr>
        <w:t> </w:t>
      </w:r>
      <w:r>
        <w:rPr>
          <w:color w:val="231F20"/>
          <w:vertAlign w:val="baseline"/>
        </w:rPr>
        <w:t>The Court considered such temporal limitation to go against EU law.</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The ECJ decided that unfair terms should, in principle, be deemed never to have existed, so that they have no effects on consumers.</w:t>
      </w:r>
      <w:r>
        <w:rPr>
          <w:color w:val="231F20"/>
          <w:sz w:val="19"/>
          <w:vertAlign w:val="superscript"/>
        </w:rPr>
        <w:t>57</w:t>
      </w:r>
      <w:r>
        <w:rPr>
          <w:color w:val="231F20"/>
          <w:sz w:val="19"/>
          <w:vertAlign w:val="baseline"/>
        </w:rPr>
        <w:t> Additionally, </w:t>
      </w:r>
      <w:r>
        <w:rPr>
          <w:color w:val="231F20"/>
          <w:sz w:val="19"/>
          <w:vertAlign w:val="baseline"/>
        </w:rPr>
        <w:t>under Article 6(1) UCTD, consumers have a right to restitution of any performance that was</w:t>
      </w:r>
      <w:r>
        <w:rPr>
          <w:color w:val="231F20"/>
          <w:spacing w:val="-9"/>
          <w:sz w:val="19"/>
          <w:vertAlign w:val="baseline"/>
        </w:rPr>
        <w:t> </w:t>
      </w:r>
      <w:r>
        <w:rPr>
          <w:color w:val="231F20"/>
          <w:sz w:val="19"/>
          <w:vertAlign w:val="baseline"/>
        </w:rPr>
        <w:t>due</w:t>
      </w:r>
      <w:r>
        <w:rPr>
          <w:color w:val="231F20"/>
          <w:spacing w:val="-9"/>
          <w:sz w:val="19"/>
          <w:vertAlign w:val="baseline"/>
        </w:rPr>
        <w:t> </w:t>
      </w:r>
      <w:r>
        <w:rPr>
          <w:color w:val="231F20"/>
          <w:sz w:val="19"/>
          <w:vertAlign w:val="baseline"/>
        </w:rPr>
        <w:t>under</w:t>
      </w:r>
      <w:r>
        <w:rPr>
          <w:color w:val="231F20"/>
          <w:spacing w:val="-9"/>
          <w:sz w:val="19"/>
          <w:vertAlign w:val="baseline"/>
        </w:rPr>
        <w:t> </w:t>
      </w:r>
      <w:r>
        <w:rPr>
          <w:color w:val="231F20"/>
          <w:sz w:val="19"/>
          <w:vertAlign w:val="baseline"/>
        </w:rPr>
        <w:t>the</w:t>
      </w:r>
      <w:r>
        <w:rPr>
          <w:color w:val="231F20"/>
          <w:spacing w:val="-9"/>
          <w:sz w:val="19"/>
          <w:vertAlign w:val="baseline"/>
        </w:rPr>
        <w:t> </w:t>
      </w:r>
      <w:r>
        <w:rPr>
          <w:color w:val="231F20"/>
          <w:sz w:val="19"/>
          <w:vertAlign w:val="baseline"/>
        </w:rPr>
        <w:t>unfair</w:t>
      </w:r>
      <w:r>
        <w:rPr>
          <w:color w:val="231F20"/>
          <w:spacing w:val="-9"/>
          <w:sz w:val="19"/>
          <w:vertAlign w:val="baseline"/>
        </w:rPr>
        <w:t> </w:t>
      </w:r>
      <w:r>
        <w:rPr>
          <w:color w:val="231F20"/>
          <w:sz w:val="19"/>
          <w:vertAlign w:val="baseline"/>
        </w:rPr>
        <w:t>term.</w:t>
      </w:r>
      <w:r>
        <w:rPr>
          <w:color w:val="231F20"/>
          <w:sz w:val="19"/>
          <w:vertAlign w:val="superscript"/>
        </w:rPr>
        <w:t>58</w:t>
      </w:r>
      <w:r>
        <w:rPr>
          <w:color w:val="231F20"/>
          <w:spacing w:val="-10"/>
          <w:sz w:val="19"/>
          <w:vertAlign w:val="baseline"/>
        </w:rPr>
        <w:t> </w:t>
      </w:r>
      <w:r>
        <w:rPr>
          <w:color w:val="231F20"/>
          <w:sz w:val="19"/>
          <w:vertAlign w:val="baseline"/>
        </w:rPr>
        <w:t>Therefore,</w:t>
      </w:r>
      <w:r>
        <w:rPr>
          <w:color w:val="231F20"/>
          <w:spacing w:val="-10"/>
          <w:sz w:val="19"/>
          <w:vertAlign w:val="baseline"/>
        </w:rPr>
        <w:t> </w:t>
      </w:r>
      <w:r>
        <w:rPr>
          <w:color w:val="231F20"/>
          <w:sz w:val="19"/>
          <w:vertAlign w:val="baseline"/>
        </w:rPr>
        <w:t>finding</w:t>
      </w:r>
      <w:r>
        <w:rPr>
          <w:color w:val="231F20"/>
          <w:spacing w:val="-8"/>
          <w:sz w:val="19"/>
          <w:vertAlign w:val="baseline"/>
        </w:rPr>
        <w:t> </w:t>
      </w:r>
      <w:r>
        <w:rPr>
          <w:color w:val="231F20"/>
          <w:sz w:val="19"/>
          <w:vertAlign w:val="baseline"/>
        </w:rPr>
        <w:t>an</w:t>
      </w:r>
      <w:r>
        <w:rPr>
          <w:color w:val="231F20"/>
          <w:spacing w:val="-9"/>
          <w:sz w:val="19"/>
          <w:vertAlign w:val="baseline"/>
        </w:rPr>
        <w:t> </w:t>
      </w:r>
      <w:r>
        <w:rPr>
          <w:color w:val="231F20"/>
          <w:sz w:val="19"/>
          <w:vertAlign w:val="baseline"/>
        </w:rPr>
        <w:t>unfair</w:t>
      </w:r>
      <w:r>
        <w:rPr>
          <w:color w:val="231F20"/>
          <w:spacing w:val="-8"/>
          <w:sz w:val="19"/>
          <w:vertAlign w:val="baseline"/>
        </w:rPr>
        <w:t> </w:t>
      </w:r>
      <w:r>
        <w:rPr>
          <w:color w:val="231F20"/>
          <w:sz w:val="19"/>
          <w:vertAlign w:val="baseline"/>
        </w:rPr>
        <w:t>term</w:t>
      </w:r>
      <w:r>
        <w:rPr>
          <w:color w:val="231F20"/>
          <w:spacing w:val="-10"/>
          <w:sz w:val="19"/>
          <w:vertAlign w:val="baseline"/>
        </w:rPr>
        <w:t> </w:t>
      </w:r>
      <w:r>
        <w:rPr>
          <w:color w:val="231F20"/>
          <w:sz w:val="19"/>
          <w:vertAlign w:val="baseline"/>
        </w:rPr>
        <w:t>should</w:t>
      </w:r>
      <w:r>
        <w:rPr>
          <w:color w:val="231F20"/>
          <w:spacing w:val="-9"/>
          <w:sz w:val="19"/>
          <w:vertAlign w:val="baseline"/>
        </w:rPr>
        <w:t> </w:t>
      </w:r>
      <w:r>
        <w:rPr>
          <w:color w:val="231F20"/>
          <w:sz w:val="19"/>
          <w:vertAlign w:val="baseline"/>
        </w:rPr>
        <w:t>have,</w:t>
      </w:r>
      <w:r>
        <w:rPr>
          <w:color w:val="231F20"/>
          <w:spacing w:val="-10"/>
          <w:sz w:val="19"/>
          <w:vertAlign w:val="baseline"/>
        </w:rPr>
        <w:t> </w:t>
      </w:r>
      <w:r>
        <w:rPr>
          <w:color w:val="231F20"/>
          <w:sz w:val="19"/>
          <w:vertAlign w:val="baseline"/>
        </w:rPr>
        <w:t>as defined in national law, retroactive effects and ensure restitution.</w:t>
      </w:r>
      <w:r>
        <w:rPr>
          <w:color w:val="231F20"/>
          <w:sz w:val="19"/>
          <w:vertAlign w:val="superscript"/>
        </w:rPr>
        <w:t>59</w:t>
      </w:r>
    </w:p>
    <w:p>
      <w:pPr>
        <w:pStyle w:val="ListParagraph"/>
        <w:numPr>
          <w:ilvl w:val="0"/>
          <w:numId w:val="4"/>
        </w:numPr>
        <w:tabs>
          <w:tab w:pos="1324" w:val="left" w:leader="none"/>
        </w:tabs>
        <w:spacing w:line="288" w:lineRule="auto" w:before="120" w:after="0"/>
        <w:ind w:left="871" w:right="868" w:firstLine="0"/>
        <w:jc w:val="both"/>
        <w:rPr>
          <w:sz w:val="19"/>
        </w:rPr>
      </w:pPr>
      <w:r>
        <w:rPr>
          <w:color w:val="231F20"/>
          <w:sz w:val="19"/>
        </w:rPr>
        <w:t>In</w:t>
      </w:r>
      <w:r>
        <w:rPr>
          <w:color w:val="231F20"/>
          <w:spacing w:val="-11"/>
          <w:sz w:val="19"/>
        </w:rPr>
        <w:t> </w:t>
      </w:r>
      <w:r>
        <w:rPr>
          <w:color w:val="231F20"/>
          <w:sz w:val="19"/>
        </w:rPr>
        <w:t>doing</w:t>
      </w:r>
      <w:r>
        <w:rPr>
          <w:color w:val="231F20"/>
          <w:spacing w:val="-10"/>
          <w:sz w:val="19"/>
        </w:rPr>
        <w:t> </w:t>
      </w:r>
      <w:r>
        <w:rPr>
          <w:color w:val="231F20"/>
          <w:sz w:val="19"/>
        </w:rPr>
        <w:t>so,</w:t>
      </w:r>
      <w:r>
        <w:rPr>
          <w:color w:val="231F20"/>
          <w:spacing w:val="-10"/>
          <w:sz w:val="19"/>
        </w:rPr>
        <w:t> </w:t>
      </w:r>
      <w:r>
        <w:rPr>
          <w:color w:val="231F20"/>
          <w:sz w:val="19"/>
        </w:rPr>
        <w:t>the</w:t>
      </w:r>
      <w:r>
        <w:rPr>
          <w:color w:val="231F20"/>
          <w:spacing w:val="-10"/>
          <w:sz w:val="19"/>
        </w:rPr>
        <w:t> </w:t>
      </w:r>
      <w:r>
        <w:rPr>
          <w:color w:val="231F20"/>
          <w:sz w:val="19"/>
        </w:rPr>
        <w:t>ECJ</w:t>
      </w:r>
      <w:r>
        <w:rPr>
          <w:color w:val="231F20"/>
          <w:spacing w:val="-11"/>
          <w:sz w:val="19"/>
        </w:rPr>
        <w:t> </w:t>
      </w:r>
      <w:r>
        <w:rPr>
          <w:color w:val="231F20"/>
          <w:sz w:val="19"/>
        </w:rPr>
        <w:t>linked</w:t>
      </w:r>
      <w:r>
        <w:rPr>
          <w:color w:val="231F20"/>
          <w:spacing w:val="-10"/>
          <w:sz w:val="19"/>
        </w:rPr>
        <w:t> </w:t>
      </w:r>
      <w:r>
        <w:rPr>
          <w:color w:val="231F20"/>
          <w:sz w:val="19"/>
        </w:rPr>
        <w:t>the</w:t>
      </w:r>
      <w:r>
        <w:rPr>
          <w:color w:val="231F20"/>
          <w:spacing w:val="-10"/>
          <w:sz w:val="19"/>
        </w:rPr>
        <w:t> </w:t>
      </w:r>
      <w:r>
        <w:rPr>
          <w:color w:val="231F20"/>
          <w:sz w:val="19"/>
        </w:rPr>
        <w:t>non-binding</w:t>
      </w:r>
      <w:r>
        <w:rPr>
          <w:color w:val="231F20"/>
          <w:spacing w:val="-10"/>
          <w:sz w:val="19"/>
        </w:rPr>
        <w:t> </w:t>
      </w:r>
      <w:r>
        <w:rPr>
          <w:color w:val="231F20"/>
          <w:sz w:val="19"/>
        </w:rPr>
        <w:t>effects</w:t>
      </w:r>
      <w:r>
        <w:rPr>
          <w:color w:val="231F20"/>
          <w:spacing w:val="-11"/>
          <w:sz w:val="19"/>
        </w:rPr>
        <w:t> </w:t>
      </w:r>
      <w:r>
        <w:rPr>
          <w:color w:val="231F20"/>
          <w:sz w:val="19"/>
        </w:rPr>
        <w:t>of</w:t>
      </w:r>
      <w:r>
        <w:rPr>
          <w:color w:val="231F20"/>
          <w:spacing w:val="-10"/>
          <w:sz w:val="19"/>
        </w:rPr>
        <w:t> </w:t>
      </w:r>
      <w:r>
        <w:rPr>
          <w:color w:val="231F20"/>
          <w:sz w:val="19"/>
        </w:rPr>
        <w:t>an</w:t>
      </w:r>
      <w:r>
        <w:rPr>
          <w:color w:val="231F20"/>
          <w:spacing w:val="-10"/>
          <w:sz w:val="19"/>
        </w:rPr>
        <w:t> </w:t>
      </w:r>
      <w:r>
        <w:rPr>
          <w:color w:val="231F20"/>
          <w:sz w:val="19"/>
        </w:rPr>
        <w:t>unfair</w:t>
      </w:r>
      <w:r>
        <w:rPr>
          <w:color w:val="231F20"/>
          <w:spacing w:val="-10"/>
          <w:sz w:val="19"/>
        </w:rPr>
        <w:t> </w:t>
      </w:r>
      <w:r>
        <w:rPr>
          <w:color w:val="231F20"/>
          <w:sz w:val="19"/>
        </w:rPr>
        <w:t>term</w:t>
      </w:r>
      <w:r>
        <w:rPr>
          <w:color w:val="231F20"/>
          <w:spacing w:val="-10"/>
          <w:sz w:val="19"/>
        </w:rPr>
        <w:t> </w:t>
      </w:r>
      <w:r>
        <w:rPr>
          <w:color w:val="231F20"/>
          <w:sz w:val="19"/>
        </w:rPr>
        <w:t>with</w:t>
      </w:r>
      <w:r>
        <w:rPr>
          <w:color w:val="231F20"/>
          <w:spacing w:val="-11"/>
          <w:sz w:val="19"/>
        </w:rPr>
        <w:t> </w:t>
      </w:r>
      <w:r>
        <w:rPr>
          <w:color w:val="231F20"/>
          <w:sz w:val="19"/>
        </w:rPr>
        <w:t>the two aims of Article 6(1) UCTD. Namely, with contractual balance </w:t>
      </w:r>
      <w:r>
        <w:rPr>
          <w:color w:val="231F20"/>
          <w:sz w:val="19"/>
        </w:rPr>
        <w:t>and dissuasiveness.</w:t>
      </w:r>
      <w:r>
        <w:rPr>
          <w:color w:val="231F20"/>
          <w:sz w:val="19"/>
          <w:vertAlign w:val="superscript"/>
        </w:rPr>
        <w:t>60</w:t>
      </w:r>
      <w:r>
        <w:rPr>
          <w:color w:val="231F20"/>
          <w:sz w:val="19"/>
          <w:vertAlign w:val="baseline"/>
        </w:rPr>
        <w:t> The unfair term does not bind consumers, which ensures the restitution of undue performances to re-establish equality between the parties. </w:t>
      </w:r>
      <w:r>
        <w:rPr>
          <w:color w:val="231F20"/>
          <w:spacing w:val="-2"/>
          <w:sz w:val="19"/>
          <w:vertAlign w:val="baseline"/>
        </w:rPr>
        <w:t>Additionally, according to the Court, non-bindingness and full restitution dissuade </w:t>
      </w:r>
      <w:r>
        <w:rPr>
          <w:color w:val="231F20"/>
          <w:sz w:val="19"/>
          <w:vertAlign w:val="baseline"/>
        </w:rPr>
        <w:t>businesses from using unfair terms.</w:t>
      </w:r>
      <w:r>
        <w:rPr>
          <w:color w:val="231F20"/>
          <w:sz w:val="19"/>
          <w:vertAlign w:val="superscript"/>
        </w:rPr>
        <w:t>61</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The ECJ has consistently applied the rule that it first developed in joined Cases C-154/15 and 307/15, </w:t>
      </w:r>
      <w:r>
        <w:rPr>
          <w:i/>
          <w:color w:val="231F20"/>
          <w:sz w:val="19"/>
        </w:rPr>
        <w:t>Gutiérrez Naranjo.</w:t>
      </w:r>
      <w:r>
        <w:rPr>
          <w:color w:val="231F20"/>
          <w:sz w:val="19"/>
          <w:vertAlign w:val="superscript"/>
        </w:rPr>
        <w:t>62</w:t>
      </w:r>
      <w:r>
        <w:rPr>
          <w:color w:val="231F20"/>
          <w:sz w:val="19"/>
          <w:vertAlign w:val="baseline"/>
        </w:rPr>
        <w:t> The remedy set forth in </w:t>
      </w:r>
      <w:r>
        <w:rPr>
          <w:color w:val="231F20"/>
          <w:sz w:val="19"/>
          <w:vertAlign w:val="baseline"/>
        </w:rPr>
        <w:t>Article 6(1) UCTD, in principle, has retroactive effects to restore the consumer to the position she would have been in the absence of the unfair term.</w:t>
      </w:r>
    </w:p>
    <w:p>
      <w:pPr>
        <w:pStyle w:val="ListParagraph"/>
        <w:numPr>
          <w:ilvl w:val="0"/>
          <w:numId w:val="4"/>
        </w:numPr>
        <w:tabs>
          <w:tab w:pos="1324" w:val="left" w:leader="none"/>
        </w:tabs>
        <w:spacing w:line="285" w:lineRule="auto" w:before="119" w:after="0"/>
        <w:ind w:left="871" w:right="869" w:firstLine="0"/>
        <w:jc w:val="both"/>
        <w:rPr>
          <w:sz w:val="19"/>
        </w:rPr>
      </w:pPr>
      <w:r>
        <w:rPr>
          <w:color w:val="231F20"/>
          <w:sz w:val="19"/>
        </w:rPr>
        <w:t>However, the judgment of the ECJ in Case C-19/20, </w:t>
      </w:r>
      <w:r>
        <w:rPr>
          <w:i/>
          <w:color w:val="231F20"/>
          <w:sz w:val="19"/>
        </w:rPr>
        <w:t>Bank BPH</w:t>
      </w:r>
      <w:r>
        <w:rPr>
          <w:color w:val="231F20"/>
          <w:sz w:val="19"/>
        </w:rPr>
        <w:t>, could be read as a deviation of that thread, which was nevertheless recovered in the sub- sequent Case C-520/21, </w:t>
      </w:r>
      <w:r>
        <w:rPr>
          <w:i/>
          <w:color w:val="231F20"/>
          <w:sz w:val="19"/>
        </w:rPr>
        <w:t>Bank M.</w:t>
      </w:r>
      <w:r>
        <w:rPr>
          <w:color w:val="231F20"/>
          <w:sz w:val="19"/>
          <w:vertAlign w:val="superscript"/>
        </w:rPr>
        <w:t>63</w:t>
      </w:r>
      <w:r>
        <w:rPr>
          <w:color w:val="231F20"/>
          <w:sz w:val="19"/>
          <w:vertAlign w:val="baseline"/>
        </w:rPr>
        <w:t> In </w:t>
      </w:r>
      <w:r>
        <w:rPr>
          <w:i/>
          <w:color w:val="231F20"/>
          <w:sz w:val="19"/>
          <w:vertAlign w:val="baseline"/>
        </w:rPr>
        <w:t>Bank BPH</w:t>
      </w:r>
      <w:r>
        <w:rPr>
          <w:color w:val="231F20"/>
          <w:sz w:val="19"/>
          <w:vertAlign w:val="baseline"/>
        </w:rPr>
        <w:t>, the Court decided that </w:t>
      </w:r>
      <w:r>
        <w:rPr>
          <w:rFonts w:ascii="Arial" w:hAnsi="Arial"/>
          <w:color w:val="231F20"/>
          <w:sz w:val="19"/>
          <w:vertAlign w:val="baseline"/>
        </w:rPr>
        <w:t>‘</w:t>
      </w:r>
      <w:r>
        <w:rPr>
          <w:color w:val="231F20"/>
          <w:sz w:val="19"/>
          <w:vertAlign w:val="baseline"/>
        </w:rPr>
        <w:t>the question as from when the invalidation of the contract (</w:t>
      </w:r>
      <w:r>
        <w:rPr>
          <w:rFonts w:ascii="Arial" w:hAnsi="Arial"/>
          <w:color w:val="231F20"/>
          <w:sz w:val="19"/>
          <w:vertAlign w:val="baseline"/>
        </w:rPr>
        <w:t>…</w:t>
      </w:r>
      <w:r>
        <w:rPr>
          <w:color w:val="231F20"/>
          <w:sz w:val="19"/>
          <w:vertAlign w:val="baseline"/>
        </w:rPr>
        <w:t>) produces its effects depends exclusively on national law, provided that the protection guaranteed to consumers</w:t>
      </w:r>
      <w:r>
        <w:rPr>
          <w:color w:val="231F20"/>
          <w:spacing w:val="43"/>
          <w:sz w:val="19"/>
          <w:vertAlign w:val="baseline"/>
        </w:rPr>
        <w:t> </w:t>
      </w:r>
      <w:r>
        <w:rPr>
          <w:color w:val="231F20"/>
          <w:sz w:val="19"/>
          <w:vertAlign w:val="baseline"/>
        </w:rPr>
        <w:t>by</w:t>
      </w:r>
      <w:r>
        <w:rPr>
          <w:color w:val="231F20"/>
          <w:spacing w:val="42"/>
          <w:sz w:val="19"/>
          <w:vertAlign w:val="baseline"/>
        </w:rPr>
        <w:t> </w:t>
      </w:r>
      <w:r>
        <w:rPr>
          <w:color w:val="231F20"/>
          <w:sz w:val="19"/>
          <w:vertAlign w:val="baseline"/>
        </w:rPr>
        <w:t>the</w:t>
      </w:r>
      <w:r>
        <w:rPr>
          <w:color w:val="231F20"/>
          <w:spacing w:val="44"/>
          <w:sz w:val="19"/>
          <w:vertAlign w:val="baseline"/>
        </w:rPr>
        <w:t> </w:t>
      </w:r>
      <w:r>
        <w:rPr>
          <w:color w:val="231F20"/>
          <w:sz w:val="19"/>
          <w:vertAlign w:val="baseline"/>
        </w:rPr>
        <w:t>provisions</w:t>
      </w:r>
      <w:r>
        <w:rPr>
          <w:color w:val="231F20"/>
          <w:spacing w:val="43"/>
          <w:sz w:val="19"/>
          <w:vertAlign w:val="baseline"/>
        </w:rPr>
        <w:t> </w:t>
      </w:r>
      <w:r>
        <w:rPr>
          <w:color w:val="231F20"/>
          <w:sz w:val="19"/>
          <w:vertAlign w:val="baseline"/>
        </w:rPr>
        <w:t>of</w:t>
      </w:r>
      <w:r>
        <w:rPr>
          <w:color w:val="231F20"/>
          <w:spacing w:val="43"/>
          <w:sz w:val="19"/>
          <w:vertAlign w:val="baseline"/>
        </w:rPr>
        <w:t> </w:t>
      </w:r>
      <w:r>
        <w:rPr>
          <w:color w:val="231F20"/>
          <w:sz w:val="19"/>
          <w:vertAlign w:val="baseline"/>
        </w:rPr>
        <w:t>Directive</w:t>
      </w:r>
      <w:r>
        <w:rPr>
          <w:color w:val="231F20"/>
          <w:spacing w:val="42"/>
          <w:sz w:val="19"/>
          <w:vertAlign w:val="baseline"/>
        </w:rPr>
        <w:t> </w:t>
      </w:r>
      <w:r>
        <w:rPr>
          <w:color w:val="231F20"/>
          <w:sz w:val="19"/>
          <w:vertAlign w:val="baseline"/>
        </w:rPr>
        <w:t>93/13</w:t>
      </w:r>
      <w:r>
        <w:rPr>
          <w:color w:val="231F20"/>
          <w:spacing w:val="42"/>
          <w:sz w:val="19"/>
          <w:vertAlign w:val="baseline"/>
        </w:rPr>
        <w:t> </w:t>
      </w:r>
      <w:r>
        <w:rPr>
          <w:color w:val="231F20"/>
          <w:sz w:val="19"/>
          <w:vertAlign w:val="baseline"/>
        </w:rPr>
        <w:t>is</w:t>
      </w:r>
      <w:r>
        <w:rPr>
          <w:color w:val="231F20"/>
          <w:spacing w:val="44"/>
          <w:sz w:val="19"/>
          <w:vertAlign w:val="baseline"/>
        </w:rPr>
        <w:t> </w:t>
      </w:r>
      <w:r>
        <w:rPr>
          <w:color w:val="231F20"/>
          <w:sz w:val="19"/>
          <w:vertAlign w:val="baseline"/>
        </w:rPr>
        <w:t>ensured</w:t>
      </w:r>
      <w:r>
        <w:rPr>
          <w:rFonts w:ascii="Arial" w:hAnsi="Arial"/>
          <w:color w:val="231F20"/>
          <w:sz w:val="19"/>
          <w:vertAlign w:val="baseline"/>
        </w:rPr>
        <w:t>’</w:t>
      </w:r>
      <w:r>
        <w:rPr>
          <w:color w:val="231F20"/>
          <w:sz w:val="19"/>
          <w:vertAlign w:val="baseline"/>
        </w:rPr>
        <w:t>.</w:t>
      </w:r>
      <w:r>
        <w:rPr>
          <w:color w:val="231F20"/>
          <w:sz w:val="19"/>
          <w:vertAlign w:val="superscript"/>
        </w:rPr>
        <w:t>64</w:t>
      </w:r>
      <w:r>
        <w:rPr>
          <w:color w:val="231F20"/>
          <w:spacing w:val="44"/>
          <w:sz w:val="19"/>
          <w:vertAlign w:val="baseline"/>
        </w:rPr>
        <w:t> </w:t>
      </w:r>
      <w:r>
        <w:rPr>
          <w:color w:val="231F20"/>
          <w:sz w:val="19"/>
          <w:vertAlign w:val="baseline"/>
        </w:rPr>
        <w:t>Hence,</w:t>
      </w:r>
      <w:r>
        <w:rPr>
          <w:color w:val="231F20"/>
          <w:spacing w:val="42"/>
          <w:sz w:val="19"/>
          <w:vertAlign w:val="baseline"/>
        </w:rPr>
        <w:t> </w:t>
      </w:r>
      <w:r>
        <w:rPr>
          <w:color w:val="231F20"/>
          <w:sz w:val="19"/>
          <w:vertAlign w:val="baseline"/>
        </w:rPr>
        <w:t>it</w:t>
      </w:r>
      <w:r>
        <w:rPr>
          <w:color w:val="231F20"/>
          <w:spacing w:val="44"/>
          <w:sz w:val="19"/>
          <w:vertAlign w:val="baseline"/>
        </w:rPr>
        <w:t> </w:t>
      </w:r>
      <w:r>
        <w:rPr>
          <w:color w:val="231F20"/>
          <w:spacing w:val="-4"/>
          <w:sz w:val="19"/>
          <w:vertAlign w:val="baseline"/>
        </w:rPr>
        <w:t>gave</w:t>
      </w:r>
    </w:p>
    <w:p>
      <w:pPr>
        <w:pStyle w:val="BodyText"/>
        <w:spacing w:before="213"/>
        <w:rPr>
          <w:sz w:val="20"/>
        </w:rPr>
      </w:pPr>
      <w:r>
        <w:rPr/>
        <mc:AlternateContent>
          <mc:Choice Requires="wps">
            <w:drawing>
              <wp:anchor distT="0" distB="0" distL="0" distR="0" allowOverlap="1" layoutInCell="1" locked="0" behindDoc="1" simplePos="0" relativeHeight="487594496">
                <wp:simplePos x="0" y="0"/>
                <wp:positionH relativeFrom="page">
                  <wp:posOffset>1979993</wp:posOffset>
                </wp:positionH>
                <wp:positionV relativeFrom="paragraph">
                  <wp:posOffset>295008</wp:posOffset>
                </wp:positionV>
                <wp:extent cx="1656080" cy="4445"/>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3.228987pt;width:130.394pt;height:.34018pt;mso-position-horizontal-relative:page;mso-position-vertical-relative:paragraph;z-index:-15721984;mso-wrap-distance-left:0;mso-wrap-distance-right:0" id="docshape16" filled="true" fillcolor="#000000" stroked="false">
                <v:fill type="solid"/>
                <w10:wrap type="topAndBottom"/>
              </v:rect>
            </w:pict>
          </mc:Fallback>
        </mc:AlternateContent>
      </w:r>
    </w:p>
    <w:p>
      <w:pPr>
        <w:pStyle w:val="BodyText"/>
        <w:spacing w:before="75"/>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Tribunal</w:t>
      </w:r>
      <w:r>
        <w:rPr>
          <w:color w:val="231F20"/>
          <w:spacing w:val="12"/>
          <w:sz w:val="16"/>
        </w:rPr>
        <w:t> </w:t>
      </w:r>
      <w:r>
        <w:rPr>
          <w:color w:val="231F20"/>
          <w:sz w:val="16"/>
        </w:rPr>
        <w:t>Supremo</w:t>
      </w:r>
      <w:r>
        <w:rPr>
          <w:color w:val="231F20"/>
          <w:spacing w:val="12"/>
          <w:sz w:val="16"/>
        </w:rPr>
        <w:t> </w:t>
      </w:r>
      <w:r>
        <w:rPr>
          <w:color w:val="231F20"/>
          <w:sz w:val="16"/>
        </w:rPr>
        <w:t>(1</w:t>
      </w:r>
      <w:r>
        <w:rPr>
          <w:color w:val="231F20"/>
          <w:spacing w:val="12"/>
          <w:sz w:val="16"/>
        </w:rPr>
        <w:t> </w:t>
      </w:r>
      <w:r>
        <w:rPr>
          <w:color w:val="231F20"/>
          <w:sz w:val="16"/>
        </w:rPr>
        <w:t>Civil)</w:t>
      </w:r>
      <w:r>
        <w:rPr>
          <w:color w:val="231F20"/>
          <w:spacing w:val="13"/>
          <w:sz w:val="16"/>
        </w:rPr>
        <w:t> </w:t>
      </w:r>
      <w:r>
        <w:rPr>
          <w:color w:val="231F20"/>
          <w:sz w:val="16"/>
        </w:rPr>
        <w:t>9</w:t>
      </w:r>
      <w:r>
        <w:rPr>
          <w:color w:val="231F20"/>
          <w:spacing w:val="12"/>
          <w:sz w:val="16"/>
        </w:rPr>
        <w:t> </w:t>
      </w:r>
      <w:r>
        <w:rPr>
          <w:color w:val="231F20"/>
          <w:sz w:val="16"/>
        </w:rPr>
        <w:t>May</w:t>
      </w:r>
      <w:r>
        <w:rPr>
          <w:color w:val="231F20"/>
          <w:spacing w:val="13"/>
          <w:sz w:val="16"/>
        </w:rPr>
        <w:t> </w:t>
      </w:r>
      <w:r>
        <w:rPr>
          <w:color w:val="231F20"/>
          <w:sz w:val="16"/>
        </w:rPr>
        <w:t>2013,</w:t>
      </w:r>
      <w:r>
        <w:rPr>
          <w:color w:val="231F20"/>
          <w:spacing w:val="12"/>
          <w:sz w:val="16"/>
        </w:rPr>
        <w:t> </w:t>
      </w:r>
      <w:r>
        <w:rPr>
          <w:color w:val="231F20"/>
          <w:sz w:val="16"/>
        </w:rPr>
        <w:t>STS</w:t>
      </w:r>
      <w:r>
        <w:rPr>
          <w:color w:val="231F20"/>
          <w:spacing w:val="11"/>
          <w:sz w:val="16"/>
        </w:rPr>
        <w:t> </w:t>
      </w:r>
      <w:r>
        <w:rPr>
          <w:color w:val="231F20"/>
          <w:sz w:val="16"/>
        </w:rPr>
        <w:t>1916/2013,</w:t>
      </w:r>
      <w:r>
        <w:rPr>
          <w:color w:val="231F20"/>
          <w:spacing w:val="13"/>
          <w:sz w:val="16"/>
        </w:rPr>
        <w:t> </w:t>
      </w:r>
      <w:r>
        <w:rPr>
          <w:color w:val="231F20"/>
          <w:spacing w:val="-2"/>
          <w:sz w:val="16"/>
        </w:rPr>
        <w:t>ECLI:ES:TS:2013:1916.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21</w:t>
      </w:r>
      <w:r>
        <w:rPr>
          <w:color w:val="231F20"/>
          <w:spacing w:val="-4"/>
          <w:sz w:val="16"/>
        </w:rPr>
        <w:t> </w:t>
      </w:r>
      <w:r>
        <w:rPr>
          <w:color w:val="231F20"/>
          <w:sz w:val="16"/>
        </w:rPr>
        <w:t>Dec.</w:t>
      </w:r>
      <w:r>
        <w:rPr>
          <w:color w:val="231F20"/>
          <w:spacing w:val="-4"/>
          <w:sz w:val="16"/>
        </w:rPr>
        <w:t> </w:t>
      </w:r>
      <w:r>
        <w:rPr>
          <w:color w:val="231F20"/>
          <w:sz w:val="16"/>
        </w:rPr>
        <w:t>2016,</w:t>
      </w:r>
      <w:r>
        <w:rPr>
          <w:color w:val="231F20"/>
          <w:spacing w:val="-4"/>
          <w:sz w:val="16"/>
        </w:rPr>
        <w:t> </w:t>
      </w:r>
      <w:r>
        <w:rPr>
          <w:color w:val="231F20"/>
          <w:sz w:val="16"/>
        </w:rPr>
        <w:t>ECLI:EU:C:2016:980</w:t>
      </w:r>
      <w:r>
        <w:rPr>
          <w:i/>
          <w:color w:val="231F20"/>
          <w:sz w:val="16"/>
        </w:rPr>
        <w:t>,</w:t>
      </w:r>
      <w:r>
        <w:rPr>
          <w:i/>
          <w:color w:val="231F20"/>
          <w:spacing w:val="-4"/>
          <w:sz w:val="16"/>
        </w:rPr>
        <w:t> </w:t>
      </w:r>
      <w:r>
        <w:rPr>
          <w:i/>
          <w:color w:val="231F20"/>
          <w:sz w:val="16"/>
        </w:rPr>
        <w:t>Gutiérrez</w:t>
      </w:r>
      <w:r>
        <w:rPr>
          <w:i/>
          <w:color w:val="231F20"/>
          <w:spacing w:val="-3"/>
          <w:sz w:val="16"/>
        </w:rPr>
        <w:t> </w:t>
      </w:r>
      <w:r>
        <w:rPr>
          <w:i/>
          <w:color w:val="231F20"/>
          <w:sz w:val="16"/>
        </w:rPr>
        <w:t>Naranjo</w:t>
      </w:r>
      <w:r>
        <w:rPr>
          <w:color w:val="231F20"/>
          <w:sz w:val="16"/>
        </w:rPr>
        <w:t>,</w:t>
      </w:r>
      <w:r>
        <w:rPr>
          <w:color w:val="231F20"/>
          <w:spacing w:val="-5"/>
          <w:sz w:val="16"/>
        </w:rPr>
        <w:t> </w:t>
      </w:r>
      <w:r>
        <w:rPr>
          <w:color w:val="231F20"/>
          <w:sz w:val="16"/>
        </w:rPr>
        <w:t>para.</w:t>
      </w:r>
      <w:r>
        <w:rPr>
          <w:color w:val="231F20"/>
          <w:spacing w:val="-4"/>
          <w:sz w:val="16"/>
        </w:rPr>
        <w:t> </w:t>
      </w:r>
      <w:r>
        <w:rPr>
          <w:color w:val="231F20"/>
          <w:spacing w:val="-5"/>
          <w:sz w:val="16"/>
        </w:rPr>
        <w:t>61.</w:t>
      </w:r>
    </w:p>
    <w:p>
      <w:pPr>
        <w:pStyle w:val="ListParagraph"/>
        <w:numPr>
          <w:ilvl w:val="0"/>
          <w:numId w:val="3"/>
        </w:numPr>
        <w:tabs>
          <w:tab w:pos="865" w:val="left" w:leader="none"/>
        </w:tabs>
        <w:spacing w:line="240" w:lineRule="auto" w:before="34" w:after="0"/>
        <w:ind w:left="865" w:right="0" w:hanging="353"/>
        <w:jc w:val="left"/>
        <w:rPr>
          <w:sz w:val="16"/>
        </w:rPr>
      </w:pPr>
      <w:r>
        <w:rPr>
          <w:color w:val="231F20"/>
          <w:sz w:val="16"/>
        </w:rPr>
        <w:t>ECJ</w:t>
      </w:r>
      <w:r>
        <w:rPr>
          <w:color w:val="231F20"/>
          <w:spacing w:val="-5"/>
          <w:sz w:val="16"/>
        </w:rPr>
        <w:t> </w:t>
      </w:r>
      <w:r>
        <w:rPr>
          <w:color w:val="231F20"/>
          <w:sz w:val="16"/>
        </w:rPr>
        <w:t>21</w:t>
      </w:r>
      <w:r>
        <w:rPr>
          <w:color w:val="231F20"/>
          <w:spacing w:val="-5"/>
          <w:sz w:val="16"/>
        </w:rPr>
        <w:t> </w:t>
      </w:r>
      <w:r>
        <w:rPr>
          <w:color w:val="231F20"/>
          <w:sz w:val="16"/>
        </w:rPr>
        <w:t>Dec.</w:t>
      </w:r>
      <w:r>
        <w:rPr>
          <w:color w:val="231F20"/>
          <w:spacing w:val="-5"/>
          <w:sz w:val="16"/>
        </w:rPr>
        <w:t> </w:t>
      </w:r>
      <w:r>
        <w:rPr>
          <w:color w:val="231F20"/>
          <w:sz w:val="16"/>
        </w:rPr>
        <w:t>2016,</w:t>
      </w:r>
      <w:r>
        <w:rPr>
          <w:color w:val="231F20"/>
          <w:spacing w:val="-5"/>
          <w:sz w:val="16"/>
        </w:rPr>
        <w:t> </w:t>
      </w:r>
      <w:r>
        <w:rPr>
          <w:color w:val="231F20"/>
          <w:sz w:val="16"/>
        </w:rPr>
        <w:t>ECLI:EU:C:2016:980</w:t>
      </w:r>
      <w:r>
        <w:rPr>
          <w:i/>
          <w:color w:val="231F20"/>
          <w:sz w:val="16"/>
        </w:rPr>
        <w:t>,</w:t>
      </w:r>
      <w:r>
        <w:rPr>
          <w:i/>
          <w:color w:val="231F20"/>
          <w:spacing w:val="-4"/>
          <w:sz w:val="16"/>
        </w:rPr>
        <w:t> </w:t>
      </w:r>
      <w:r>
        <w:rPr>
          <w:i/>
          <w:color w:val="231F20"/>
          <w:sz w:val="16"/>
        </w:rPr>
        <w:t>Gutiérrez</w:t>
      </w:r>
      <w:r>
        <w:rPr>
          <w:i/>
          <w:color w:val="231F20"/>
          <w:spacing w:val="-4"/>
          <w:sz w:val="16"/>
        </w:rPr>
        <w:t> </w:t>
      </w:r>
      <w:r>
        <w:rPr>
          <w:i/>
          <w:color w:val="231F20"/>
          <w:sz w:val="16"/>
        </w:rPr>
        <w:t>Naranjo</w:t>
      </w:r>
      <w:r>
        <w:rPr>
          <w:color w:val="231F20"/>
          <w:sz w:val="16"/>
        </w:rPr>
        <w:t>,</w:t>
      </w:r>
      <w:r>
        <w:rPr>
          <w:color w:val="231F20"/>
          <w:spacing w:val="-5"/>
          <w:sz w:val="16"/>
        </w:rPr>
        <w:t> </w:t>
      </w:r>
      <w:r>
        <w:rPr>
          <w:color w:val="231F20"/>
          <w:sz w:val="16"/>
        </w:rPr>
        <w:t>paras</w:t>
      </w:r>
      <w:r>
        <w:rPr>
          <w:color w:val="231F20"/>
          <w:spacing w:val="-5"/>
          <w:sz w:val="16"/>
        </w:rPr>
        <w:t> </w:t>
      </w:r>
      <w:r>
        <w:rPr>
          <w:color w:val="231F20"/>
          <w:spacing w:val="-2"/>
          <w:sz w:val="16"/>
        </w:rPr>
        <w:t>61</w:t>
      </w:r>
      <w:r>
        <w:rPr>
          <w:rFonts w:ascii="Arial" w:hAnsi="Arial"/>
          <w:color w:val="231F20"/>
          <w:spacing w:val="-2"/>
          <w:sz w:val="16"/>
        </w:rPr>
        <w:t>–</w:t>
      </w:r>
      <w:r>
        <w:rPr>
          <w:color w:val="231F20"/>
          <w:spacing w:val="-2"/>
          <w:sz w:val="16"/>
        </w:rPr>
        <w:t>62.</w:t>
      </w:r>
    </w:p>
    <w:p>
      <w:pPr>
        <w:pStyle w:val="ListParagraph"/>
        <w:numPr>
          <w:ilvl w:val="0"/>
          <w:numId w:val="3"/>
        </w:numPr>
        <w:tabs>
          <w:tab w:pos="866" w:val="left" w:leader="none"/>
        </w:tabs>
        <w:spacing w:line="283" w:lineRule="auto" w:before="33" w:after="0"/>
        <w:ind w:left="866" w:right="868" w:hanging="354"/>
        <w:jc w:val="both"/>
        <w:rPr>
          <w:i/>
          <w:sz w:val="16"/>
        </w:rPr>
      </w:pPr>
      <w:r>
        <w:rPr>
          <w:color w:val="231F20"/>
          <w:sz w:val="16"/>
        </w:rPr>
        <w:t>C. L</w:t>
      </w:r>
      <w:r>
        <w:rPr>
          <w:color w:val="231F20"/>
          <w:sz w:val="11"/>
        </w:rPr>
        <w:t>ESKINEN</w:t>
      </w:r>
      <w:r>
        <w:rPr>
          <w:color w:val="231F20"/>
          <w:spacing w:val="32"/>
          <w:sz w:val="11"/>
        </w:rPr>
        <w:t> </w:t>
      </w:r>
      <w:r>
        <w:rPr>
          <w:color w:val="231F20"/>
          <w:sz w:val="16"/>
        </w:rPr>
        <w:t>&amp; F. </w:t>
      </w:r>
      <w:r>
        <w:rPr>
          <w:color w:val="231F20"/>
          <w:sz w:val="11"/>
        </w:rPr>
        <w:t>DE</w:t>
      </w:r>
      <w:r>
        <w:rPr>
          <w:color w:val="231F20"/>
          <w:spacing w:val="32"/>
          <w:sz w:val="11"/>
        </w:rPr>
        <w:t> </w:t>
      </w:r>
      <w:r>
        <w:rPr>
          <w:color w:val="231F20"/>
          <w:sz w:val="16"/>
        </w:rPr>
        <w:t>E</w:t>
      </w:r>
      <w:r>
        <w:rPr>
          <w:color w:val="231F20"/>
          <w:sz w:val="11"/>
        </w:rPr>
        <w:t>LIZALDE</w:t>
      </w:r>
      <w:r>
        <w:rPr>
          <w:color w:val="231F20"/>
          <w:sz w:val="16"/>
        </w:rPr>
        <w:t>, </w:t>
      </w:r>
      <w:r>
        <w:rPr>
          <w:rFonts w:ascii="Arial" w:hAnsi="Arial"/>
          <w:color w:val="231F20"/>
          <w:sz w:val="16"/>
        </w:rPr>
        <w:t>‘</w:t>
      </w:r>
      <w:r>
        <w:rPr>
          <w:color w:val="231F20"/>
          <w:sz w:val="16"/>
        </w:rPr>
        <w:t>The control of terms that define the essential obligations of the</w:t>
      </w:r>
      <w:r>
        <w:rPr>
          <w:color w:val="231F20"/>
          <w:spacing w:val="40"/>
          <w:sz w:val="16"/>
        </w:rPr>
        <w:t> </w:t>
      </w:r>
      <w:r>
        <w:rPr>
          <w:color w:val="231F20"/>
          <w:sz w:val="16"/>
        </w:rPr>
        <w:t>parties</w:t>
      </w:r>
      <w:r>
        <w:rPr>
          <w:color w:val="231F20"/>
          <w:spacing w:val="-1"/>
          <w:sz w:val="16"/>
        </w:rPr>
        <w:t> </w:t>
      </w:r>
      <w:r>
        <w:rPr>
          <w:color w:val="231F20"/>
          <w:sz w:val="16"/>
        </w:rPr>
        <w:t>under</w:t>
      </w:r>
      <w:r>
        <w:rPr>
          <w:color w:val="231F20"/>
          <w:spacing w:val="-1"/>
          <w:sz w:val="16"/>
        </w:rPr>
        <w:t> </w:t>
      </w:r>
      <w:r>
        <w:rPr>
          <w:color w:val="231F20"/>
          <w:sz w:val="16"/>
        </w:rPr>
        <w:t>the</w:t>
      </w:r>
      <w:r>
        <w:rPr>
          <w:color w:val="231F20"/>
          <w:spacing w:val="-1"/>
          <w:sz w:val="16"/>
        </w:rPr>
        <w:t> </w:t>
      </w:r>
      <w:r>
        <w:rPr>
          <w:color w:val="231F20"/>
          <w:sz w:val="16"/>
        </w:rPr>
        <w:t>Unfair</w:t>
      </w:r>
      <w:r>
        <w:rPr>
          <w:color w:val="231F20"/>
          <w:spacing w:val="-2"/>
          <w:sz w:val="16"/>
        </w:rPr>
        <w:t> </w:t>
      </w:r>
      <w:r>
        <w:rPr>
          <w:color w:val="231F20"/>
          <w:sz w:val="16"/>
        </w:rPr>
        <w:t>Contract</w:t>
      </w:r>
      <w:r>
        <w:rPr>
          <w:color w:val="231F20"/>
          <w:spacing w:val="-1"/>
          <w:sz w:val="16"/>
        </w:rPr>
        <w:t> </w:t>
      </w:r>
      <w:r>
        <w:rPr>
          <w:color w:val="231F20"/>
          <w:sz w:val="16"/>
        </w:rPr>
        <w:t>Terms</w:t>
      </w:r>
      <w:r>
        <w:rPr>
          <w:color w:val="231F20"/>
          <w:spacing w:val="-1"/>
          <w:sz w:val="16"/>
        </w:rPr>
        <w:t> </w:t>
      </w:r>
      <w:r>
        <w:rPr>
          <w:color w:val="231F20"/>
          <w:sz w:val="16"/>
        </w:rPr>
        <w:t>Directive:</w:t>
      </w:r>
      <w:r>
        <w:rPr>
          <w:color w:val="231F20"/>
          <w:spacing w:val="-2"/>
          <w:sz w:val="16"/>
        </w:rPr>
        <w:t> </w:t>
      </w:r>
      <w:r>
        <w:rPr>
          <w:color w:val="231F20"/>
          <w:sz w:val="16"/>
        </w:rPr>
        <w:t>Gutiérrez Naranjo</w:t>
      </w:r>
      <w:r>
        <w:rPr>
          <w:rFonts w:ascii="Arial" w:hAnsi="Arial"/>
          <w:color w:val="231F20"/>
          <w:sz w:val="16"/>
        </w:rPr>
        <w:t>’</w:t>
      </w:r>
      <w:r>
        <w:rPr>
          <w:color w:val="231F20"/>
          <w:sz w:val="16"/>
        </w:rPr>
        <w:t>,</w:t>
      </w:r>
      <w:r>
        <w:rPr>
          <w:color w:val="231F20"/>
          <w:spacing w:val="-1"/>
          <w:sz w:val="16"/>
        </w:rPr>
        <w:t> </w:t>
      </w:r>
      <w:r>
        <w:rPr>
          <w:color w:val="231F20"/>
          <w:sz w:val="16"/>
        </w:rPr>
        <w:t>55. </w:t>
      </w:r>
      <w:r>
        <w:rPr>
          <w:i/>
          <w:color w:val="231F20"/>
          <w:sz w:val="16"/>
        </w:rPr>
        <w:t>CMLR</w:t>
      </w:r>
      <w:r>
        <w:rPr>
          <w:i/>
          <w:color w:val="231F20"/>
          <w:spacing w:val="-1"/>
          <w:sz w:val="16"/>
        </w:rPr>
        <w:t> </w:t>
      </w:r>
      <w:r>
        <w:rPr>
          <w:color w:val="231F20"/>
          <w:sz w:val="16"/>
        </w:rPr>
        <w:t>2018,</w:t>
      </w:r>
      <w:r>
        <w:rPr>
          <w:color w:val="231F20"/>
          <w:spacing w:val="-1"/>
          <w:sz w:val="16"/>
        </w:rPr>
        <w:t> </w:t>
      </w:r>
      <w:r>
        <w:rPr>
          <w:color w:val="231F20"/>
          <w:sz w:val="16"/>
        </w:rPr>
        <w:t>p (1595)</w:t>
      </w:r>
      <w:r>
        <w:rPr>
          <w:color w:val="231F20"/>
          <w:spacing w:val="40"/>
          <w:sz w:val="16"/>
        </w:rPr>
        <w:t> </w:t>
      </w:r>
      <w:r>
        <w:rPr>
          <w:color w:val="231F20"/>
          <w:sz w:val="16"/>
        </w:rPr>
        <w:t>at 1607</w:t>
      </w:r>
      <w:r>
        <w:rPr>
          <w:rFonts w:ascii="Arial" w:hAnsi="Arial"/>
          <w:color w:val="231F20"/>
          <w:sz w:val="16"/>
        </w:rPr>
        <w:t>–</w:t>
      </w:r>
      <w:r>
        <w:rPr>
          <w:color w:val="231F20"/>
          <w:sz w:val="16"/>
        </w:rPr>
        <w:t>1610, doi: 10.54648/COLA2018124. ECJ 29 Apr. 2021, ECLI:EU:C:2021:341, </w:t>
      </w:r>
      <w:r>
        <w:rPr>
          <w:i/>
          <w:color w:val="231F20"/>
          <w:sz w:val="16"/>
        </w:rPr>
        <w:t>I.W. </w:t>
      </w:r>
      <w:r>
        <w:rPr>
          <w:i/>
          <w:color w:val="231F20"/>
          <w:sz w:val="16"/>
        </w:rPr>
        <w:t>and</w:t>
      </w:r>
    </w:p>
    <w:p>
      <w:pPr>
        <w:spacing w:before="6"/>
        <w:ind w:left="866" w:right="0" w:firstLine="0"/>
        <w:jc w:val="both"/>
        <w:rPr>
          <w:sz w:val="16"/>
        </w:rPr>
      </w:pPr>
      <w:r>
        <w:rPr>
          <w:i/>
          <w:color w:val="231F20"/>
          <w:spacing w:val="-2"/>
          <w:sz w:val="16"/>
        </w:rPr>
        <w:t>R.W.</w:t>
      </w:r>
      <w:r>
        <w:rPr>
          <w:i/>
          <w:color w:val="231F20"/>
          <w:spacing w:val="11"/>
          <w:sz w:val="16"/>
        </w:rPr>
        <w:t> </w:t>
      </w:r>
      <w:r>
        <w:rPr>
          <w:color w:val="231F20"/>
          <w:spacing w:val="-2"/>
          <w:sz w:val="16"/>
        </w:rPr>
        <w:t>v.</w:t>
      </w:r>
      <w:r>
        <w:rPr>
          <w:color w:val="231F20"/>
          <w:spacing w:val="13"/>
          <w:sz w:val="16"/>
        </w:rPr>
        <w:t> </w:t>
      </w:r>
      <w:r>
        <w:rPr>
          <w:i/>
          <w:color w:val="231F20"/>
          <w:spacing w:val="-2"/>
          <w:sz w:val="16"/>
        </w:rPr>
        <w:t>Bank</w:t>
      </w:r>
      <w:r>
        <w:rPr>
          <w:i/>
          <w:color w:val="231F20"/>
          <w:spacing w:val="12"/>
          <w:sz w:val="16"/>
        </w:rPr>
        <w:t> </w:t>
      </w:r>
      <w:r>
        <w:rPr>
          <w:i/>
          <w:color w:val="231F20"/>
          <w:spacing w:val="-2"/>
          <w:sz w:val="16"/>
        </w:rPr>
        <w:t>BPH</w:t>
      </w:r>
      <w:r>
        <w:rPr>
          <w:i/>
          <w:color w:val="231F20"/>
          <w:spacing w:val="13"/>
          <w:sz w:val="16"/>
        </w:rPr>
        <w:t> </w:t>
      </w:r>
      <w:r>
        <w:rPr>
          <w:i/>
          <w:color w:val="231F20"/>
          <w:spacing w:val="-2"/>
          <w:sz w:val="16"/>
        </w:rPr>
        <w:t>S.A.</w:t>
      </w:r>
      <w:r>
        <w:rPr>
          <w:color w:val="231F20"/>
          <w:spacing w:val="-2"/>
          <w:sz w:val="16"/>
        </w:rPr>
        <w:t>,</w:t>
      </w:r>
      <w:r>
        <w:rPr>
          <w:color w:val="231F20"/>
          <w:spacing w:val="12"/>
          <w:sz w:val="16"/>
        </w:rPr>
        <w:t> </w:t>
      </w:r>
      <w:r>
        <w:rPr>
          <w:color w:val="231F20"/>
          <w:spacing w:val="-2"/>
          <w:sz w:val="16"/>
        </w:rPr>
        <w:t>curia.europa.eu/juris/liste.jsf?num=C-19/20,</w:t>
      </w:r>
      <w:r>
        <w:rPr>
          <w:color w:val="231F20"/>
          <w:spacing w:val="13"/>
          <w:sz w:val="16"/>
        </w:rPr>
        <w:t> </w:t>
      </w:r>
      <w:r>
        <w:rPr>
          <w:color w:val="231F20"/>
          <w:spacing w:val="-2"/>
          <w:sz w:val="16"/>
        </w:rPr>
        <w:t>para.</w:t>
      </w:r>
      <w:r>
        <w:rPr>
          <w:color w:val="231F20"/>
          <w:spacing w:val="12"/>
          <w:sz w:val="16"/>
        </w:rPr>
        <w:t> </w:t>
      </w:r>
      <w:r>
        <w:rPr>
          <w:color w:val="231F20"/>
          <w:spacing w:val="-5"/>
          <w:sz w:val="16"/>
        </w:rPr>
        <w:t>50.</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5"/>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4"/>
          <w:sz w:val="16"/>
        </w:rPr>
        <w:t> </w:t>
      </w:r>
      <w:r>
        <w:rPr>
          <w:color w:val="231F20"/>
          <w:sz w:val="16"/>
        </w:rPr>
        <w:t>para.</w:t>
      </w:r>
      <w:r>
        <w:rPr>
          <w:color w:val="231F20"/>
          <w:spacing w:val="-5"/>
          <w:sz w:val="16"/>
        </w:rPr>
        <w:t> 38.</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w:t>
      </w:r>
      <w:r>
        <w:rPr>
          <w:color w:val="231F20"/>
          <w:spacing w:val="4"/>
          <w:sz w:val="16"/>
        </w:rPr>
        <w:t> </w:t>
      </w:r>
      <w:r>
        <w:rPr>
          <w:color w:val="231F20"/>
          <w:sz w:val="16"/>
        </w:rPr>
        <w:t>21</w:t>
      </w:r>
      <w:r>
        <w:rPr>
          <w:color w:val="231F20"/>
          <w:spacing w:val="4"/>
          <w:sz w:val="16"/>
        </w:rPr>
        <w:t> </w:t>
      </w:r>
      <w:r>
        <w:rPr>
          <w:color w:val="231F20"/>
          <w:sz w:val="16"/>
        </w:rPr>
        <w:t>Dec.</w:t>
      </w:r>
      <w:r>
        <w:rPr>
          <w:color w:val="231F20"/>
          <w:spacing w:val="5"/>
          <w:sz w:val="16"/>
        </w:rPr>
        <w:t> </w:t>
      </w:r>
      <w:r>
        <w:rPr>
          <w:color w:val="231F20"/>
          <w:sz w:val="16"/>
        </w:rPr>
        <w:t>2016,</w:t>
      </w:r>
      <w:r>
        <w:rPr>
          <w:color w:val="231F20"/>
          <w:spacing w:val="4"/>
          <w:sz w:val="16"/>
        </w:rPr>
        <w:t> </w:t>
      </w:r>
      <w:r>
        <w:rPr>
          <w:color w:val="231F20"/>
          <w:sz w:val="16"/>
        </w:rPr>
        <w:t>ECLI:EU:C:2016:980</w:t>
      </w:r>
      <w:r>
        <w:rPr>
          <w:i/>
          <w:color w:val="231F20"/>
          <w:sz w:val="16"/>
        </w:rPr>
        <w:t>,</w:t>
      </w:r>
      <w:r>
        <w:rPr>
          <w:i/>
          <w:color w:val="231F20"/>
          <w:spacing w:val="5"/>
          <w:sz w:val="16"/>
        </w:rPr>
        <w:t> </w:t>
      </w:r>
      <w:r>
        <w:rPr>
          <w:i/>
          <w:color w:val="231F20"/>
          <w:sz w:val="16"/>
        </w:rPr>
        <w:t>Gutiérrez</w:t>
      </w:r>
      <w:r>
        <w:rPr>
          <w:i/>
          <w:color w:val="231F20"/>
          <w:spacing w:val="4"/>
          <w:sz w:val="16"/>
        </w:rPr>
        <w:t> </w:t>
      </w:r>
      <w:r>
        <w:rPr>
          <w:i/>
          <w:color w:val="231F20"/>
          <w:sz w:val="16"/>
        </w:rPr>
        <w:t>Naranjo</w:t>
      </w:r>
      <w:r>
        <w:rPr>
          <w:color w:val="231F20"/>
          <w:sz w:val="16"/>
        </w:rPr>
        <w:t>,</w:t>
      </w:r>
      <w:r>
        <w:rPr>
          <w:color w:val="231F20"/>
          <w:spacing w:val="4"/>
          <w:sz w:val="16"/>
        </w:rPr>
        <w:t> </w:t>
      </w:r>
      <w:r>
        <w:rPr>
          <w:color w:val="231F20"/>
          <w:sz w:val="16"/>
        </w:rPr>
        <w:t>para.</w:t>
      </w:r>
      <w:r>
        <w:rPr>
          <w:color w:val="231F20"/>
          <w:spacing w:val="5"/>
          <w:sz w:val="16"/>
        </w:rPr>
        <w:t> </w:t>
      </w:r>
      <w:r>
        <w:rPr>
          <w:color w:val="231F20"/>
          <w:sz w:val="16"/>
        </w:rPr>
        <w:t>63.</w:t>
      </w:r>
      <w:r>
        <w:rPr>
          <w:color w:val="231F20"/>
          <w:spacing w:val="5"/>
          <w:sz w:val="16"/>
        </w:rPr>
        <w:t> </w:t>
      </w:r>
      <w:r>
        <w:rPr>
          <w:color w:val="231F20"/>
          <w:sz w:val="16"/>
        </w:rPr>
        <w:t>ECJ</w:t>
      </w:r>
      <w:r>
        <w:rPr>
          <w:color w:val="231F20"/>
          <w:spacing w:val="5"/>
          <w:sz w:val="16"/>
        </w:rPr>
        <w:t> </w:t>
      </w:r>
      <w:r>
        <w:rPr>
          <w:color w:val="231F20"/>
          <w:sz w:val="16"/>
        </w:rPr>
        <w:t>15</w:t>
      </w:r>
      <w:r>
        <w:rPr>
          <w:color w:val="231F20"/>
          <w:spacing w:val="4"/>
          <w:sz w:val="16"/>
        </w:rPr>
        <w:t> </w:t>
      </w:r>
      <w:r>
        <w:rPr>
          <w:color w:val="231F20"/>
          <w:sz w:val="16"/>
        </w:rPr>
        <w:t>Jun.</w:t>
      </w:r>
      <w:r>
        <w:rPr>
          <w:color w:val="231F20"/>
          <w:spacing w:val="5"/>
          <w:sz w:val="16"/>
        </w:rPr>
        <w:t> </w:t>
      </w:r>
      <w:r>
        <w:rPr>
          <w:color w:val="231F20"/>
          <w:sz w:val="16"/>
        </w:rPr>
        <w:t>2023,</w:t>
      </w:r>
      <w:r>
        <w:rPr>
          <w:color w:val="231F20"/>
          <w:spacing w:val="5"/>
          <w:sz w:val="16"/>
        </w:rPr>
        <w:t> </w:t>
      </w:r>
      <w:r>
        <w:rPr>
          <w:color w:val="231F20"/>
          <w:spacing w:val="-2"/>
          <w:sz w:val="16"/>
        </w:rPr>
        <w:t>ECLI:</w:t>
      </w:r>
    </w:p>
    <w:p>
      <w:pPr>
        <w:spacing w:before="38"/>
        <w:ind w:left="866" w:right="0" w:firstLine="0"/>
        <w:jc w:val="both"/>
        <w:rPr>
          <w:sz w:val="16"/>
        </w:rPr>
      </w:pPr>
      <w:r>
        <w:rPr>
          <w:color w:val="231F20"/>
          <w:sz w:val="16"/>
        </w:rPr>
        <w:t>EU:C:2023:478,</w:t>
      </w:r>
      <w:r>
        <w:rPr>
          <w:color w:val="231F20"/>
          <w:spacing w:val="-2"/>
          <w:sz w:val="16"/>
        </w:rPr>
        <w:t> </w:t>
      </w:r>
      <w:r>
        <w:rPr>
          <w:i/>
          <w:color w:val="231F20"/>
          <w:sz w:val="16"/>
        </w:rPr>
        <w:t>Bank</w:t>
      </w:r>
      <w:r>
        <w:rPr>
          <w:i/>
          <w:color w:val="231F20"/>
          <w:spacing w:val="-1"/>
          <w:sz w:val="16"/>
        </w:rPr>
        <w:t> </w:t>
      </w:r>
      <w:r>
        <w:rPr>
          <w:i/>
          <w:color w:val="231F20"/>
          <w:sz w:val="16"/>
        </w:rPr>
        <w:t>M.</w:t>
      </w:r>
      <w:r>
        <w:rPr>
          <w:color w:val="231F20"/>
          <w:sz w:val="16"/>
        </w:rPr>
        <w:t>,</w:t>
      </w:r>
      <w:r>
        <w:rPr>
          <w:color w:val="231F20"/>
          <w:spacing w:val="-2"/>
          <w:sz w:val="16"/>
        </w:rPr>
        <w:t> </w:t>
      </w:r>
      <w:r>
        <w:rPr>
          <w:color w:val="231F20"/>
          <w:sz w:val="16"/>
        </w:rPr>
        <w:t>paras</w:t>
      </w:r>
      <w:r>
        <w:rPr>
          <w:color w:val="231F20"/>
          <w:spacing w:val="-1"/>
          <w:sz w:val="16"/>
        </w:rPr>
        <w:t> </w:t>
      </w:r>
      <w:r>
        <w:rPr>
          <w:color w:val="231F20"/>
          <w:sz w:val="16"/>
        </w:rPr>
        <w:t>56</w:t>
      </w:r>
      <w:r>
        <w:rPr>
          <w:color w:val="231F20"/>
          <w:spacing w:val="-2"/>
          <w:sz w:val="16"/>
        </w:rPr>
        <w:t> </w:t>
      </w:r>
      <w:r>
        <w:rPr>
          <w:color w:val="231F20"/>
          <w:sz w:val="16"/>
        </w:rPr>
        <w:t>and</w:t>
      </w:r>
      <w:r>
        <w:rPr>
          <w:color w:val="231F20"/>
          <w:spacing w:val="-1"/>
          <w:sz w:val="16"/>
        </w:rPr>
        <w:t> </w:t>
      </w:r>
      <w:r>
        <w:rPr>
          <w:color w:val="231F20"/>
          <w:spacing w:val="-5"/>
          <w:sz w:val="16"/>
        </w:rPr>
        <w:t>58.</w:t>
      </w:r>
    </w:p>
    <w:p>
      <w:pPr>
        <w:pStyle w:val="ListParagraph"/>
        <w:numPr>
          <w:ilvl w:val="0"/>
          <w:numId w:val="3"/>
        </w:numPr>
        <w:tabs>
          <w:tab w:pos="866" w:val="left" w:leader="none"/>
        </w:tabs>
        <w:spacing w:line="290" w:lineRule="auto" w:before="37" w:after="0"/>
        <w:ind w:left="866" w:right="868" w:hanging="354"/>
        <w:jc w:val="both"/>
        <w:rPr>
          <w:i/>
          <w:sz w:val="16"/>
        </w:rPr>
      </w:pPr>
      <w:r>
        <w:rPr>
          <w:color w:val="231F20"/>
          <w:sz w:val="16"/>
        </w:rPr>
        <w:t>Among many, ECJ 15 Jun. 2023, ECLI:EU:C:2023:478, </w:t>
      </w:r>
      <w:r>
        <w:rPr>
          <w:i/>
          <w:color w:val="231F20"/>
          <w:sz w:val="16"/>
        </w:rPr>
        <w:t>Bank M. </w:t>
      </w:r>
      <w:r>
        <w:rPr>
          <w:color w:val="231F20"/>
          <w:sz w:val="16"/>
        </w:rPr>
        <w:t>(para. 57); ECJ 12 Jan. 2023,</w:t>
      </w:r>
      <w:r>
        <w:rPr>
          <w:color w:val="231F20"/>
          <w:spacing w:val="40"/>
          <w:sz w:val="16"/>
        </w:rPr>
        <w:t> </w:t>
      </w:r>
      <w:r>
        <w:rPr>
          <w:color w:val="231F20"/>
          <w:sz w:val="16"/>
        </w:rPr>
        <w:t>ECLI:EU:C:2023:14,</w:t>
      </w:r>
      <w:r>
        <w:rPr>
          <w:color w:val="231F20"/>
          <w:spacing w:val="15"/>
          <w:sz w:val="16"/>
        </w:rPr>
        <w:t> </w:t>
      </w:r>
      <w:r>
        <w:rPr>
          <w:i/>
          <w:color w:val="231F20"/>
          <w:sz w:val="16"/>
        </w:rPr>
        <w:t>D.</w:t>
      </w:r>
      <w:r>
        <w:rPr>
          <w:color w:val="231F20"/>
          <w:sz w:val="16"/>
        </w:rPr>
        <w:t>V.</w:t>
      </w:r>
      <w:r>
        <w:rPr>
          <w:color w:val="231F20"/>
          <w:spacing w:val="15"/>
          <w:sz w:val="16"/>
        </w:rPr>
        <w:t> </w:t>
      </w:r>
      <w:r>
        <w:rPr>
          <w:color w:val="231F20"/>
          <w:sz w:val="16"/>
        </w:rPr>
        <w:t>v.</w:t>
      </w:r>
      <w:r>
        <w:rPr>
          <w:color w:val="231F20"/>
          <w:spacing w:val="15"/>
          <w:sz w:val="16"/>
        </w:rPr>
        <w:t> </w:t>
      </w:r>
      <w:r>
        <w:rPr>
          <w:i/>
          <w:color w:val="231F20"/>
          <w:sz w:val="16"/>
        </w:rPr>
        <w:t>M.A.</w:t>
      </w:r>
      <w:r>
        <w:rPr>
          <w:i/>
          <w:color w:val="231F20"/>
          <w:spacing w:val="14"/>
          <w:sz w:val="16"/>
        </w:rPr>
        <w:t> </w:t>
      </w:r>
      <w:r>
        <w:rPr>
          <w:color w:val="231F20"/>
          <w:sz w:val="16"/>
        </w:rPr>
        <w:t>(para.</w:t>
      </w:r>
      <w:r>
        <w:rPr>
          <w:color w:val="231F20"/>
          <w:spacing w:val="16"/>
          <w:sz w:val="16"/>
        </w:rPr>
        <w:t> </w:t>
      </w:r>
      <w:r>
        <w:rPr>
          <w:color w:val="231F20"/>
          <w:sz w:val="16"/>
        </w:rPr>
        <w:t>58).</w:t>
      </w:r>
      <w:r>
        <w:rPr>
          <w:color w:val="231F20"/>
          <w:spacing w:val="15"/>
          <w:sz w:val="16"/>
        </w:rPr>
        <w:t> </w:t>
      </w:r>
      <w:r>
        <w:rPr>
          <w:color w:val="231F20"/>
          <w:sz w:val="16"/>
        </w:rPr>
        <w:t>ECJ</w:t>
      </w:r>
      <w:r>
        <w:rPr>
          <w:color w:val="231F20"/>
          <w:spacing w:val="14"/>
          <w:sz w:val="16"/>
        </w:rPr>
        <w:t> </w:t>
      </w:r>
      <w:r>
        <w:rPr>
          <w:color w:val="231F20"/>
          <w:sz w:val="16"/>
        </w:rPr>
        <w:t>16</w:t>
      </w:r>
      <w:r>
        <w:rPr>
          <w:color w:val="231F20"/>
          <w:spacing w:val="16"/>
          <w:sz w:val="16"/>
        </w:rPr>
        <w:t> </w:t>
      </w:r>
      <w:r>
        <w:rPr>
          <w:color w:val="231F20"/>
          <w:sz w:val="16"/>
        </w:rPr>
        <w:t>Jul.</w:t>
      </w:r>
      <w:r>
        <w:rPr>
          <w:color w:val="231F20"/>
          <w:spacing w:val="15"/>
          <w:sz w:val="16"/>
        </w:rPr>
        <w:t> </w:t>
      </w:r>
      <w:r>
        <w:rPr>
          <w:color w:val="231F20"/>
          <w:sz w:val="16"/>
        </w:rPr>
        <w:t>2020,</w:t>
      </w:r>
      <w:r>
        <w:rPr>
          <w:color w:val="231F20"/>
          <w:spacing w:val="15"/>
          <w:sz w:val="16"/>
        </w:rPr>
        <w:t> </w:t>
      </w:r>
      <w:r>
        <w:rPr>
          <w:color w:val="231F20"/>
          <w:sz w:val="16"/>
        </w:rPr>
        <w:t>ECLI:EU:C:2020:578,</w:t>
      </w:r>
      <w:r>
        <w:rPr>
          <w:color w:val="231F20"/>
          <w:spacing w:val="15"/>
          <w:sz w:val="16"/>
        </w:rPr>
        <w:t> </w:t>
      </w:r>
      <w:r>
        <w:rPr>
          <w:i/>
          <w:color w:val="231F20"/>
          <w:sz w:val="16"/>
        </w:rPr>
        <w:t>CY</w:t>
      </w:r>
      <w:r>
        <w:rPr>
          <w:i/>
          <w:color w:val="231F20"/>
          <w:spacing w:val="14"/>
          <w:sz w:val="16"/>
        </w:rPr>
        <w:t> </w:t>
      </w:r>
      <w:r>
        <w:rPr>
          <w:i/>
          <w:color w:val="231F20"/>
          <w:sz w:val="16"/>
        </w:rPr>
        <w:t>and</w:t>
      </w:r>
    </w:p>
    <w:p>
      <w:pPr>
        <w:spacing w:line="285" w:lineRule="auto" w:before="0"/>
        <w:ind w:left="866" w:right="869" w:firstLine="0"/>
        <w:jc w:val="both"/>
        <w:rPr>
          <w:sz w:val="16"/>
        </w:rPr>
      </w:pPr>
      <w:r>
        <w:rPr>
          <w:i/>
          <w:color w:val="231F20"/>
          <w:spacing w:val="-2"/>
          <w:sz w:val="16"/>
        </w:rPr>
        <w:t>Others </w:t>
      </w:r>
      <w:r>
        <w:rPr>
          <w:color w:val="231F20"/>
          <w:spacing w:val="-2"/>
          <w:sz w:val="16"/>
        </w:rPr>
        <w:t>v. </w:t>
      </w:r>
      <w:r>
        <w:rPr>
          <w:i/>
          <w:color w:val="231F20"/>
          <w:spacing w:val="-2"/>
          <w:sz w:val="16"/>
        </w:rPr>
        <w:t>Caixabank SA and Banco Bilbao Vizcaya Argentaria SA</w:t>
      </w:r>
      <w:r>
        <w:rPr>
          <w:color w:val="231F20"/>
          <w:spacing w:val="-2"/>
          <w:sz w:val="16"/>
        </w:rPr>
        <w:t>, curia.europa.eu/juris/liste.jsf?</w:t>
      </w:r>
      <w:r>
        <w:rPr>
          <w:color w:val="231F20"/>
          <w:spacing w:val="40"/>
          <w:sz w:val="16"/>
        </w:rPr>
        <w:t> </w:t>
      </w:r>
      <w:r>
        <w:rPr>
          <w:color w:val="231F20"/>
          <w:sz w:val="16"/>
        </w:rPr>
        <w:t>num=C-224/19 (paras 52</w:t>
      </w:r>
      <w:r>
        <w:rPr>
          <w:rFonts w:ascii="Arial" w:hAnsi="Arial"/>
          <w:color w:val="231F20"/>
          <w:sz w:val="16"/>
        </w:rPr>
        <w:t>–</w:t>
      </w:r>
      <w:r>
        <w:rPr>
          <w:color w:val="231F20"/>
          <w:sz w:val="16"/>
        </w:rPr>
        <w:t>52).</w:t>
      </w:r>
    </w:p>
    <w:p>
      <w:pPr>
        <w:pStyle w:val="ListParagraph"/>
        <w:numPr>
          <w:ilvl w:val="0"/>
          <w:numId w:val="3"/>
        </w:numPr>
        <w:tabs>
          <w:tab w:pos="865" w:val="left" w:leader="none"/>
        </w:tabs>
        <w:spacing w:line="240" w:lineRule="auto" w:before="0" w:after="0"/>
        <w:ind w:left="865" w:right="0" w:hanging="353"/>
        <w:jc w:val="both"/>
        <w:rPr>
          <w:sz w:val="16"/>
        </w:rPr>
      </w:pPr>
      <w:r>
        <w:rPr>
          <w:color w:val="231F20"/>
          <w:sz w:val="16"/>
        </w:rPr>
        <w:t>ECJ 15</w:t>
      </w:r>
      <w:r>
        <w:rPr>
          <w:color w:val="231F20"/>
          <w:spacing w:val="1"/>
          <w:sz w:val="16"/>
        </w:rPr>
        <w:t> </w:t>
      </w:r>
      <w:r>
        <w:rPr>
          <w:color w:val="231F20"/>
          <w:sz w:val="16"/>
        </w:rPr>
        <w:t>Jun.</w:t>
      </w:r>
      <w:r>
        <w:rPr>
          <w:color w:val="231F20"/>
          <w:spacing w:val="1"/>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 para.</w:t>
      </w:r>
      <w:r>
        <w:rPr>
          <w:color w:val="231F20"/>
          <w:spacing w:val="1"/>
          <w:sz w:val="16"/>
        </w:rPr>
        <w:t> </w:t>
      </w:r>
      <w:r>
        <w:rPr>
          <w:color w:val="231F20"/>
          <w:spacing w:val="-5"/>
          <w:sz w:val="16"/>
        </w:rPr>
        <w:t>57.</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w:t>
      </w:r>
      <w:r>
        <w:rPr>
          <w:color w:val="231F20"/>
          <w:spacing w:val="7"/>
          <w:sz w:val="16"/>
        </w:rPr>
        <w:t> </w:t>
      </w:r>
      <w:r>
        <w:rPr>
          <w:color w:val="231F20"/>
          <w:sz w:val="16"/>
        </w:rPr>
        <w:t>29</w:t>
      </w:r>
      <w:r>
        <w:rPr>
          <w:color w:val="231F20"/>
          <w:spacing w:val="7"/>
          <w:sz w:val="16"/>
        </w:rPr>
        <w:t> </w:t>
      </w:r>
      <w:r>
        <w:rPr>
          <w:color w:val="231F20"/>
          <w:sz w:val="16"/>
        </w:rPr>
        <w:t>Apr.</w:t>
      </w:r>
      <w:r>
        <w:rPr>
          <w:color w:val="231F20"/>
          <w:spacing w:val="7"/>
          <w:sz w:val="16"/>
        </w:rPr>
        <w:t> </w:t>
      </w:r>
      <w:r>
        <w:rPr>
          <w:color w:val="231F20"/>
          <w:sz w:val="16"/>
        </w:rPr>
        <w:t>2021,</w:t>
      </w:r>
      <w:r>
        <w:rPr>
          <w:color w:val="231F20"/>
          <w:spacing w:val="7"/>
          <w:sz w:val="16"/>
        </w:rPr>
        <w:t> </w:t>
      </w:r>
      <w:r>
        <w:rPr>
          <w:color w:val="231F20"/>
          <w:sz w:val="16"/>
        </w:rPr>
        <w:t>ECLI:EU:C:2021:341,</w:t>
      </w:r>
      <w:r>
        <w:rPr>
          <w:color w:val="231F20"/>
          <w:spacing w:val="8"/>
          <w:sz w:val="16"/>
        </w:rPr>
        <w:t> </w:t>
      </w:r>
      <w:r>
        <w:rPr>
          <w:i/>
          <w:color w:val="231F20"/>
          <w:sz w:val="16"/>
        </w:rPr>
        <w:t>I.W.</w:t>
      </w:r>
      <w:r>
        <w:rPr>
          <w:i/>
          <w:color w:val="231F20"/>
          <w:spacing w:val="7"/>
          <w:sz w:val="16"/>
        </w:rPr>
        <w:t> </w:t>
      </w:r>
      <w:r>
        <w:rPr>
          <w:i/>
          <w:color w:val="231F20"/>
          <w:sz w:val="16"/>
        </w:rPr>
        <w:t>and</w:t>
      </w:r>
      <w:r>
        <w:rPr>
          <w:i/>
          <w:color w:val="231F20"/>
          <w:spacing w:val="8"/>
          <w:sz w:val="16"/>
        </w:rPr>
        <w:t> </w:t>
      </w:r>
      <w:r>
        <w:rPr>
          <w:i/>
          <w:color w:val="231F20"/>
          <w:sz w:val="16"/>
        </w:rPr>
        <w:t>R.W.</w:t>
      </w:r>
      <w:r>
        <w:rPr>
          <w:i/>
          <w:color w:val="231F20"/>
          <w:spacing w:val="8"/>
          <w:sz w:val="16"/>
        </w:rPr>
        <w:t> </w:t>
      </w:r>
      <w:r>
        <w:rPr>
          <w:color w:val="231F20"/>
          <w:sz w:val="16"/>
        </w:rPr>
        <w:t>v.</w:t>
      </w:r>
      <w:r>
        <w:rPr>
          <w:color w:val="231F20"/>
          <w:spacing w:val="7"/>
          <w:sz w:val="16"/>
        </w:rPr>
        <w:t> </w:t>
      </w:r>
      <w:r>
        <w:rPr>
          <w:i/>
          <w:color w:val="231F20"/>
          <w:sz w:val="16"/>
        </w:rPr>
        <w:t>Bank</w:t>
      </w:r>
      <w:r>
        <w:rPr>
          <w:i/>
          <w:color w:val="231F20"/>
          <w:spacing w:val="8"/>
          <w:sz w:val="16"/>
        </w:rPr>
        <w:t> </w:t>
      </w:r>
      <w:r>
        <w:rPr>
          <w:i/>
          <w:color w:val="231F20"/>
          <w:sz w:val="16"/>
        </w:rPr>
        <w:t>BPH</w:t>
      </w:r>
      <w:r>
        <w:rPr>
          <w:i/>
          <w:color w:val="231F20"/>
          <w:spacing w:val="8"/>
          <w:sz w:val="16"/>
        </w:rPr>
        <w:t> </w:t>
      </w:r>
      <w:r>
        <w:rPr>
          <w:i/>
          <w:color w:val="231F20"/>
          <w:sz w:val="16"/>
        </w:rPr>
        <w:t>S.A.</w:t>
      </w:r>
      <w:r>
        <w:rPr>
          <w:color w:val="231F20"/>
          <w:sz w:val="16"/>
        </w:rPr>
        <w:t>,</w:t>
      </w:r>
      <w:r>
        <w:rPr>
          <w:color w:val="231F20"/>
          <w:spacing w:val="9"/>
          <w:sz w:val="16"/>
        </w:rPr>
        <w:t> </w:t>
      </w:r>
      <w:r>
        <w:rPr>
          <w:color w:val="231F20"/>
          <w:sz w:val="16"/>
        </w:rPr>
        <w:t>para.</w:t>
      </w:r>
      <w:r>
        <w:rPr>
          <w:color w:val="231F20"/>
          <w:spacing w:val="7"/>
          <w:sz w:val="16"/>
        </w:rPr>
        <w:t> </w:t>
      </w:r>
      <w:r>
        <w:rPr>
          <w:color w:val="231F20"/>
          <w:spacing w:val="-5"/>
          <w:sz w:val="16"/>
        </w:rPr>
        <w:t>88.</w:t>
      </w:r>
    </w:p>
    <w:p>
      <w:pPr>
        <w:spacing w:after="0" w:line="240"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Member States the freedom to determine the starting date of invalidity, which opens the gate to </w:t>
      </w:r>
      <w:r>
        <w:rPr>
          <w:i/>
          <w:color w:val="231F20"/>
        </w:rPr>
        <w:t>ex nunc </w:t>
      </w:r>
      <w:r>
        <w:rPr>
          <w:color w:val="231F20"/>
        </w:rPr>
        <w:t>effects. Arguably, this goes against the rule in joined Cases C-154/15 and 307/15, </w:t>
      </w:r>
      <w:r>
        <w:rPr>
          <w:i/>
          <w:color w:val="231F20"/>
        </w:rPr>
        <w:t>Gutiérrez Naranjo</w:t>
      </w:r>
      <w:r>
        <w:rPr>
          <w:color w:val="231F20"/>
        </w:rPr>
        <w:t>, whereby unfair terms are, in principle, deemed never to have existed (</w:t>
      </w:r>
      <w:r>
        <w:rPr>
          <w:i/>
          <w:color w:val="231F20"/>
        </w:rPr>
        <w:t>ex tunc </w:t>
      </w:r>
      <w:r>
        <w:rPr>
          <w:color w:val="231F20"/>
        </w:rPr>
        <w:t>effects).</w:t>
      </w:r>
      <w:r>
        <w:rPr>
          <w:color w:val="231F20"/>
          <w:vertAlign w:val="superscript"/>
        </w:rPr>
        <w:t>65</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In a case note to </w:t>
      </w:r>
      <w:r>
        <w:rPr>
          <w:i/>
          <w:color w:val="231F20"/>
          <w:sz w:val="19"/>
        </w:rPr>
        <w:t>Gutiérrez Naranjo</w:t>
      </w:r>
      <w:r>
        <w:rPr>
          <w:color w:val="231F20"/>
          <w:sz w:val="19"/>
        </w:rPr>
        <w:t>, I suggested that by resorting to the expression </w:t>
      </w:r>
      <w:r>
        <w:rPr>
          <w:rFonts w:ascii="Arial" w:hAnsi="Arial"/>
          <w:color w:val="231F20"/>
          <w:sz w:val="19"/>
        </w:rPr>
        <w:t>‘</w:t>
      </w:r>
      <w:r>
        <w:rPr>
          <w:color w:val="231F20"/>
          <w:sz w:val="19"/>
        </w:rPr>
        <w:t>in principle</w:t>
      </w:r>
      <w:r>
        <w:rPr>
          <w:rFonts w:ascii="Arial" w:hAnsi="Arial"/>
          <w:color w:val="231F20"/>
          <w:sz w:val="19"/>
        </w:rPr>
        <w:t>’</w:t>
      </w:r>
      <w:r>
        <w:rPr>
          <w:color w:val="231F20"/>
          <w:sz w:val="19"/>
        </w:rPr>
        <w:t>, the Court could have already been paving the way to future</w:t>
      </w:r>
      <w:r>
        <w:rPr>
          <w:color w:val="231F20"/>
          <w:spacing w:val="-3"/>
          <w:sz w:val="19"/>
        </w:rPr>
        <w:t> </w:t>
      </w:r>
      <w:r>
        <w:rPr>
          <w:color w:val="231F20"/>
          <w:sz w:val="19"/>
        </w:rPr>
        <w:t>exceptions.</w:t>
      </w:r>
      <w:r>
        <w:rPr>
          <w:color w:val="231F20"/>
          <w:sz w:val="19"/>
          <w:vertAlign w:val="superscript"/>
        </w:rPr>
        <w:t>66</w:t>
      </w:r>
      <w:r>
        <w:rPr>
          <w:color w:val="231F20"/>
          <w:spacing w:val="-3"/>
          <w:sz w:val="19"/>
          <w:vertAlign w:val="baseline"/>
        </w:rPr>
        <w:t> </w:t>
      </w:r>
      <w:r>
        <w:rPr>
          <w:color w:val="231F20"/>
          <w:sz w:val="19"/>
          <w:vertAlign w:val="baseline"/>
        </w:rPr>
        <w:t>The</w:t>
      </w:r>
      <w:r>
        <w:rPr>
          <w:color w:val="231F20"/>
          <w:spacing w:val="-3"/>
          <w:sz w:val="19"/>
          <w:vertAlign w:val="baseline"/>
        </w:rPr>
        <w:t> </w:t>
      </w:r>
      <w:r>
        <w:rPr>
          <w:color w:val="231F20"/>
          <w:sz w:val="19"/>
          <w:vertAlign w:val="baseline"/>
        </w:rPr>
        <w:t>ruling</w:t>
      </w:r>
      <w:r>
        <w:rPr>
          <w:color w:val="231F20"/>
          <w:spacing w:val="-4"/>
          <w:sz w:val="19"/>
          <w:vertAlign w:val="baseline"/>
        </w:rPr>
        <w:t> </w:t>
      </w:r>
      <w:r>
        <w:rPr>
          <w:color w:val="231F20"/>
          <w:sz w:val="19"/>
          <w:vertAlign w:val="baseline"/>
        </w:rPr>
        <w:t>of</w:t>
      </w:r>
      <w:r>
        <w:rPr>
          <w:color w:val="231F20"/>
          <w:spacing w:val="-1"/>
          <w:sz w:val="19"/>
          <w:vertAlign w:val="baseline"/>
        </w:rPr>
        <w:t> </w:t>
      </w:r>
      <w:r>
        <w:rPr>
          <w:color w:val="231F20"/>
          <w:sz w:val="19"/>
          <w:vertAlign w:val="baseline"/>
        </w:rPr>
        <w:t>the</w:t>
      </w:r>
      <w:r>
        <w:rPr>
          <w:color w:val="231F20"/>
          <w:spacing w:val="-3"/>
          <w:sz w:val="19"/>
          <w:vertAlign w:val="baseline"/>
        </w:rPr>
        <w:t> </w:t>
      </w:r>
      <w:r>
        <w:rPr>
          <w:color w:val="231F20"/>
          <w:sz w:val="19"/>
          <w:vertAlign w:val="baseline"/>
        </w:rPr>
        <w:t>Court</w:t>
      </w:r>
      <w:r>
        <w:rPr>
          <w:color w:val="231F20"/>
          <w:spacing w:val="-3"/>
          <w:sz w:val="19"/>
          <w:vertAlign w:val="baseline"/>
        </w:rPr>
        <w:t> </w:t>
      </w:r>
      <w:r>
        <w:rPr>
          <w:color w:val="231F20"/>
          <w:sz w:val="19"/>
          <w:vertAlign w:val="baseline"/>
        </w:rPr>
        <w:t>in</w:t>
      </w:r>
      <w:r>
        <w:rPr>
          <w:color w:val="231F20"/>
          <w:spacing w:val="-4"/>
          <w:sz w:val="19"/>
          <w:vertAlign w:val="baseline"/>
        </w:rPr>
        <w:t> </w:t>
      </w:r>
      <w:r>
        <w:rPr>
          <w:color w:val="231F20"/>
          <w:sz w:val="19"/>
          <w:vertAlign w:val="baseline"/>
        </w:rPr>
        <w:t>Case</w:t>
      </w:r>
      <w:r>
        <w:rPr>
          <w:color w:val="231F20"/>
          <w:spacing w:val="-3"/>
          <w:sz w:val="19"/>
          <w:vertAlign w:val="baseline"/>
        </w:rPr>
        <w:t> </w:t>
      </w:r>
      <w:r>
        <w:rPr>
          <w:color w:val="231F20"/>
          <w:sz w:val="19"/>
          <w:vertAlign w:val="baseline"/>
        </w:rPr>
        <w:t>C-19/20,</w:t>
      </w:r>
      <w:r>
        <w:rPr>
          <w:color w:val="231F20"/>
          <w:spacing w:val="-4"/>
          <w:sz w:val="19"/>
          <w:vertAlign w:val="baseline"/>
        </w:rPr>
        <w:t> </w:t>
      </w:r>
      <w:r>
        <w:rPr>
          <w:i/>
          <w:color w:val="231F20"/>
          <w:sz w:val="19"/>
          <w:vertAlign w:val="baseline"/>
        </w:rPr>
        <w:t>Bank</w:t>
      </w:r>
      <w:r>
        <w:rPr>
          <w:i/>
          <w:color w:val="231F20"/>
          <w:spacing w:val="-4"/>
          <w:sz w:val="19"/>
          <w:vertAlign w:val="baseline"/>
        </w:rPr>
        <w:t> </w:t>
      </w:r>
      <w:r>
        <w:rPr>
          <w:i/>
          <w:color w:val="231F20"/>
          <w:sz w:val="19"/>
          <w:vertAlign w:val="baseline"/>
        </w:rPr>
        <w:t>BPH</w:t>
      </w:r>
      <w:r>
        <w:rPr>
          <w:color w:val="231F20"/>
          <w:sz w:val="19"/>
          <w:vertAlign w:val="baseline"/>
        </w:rPr>
        <w:t>,</w:t>
      </w:r>
      <w:r>
        <w:rPr>
          <w:color w:val="231F20"/>
          <w:spacing w:val="-4"/>
          <w:sz w:val="19"/>
          <w:vertAlign w:val="baseline"/>
        </w:rPr>
        <w:t> </w:t>
      </w:r>
      <w:r>
        <w:rPr>
          <w:color w:val="231F20"/>
          <w:sz w:val="19"/>
          <w:vertAlign w:val="baseline"/>
        </w:rPr>
        <w:t>seems</w:t>
      </w:r>
      <w:r>
        <w:rPr>
          <w:color w:val="231F20"/>
          <w:spacing w:val="-3"/>
          <w:sz w:val="19"/>
          <w:vertAlign w:val="baseline"/>
        </w:rPr>
        <w:t> </w:t>
      </w:r>
      <w:r>
        <w:rPr>
          <w:color w:val="231F20"/>
          <w:sz w:val="19"/>
          <w:vertAlign w:val="baseline"/>
        </w:rPr>
        <w:t>to confirm</w:t>
      </w:r>
      <w:r>
        <w:rPr>
          <w:color w:val="231F20"/>
          <w:spacing w:val="-5"/>
          <w:sz w:val="19"/>
          <w:vertAlign w:val="baseline"/>
        </w:rPr>
        <w:t> </w:t>
      </w:r>
      <w:r>
        <w:rPr>
          <w:color w:val="231F20"/>
          <w:sz w:val="19"/>
          <w:vertAlign w:val="baseline"/>
        </w:rPr>
        <w:t>this.</w:t>
      </w:r>
      <w:r>
        <w:rPr>
          <w:color w:val="231F20"/>
          <w:spacing w:val="-5"/>
          <w:sz w:val="19"/>
          <w:vertAlign w:val="baseline"/>
        </w:rPr>
        <w:t> </w:t>
      </w:r>
      <w:r>
        <w:rPr>
          <w:color w:val="231F20"/>
          <w:sz w:val="19"/>
          <w:vertAlign w:val="baseline"/>
        </w:rPr>
        <w:t>It</w:t>
      </w:r>
      <w:r>
        <w:rPr>
          <w:color w:val="231F20"/>
          <w:spacing w:val="-5"/>
          <w:sz w:val="19"/>
          <w:vertAlign w:val="baseline"/>
        </w:rPr>
        <w:t> </w:t>
      </w:r>
      <w:r>
        <w:rPr>
          <w:color w:val="231F20"/>
          <w:sz w:val="19"/>
          <w:vertAlign w:val="baseline"/>
        </w:rPr>
        <w:t>reinforced</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procedural</w:t>
      </w:r>
      <w:r>
        <w:rPr>
          <w:color w:val="231F20"/>
          <w:spacing w:val="-6"/>
          <w:sz w:val="19"/>
          <w:vertAlign w:val="baseline"/>
        </w:rPr>
        <w:t> </w:t>
      </w:r>
      <w:r>
        <w:rPr>
          <w:color w:val="231F20"/>
          <w:sz w:val="19"/>
          <w:vertAlign w:val="baseline"/>
        </w:rPr>
        <w:t>autonomy</w:t>
      </w:r>
      <w:r>
        <w:rPr>
          <w:color w:val="231F20"/>
          <w:spacing w:val="-6"/>
          <w:sz w:val="19"/>
          <w:vertAlign w:val="baseline"/>
        </w:rPr>
        <w:t> </w:t>
      </w:r>
      <w:r>
        <w:rPr>
          <w:color w:val="231F20"/>
          <w:sz w:val="19"/>
          <w:vertAlign w:val="baseline"/>
        </w:rPr>
        <w:t>of</w:t>
      </w:r>
      <w:r>
        <w:rPr>
          <w:color w:val="231F20"/>
          <w:spacing w:val="-6"/>
          <w:sz w:val="19"/>
          <w:vertAlign w:val="baseline"/>
        </w:rPr>
        <w:t> </w:t>
      </w:r>
      <w:r>
        <w:rPr>
          <w:color w:val="231F20"/>
          <w:sz w:val="19"/>
          <w:vertAlign w:val="baseline"/>
        </w:rPr>
        <w:t>Member</w:t>
      </w:r>
      <w:r>
        <w:rPr>
          <w:color w:val="231F20"/>
          <w:spacing w:val="-5"/>
          <w:sz w:val="19"/>
          <w:vertAlign w:val="baseline"/>
        </w:rPr>
        <w:t> </w:t>
      </w:r>
      <w:r>
        <w:rPr>
          <w:color w:val="231F20"/>
          <w:sz w:val="19"/>
          <w:vertAlign w:val="baseline"/>
        </w:rPr>
        <w:t>States</w:t>
      </w:r>
      <w:r>
        <w:rPr>
          <w:color w:val="231F20"/>
          <w:spacing w:val="-6"/>
          <w:sz w:val="19"/>
          <w:vertAlign w:val="baseline"/>
        </w:rPr>
        <w:t> </w:t>
      </w:r>
      <w:r>
        <w:rPr>
          <w:color w:val="231F20"/>
          <w:sz w:val="19"/>
          <w:vertAlign w:val="baseline"/>
        </w:rPr>
        <w:t>against</w:t>
      </w:r>
      <w:r>
        <w:rPr>
          <w:color w:val="231F20"/>
          <w:spacing w:val="-5"/>
          <w:sz w:val="19"/>
          <w:vertAlign w:val="baseline"/>
        </w:rPr>
        <w:t> </w:t>
      </w:r>
      <w:r>
        <w:rPr>
          <w:color w:val="231F20"/>
          <w:sz w:val="19"/>
          <w:vertAlign w:val="baseline"/>
        </w:rPr>
        <w:t>the Union interpretation of retroactivity as a key feature of Article 6(1) UCTD. It remains to be seen whether this judgment is isolated or whether it has more profound consequences.</w:t>
      </w:r>
    </w:p>
    <w:p>
      <w:pPr>
        <w:pStyle w:val="ListParagraph"/>
        <w:numPr>
          <w:ilvl w:val="0"/>
          <w:numId w:val="4"/>
        </w:numPr>
        <w:tabs>
          <w:tab w:pos="1324" w:val="left" w:leader="none"/>
        </w:tabs>
        <w:spacing w:line="288" w:lineRule="auto" w:before="115" w:after="0"/>
        <w:ind w:left="871" w:right="869" w:firstLine="0"/>
        <w:jc w:val="both"/>
        <w:rPr>
          <w:sz w:val="19"/>
        </w:rPr>
      </w:pPr>
      <w:r>
        <w:rPr>
          <w:color w:val="231F20"/>
          <w:spacing w:val="-2"/>
          <w:sz w:val="19"/>
        </w:rPr>
        <w:t>Lastly,</w:t>
      </w:r>
      <w:r>
        <w:rPr>
          <w:color w:val="231F20"/>
          <w:spacing w:val="-5"/>
          <w:sz w:val="19"/>
        </w:rPr>
        <w:t> </w:t>
      </w:r>
      <w:r>
        <w:rPr>
          <w:color w:val="231F20"/>
          <w:spacing w:val="-2"/>
          <w:sz w:val="19"/>
        </w:rPr>
        <w:t>and</w:t>
      </w:r>
      <w:r>
        <w:rPr>
          <w:color w:val="231F20"/>
          <w:spacing w:val="-6"/>
          <w:sz w:val="19"/>
        </w:rPr>
        <w:t> </w:t>
      </w:r>
      <w:r>
        <w:rPr>
          <w:color w:val="231F20"/>
          <w:spacing w:val="-2"/>
          <w:sz w:val="19"/>
        </w:rPr>
        <w:t>on</w:t>
      </w:r>
      <w:r>
        <w:rPr>
          <w:color w:val="231F20"/>
          <w:spacing w:val="-5"/>
          <w:sz w:val="19"/>
        </w:rPr>
        <w:t> </w:t>
      </w:r>
      <w:r>
        <w:rPr>
          <w:color w:val="231F20"/>
          <w:spacing w:val="-2"/>
          <w:sz w:val="19"/>
        </w:rPr>
        <w:t>a</w:t>
      </w:r>
      <w:r>
        <w:rPr>
          <w:color w:val="231F20"/>
          <w:spacing w:val="-4"/>
          <w:sz w:val="19"/>
        </w:rPr>
        <w:t> </w:t>
      </w:r>
      <w:r>
        <w:rPr>
          <w:color w:val="231F20"/>
          <w:spacing w:val="-2"/>
          <w:sz w:val="19"/>
        </w:rPr>
        <w:t>different</w:t>
      </w:r>
      <w:r>
        <w:rPr>
          <w:color w:val="231F20"/>
          <w:spacing w:val="-4"/>
          <w:sz w:val="19"/>
        </w:rPr>
        <w:t> </w:t>
      </w:r>
      <w:r>
        <w:rPr>
          <w:color w:val="231F20"/>
          <w:spacing w:val="-2"/>
          <w:sz w:val="19"/>
        </w:rPr>
        <w:t>note,</w:t>
      </w:r>
      <w:r>
        <w:rPr>
          <w:color w:val="231F20"/>
          <w:spacing w:val="-6"/>
          <w:sz w:val="19"/>
        </w:rPr>
        <w:t> </w:t>
      </w:r>
      <w:r>
        <w:rPr>
          <w:color w:val="231F20"/>
          <w:spacing w:val="-2"/>
          <w:sz w:val="19"/>
        </w:rPr>
        <w:t>it</w:t>
      </w:r>
      <w:r>
        <w:rPr>
          <w:color w:val="231F20"/>
          <w:spacing w:val="-5"/>
          <w:sz w:val="19"/>
        </w:rPr>
        <w:t> </w:t>
      </w:r>
      <w:r>
        <w:rPr>
          <w:color w:val="231F20"/>
          <w:spacing w:val="-2"/>
          <w:sz w:val="19"/>
        </w:rPr>
        <w:t>must</w:t>
      </w:r>
      <w:r>
        <w:rPr>
          <w:color w:val="231F20"/>
          <w:spacing w:val="-5"/>
          <w:sz w:val="19"/>
        </w:rPr>
        <w:t> </w:t>
      </w:r>
      <w:r>
        <w:rPr>
          <w:color w:val="231F20"/>
          <w:spacing w:val="-2"/>
          <w:sz w:val="19"/>
        </w:rPr>
        <w:t>be</w:t>
      </w:r>
      <w:r>
        <w:rPr>
          <w:color w:val="231F20"/>
          <w:spacing w:val="-5"/>
          <w:sz w:val="19"/>
        </w:rPr>
        <w:t> </w:t>
      </w:r>
      <w:r>
        <w:rPr>
          <w:color w:val="231F20"/>
          <w:spacing w:val="-2"/>
          <w:sz w:val="19"/>
        </w:rPr>
        <w:t>recalled</w:t>
      </w:r>
      <w:r>
        <w:rPr>
          <w:color w:val="231F20"/>
          <w:spacing w:val="-2"/>
          <w:sz w:val="19"/>
          <w:vertAlign w:val="superscript"/>
        </w:rPr>
        <w:t>67</w:t>
      </w:r>
      <w:r>
        <w:rPr>
          <w:color w:val="231F20"/>
          <w:spacing w:val="-4"/>
          <w:sz w:val="19"/>
          <w:vertAlign w:val="baseline"/>
        </w:rPr>
        <w:t> </w:t>
      </w:r>
      <w:r>
        <w:rPr>
          <w:color w:val="231F20"/>
          <w:spacing w:val="-2"/>
          <w:sz w:val="19"/>
          <w:vertAlign w:val="baseline"/>
        </w:rPr>
        <w:t>that</w:t>
      </w:r>
      <w:r>
        <w:rPr>
          <w:color w:val="231F20"/>
          <w:spacing w:val="-5"/>
          <w:sz w:val="19"/>
          <w:vertAlign w:val="baseline"/>
        </w:rPr>
        <w:t> </w:t>
      </w:r>
      <w:r>
        <w:rPr>
          <w:color w:val="231F20"/>
          <w:spacing w:val="-2"/>
          <w:sz w:val="19"/>
          <w:vertAlign w:val="baseline"/>
        </w:rPr>
        <w:t>the</w:t>
      </w:r>
      <w:r>
        <w:rPr>
          <w:color w:val="231F20"/>
          <w:spacing w:val="-5"/>
          <w:sz w:val="19"/>
          <w:vertAlign w:val="baseline"/>
        </w:rPr>
        <w:t> </w:t>
      </w:r>
      <w:r>
        <w:rPr>
          <w:color w:val="231F20"/>
          <w:spacing w:val="-2"/>
          <w:sz w:val="19"/>
          <w:vertAlign w:val="baseline"/>
        </w:rPr>
        <w:t>ECJ</w:t>
      </w:r>
      <w:r>
        <w:rPr>
          <w:color w:val="231F20"/>
          <w:spacing w:val="-5"/>
          <w:sz w:val="19"/>
          <w:vertAlign w:val="baseline"/>
        </w:rPr>
        <w:t> </w:t>
      </w:r>
      <w:r>
        <w:rPr>
          <w:color w:val="231F20"/>
          <w:spacing w:val="-2"/>
          <w:sz w:val="19"/>
          <w:vertAlign w:val="baseline"/>
        </w:rPr>
        <w:t>declared</w:t>
      </w:r>
      <w:r>
        <w:rPr>
          <w:color w:val="231F20"/>
          <w:spacing w:val="-5"/>
          <w:sz w:val="19"/>
          <w:vertAlign w:val="baseline"/>
        </w:rPr>
        <w:t> </w:t>
      </w:r>
      <w:r>
        <w:rPr>
          <w:color w:val="231F20"/>
          <w:spacing w:val="-2"/>
          <w:sz w:val="19"/>
          <w:vertAlign w:val="baseline"/>
        </w:rPr>
        <w:t>that </w:t>
      </w:r>
      <w:r>
        <w:rPr>
          <w:color w:val="231F20"/>
          <w:sz w:val="19"/>
          <w:vertAlign w:val="baseline"/>
        </w:rPr>
        <w:t>the protection granted to consumers under Article 6(1) UCTD can be set aside. If the</w:t>
      </w:r>
      <w:r>
        <w:rPr>
          <w:color w:val="231F20"/>
          <w:spacing w:val="-8"/>
          <w:sz w:val="19"/>
          <w:vertAlign w:val="baseline"/>
        </w:rPr>
        <w:t> </w:t>
      </w:r>
      <w:r>
        <w:rPr>
          <w:color w:val="231F20"/>
          <w:sz w:val="19"/>
          <w:vertAlign w:val="baseline"/>
        </w:rPr>
        <w:t>court</w:t>
      </w:r>
      <w:r>
        <w:rPr>
          <w:color w:val="231F20"/>
          <w:spacing w:val="-8"/>
          <w:sz w:val="19"/>
          <w:vertAlign w:val="baseline"/>
        </w:rPr>
        <w:t> </w:t>
      </w:r>
      <w:r>
        <w:rPr>
          <w:color w:val="231F20"/>
          <w:sz w:val="19"/>
          <w:vertAlign w:val="baseline"/>
        </w:rPr>
        <w:t>were</w:t>
      </w:r>
      <w:r>
        <w:rPr>
          <w:color w:val="231F20"/>
          <w:spacing w:val="-8"/>
          <w:sz w:val="19"/>
          <w:vertAlign w:val="baseline"/>
        </w:rPr>
        <w:t> </w:t>
      </w:r>
      <w:r>
        <w:rPr>
          <w:color w:val="231F20"/>
          <w:sz w:val="19"/>
          <w:vertAlign w:val="baseline"/>
        </w:rPr>
        <w:t>to</w:t>
      </w:r>
      <w:r>
        <w:rPr>
          <w:color w:val="231F20"/>
          <w:spacing w:val="-8"/>
          <w:sz w:val="19"/>
          <w:vertAlign w:val="baseline"/>
        </w:rPr>
        <w:t> </w:t>
      </w:r>
      <w:r>
        <w:rPr>
          <w:color w:val="231F20"/>
          <w:sz w:val="19"/>
          <w:vertAlign w:val="baseline"/>
        </w:rPr>
        <w:t>find,</w:t>
      </w:r>
      <w:r>
        <w:rPr>
          <w:color w:val="231F20"/>
          <w:spacing w:val="-8"/>
          <w:sz w:val="19"/>
          <w:vertAlign w:val="baseline"/>
        </w:rPr>
        <w:t> </w:t>
      </w:r>
      <w:r>
        <w:rPr>
          <w:color w:val="231F20"/>
          <w:sz w:val="19"/>
          <w:vertAlign w:val="baseline"/>
        </w:rPr>
        <w:t>of</w:t>
      </w:r>
      <w:r>
        <w:rPr>
          <w:color w:val="231F20"/>
          <w:spacing w:val="-4"/>
          <w:sz w:val="19"/>
          <w:vertAlign w:val="baseline"/>
        </w:rPr>
        <w:t> </w:t>
      </w:r>
      <w:r>
        <w:rPr>
          <w:color w:val="231F20"/>
          <w:sz w:val="19"/>
          <w:vertAlign w:val="baseline"/>
        </w:rPr>
        <w:t>its</w:t>
      </w:r>
      <w:r>
        <w:rPr>
          <w:color w:val="231F20"/>
          <w:spacing w:val="-9"/>
          <w:sz w:val="19"/>
          <w:vertAlign w:val="baseline"/>
        </w:rPr>
        <w:t> </w:t>
      </w:r>
      <w:r>
        <w:rPr>
          <w:color w:val="231F20"/>
          <w:sz w:val="19"/>
          <w:vertAlign w:val="baseline"/>
        </w:rPr>
        <w:t>own</w:t>
      </w:r>
      <w:r>
        <w:rPr>
          <w:color w:val="231F20"/>
          <w:spacing w:val="-10"/>
          <w:sz w:val="19"/>
          <w:vertAlign w:val="baseline"/>
        </w:rPr>
        <w:t> </w:t>
      </w:r>
      <w:r>
        <w:rPr>
          <w:color w:val="231F20"/>
          <w:sz w:val="19"/>
          <w:vertAlign w:val="baseline"/>
        </w:rPr>
        <w:t>motion,</w:t>
      </w:r>
      <w:r>
        <w:rPr>
          <w:color w:val="231F20"/>
          <w:spacing w:val="-8"/>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a</w:t>
      </w:r>
      <w:r>
        <w:rPr>
          <w:color w:val="231F20"/>
          <w:spacing w:val="-8"/>
          <w:sz w:val="19"/>
          <w:vertAlign w:val="baseline"/>
        </w:rPr>
        <w:t> </w:t>
      </w:r>
      <w:r>
        <w:rPr>
          <w:color w:val="231F20"/>
          <w:sz w:val="19"/>
          <w:vertAlign w:val="baseline"/>
        </w:rPr>
        <w:t>term</w:t>
      </w:r>
      <w:r>
        <w:rPr>
          <w:color w:val="231F20"/>
          <w:spacing w:val="-9"/>
          <w:sz w:val="19"/>
          <w:vertAlign w:val="baseline"/>
        </w:rPr>
        <w:t> </w:t>
      </w:r>
      <w:r>
        <w:rPr>
          <w:color w:val="231F20"/>
          <w:sz w:val="19"/>
          <w:vertAlign w:val="baseline"/>
        </w:rPr>
        <w:t>is</w:t>
      </w:r>
      <w:r>
        <w:rPr>
          <w:color w:val="231F20"/>
          <w:spacing w:val="-8"/>
          <w:sz w:val="19"/>
          <w:vertAlign w:val="baseline"/>
        </w:rPr>
        <w:t> </w:t>
      </w:r>
      <w:r>
        <w:rPr>
          <w:color w:val="231F20"/>
          <w:sz w:val="19"/>
          <w:vertAlign w:val="baseline"/>
        </w:rPr>
        <w:t>unfair,</w:t>
      </w:r>
      <w:r>
        <w:rPr>
          <w:color w:val="231F20"/>
          <w:spacing w:val="-9"/>
          <w:sz w:val="19"/>
          <w:vertAlign w:val="baseline"/>
        </w:rPr>
        <w:t> </w:t>
      </w:r>
      <w:r>
        <w:rPr>
          <w:color w:val="231F20"/>
          <w:sz w:val="19"/>
          <w:vertAlign w:val="baseline"/>
        </w:rPr>
        <w:t>it</w:t>
      </w:r>
      <w:r>
        <w:rPr>
          <w:color w:val="231F20"/>
          <w:spacing w:val="-8"/>
          <w:sz w:val="19"/>
          <w:vertAlign w:val="baseline"/>
        </w:rPr>
        <w:t> </w:t>
      </w:r>
      <w:r>
        <w:rPr>
          <w:color w:val="231F20"/>
          <w:sz w:val="19"/>
          <w:vertAlign w:val="baseline"/>
        </w:rPr>
        <w:t>should</w:t>
      </w:r>
      <w:r>
        <w:rPr>
          <w:color w:val="231F20"/>
          <w:spacing w:val="-8"/>
          <w:sz w:val="19"/>
          <w:vertAlign w:val="baseline"/>
        </w:rPr>
        <w:t> </w:t>
      </w:r>
      <w:r>
        <w:rPr>
          <w:color w:val="231F20"/>
          <w:sz w:val="19"/>
          <w:vertAlign w:val="baseline"/>
        </w:rPr>
        <w:t>inform</w:t>
      </w:r>
      <w:r>
        <w:rPr>
          <w:color w:val="231F20"/>
          <w:spacing w:val="-10"/>
          <w:sz w:val="19"/>
          <w:vertAlign w:val="baseline"/>
        </w:rPr>
        <w:t> </w:t>
      </w:r>
      <w:r>
        <w:rPr>
          <w:color w:val="231F20"/>
          <w:sz w:val="19"/>
          <w:vertAlign w:val="baseline"/>
        </w:rPr>
        <w:t>the parties and invite them to submit and contradict their respective views.</w:t>
      </w:r>
      <w:r>
        <w:rPr>
          <w:color w:val="231F20"/>
          <w:sz w:val="19"/>
          <w:vertAlign w:val="superscript"/>
        </w:rPr>
        <w:t>68</w:t>
      </w:r>
      <w:r>
        <w:rPr>
          <w:color w:val="231F20"/>
          <w:sz w:val="19"/>
          <w:vertAlign w:val="baseline"/>
        </w:rPr>
        <w:t> The consumer can decide to waive the protection granted by the UCTD by expressing free and informed consent.</w:t>
      </w:r>
      <w:r>
        <w:rPr>
          <w:color w:val="231F20"/>
          <w:sz w:val="19"/>
          <w:vertAlign w:val="superscript"/>
        </w:rPr>
        <w:t>69</w:t>
      </w:r>
      <w:r>
        <w:rPr>
          <w:color w:val="231F20"/>
          <w:sz w:val="19"/>
          <w:vertAlign w:val="baseline"/>
        </w:rPr>
        <w:t> To this end, the court must inform the parties </w:t>
      </w:r>
      <w:r>
        <w:rPr>
          <w:rFonts w:ascii="Arial" w:hAnsi="Arial"/>
          <w:color w:val="231F20"/>
          <w:sz w:val="19"/>
          <w:vertAlign w:val="baseline"/>
        </w:rPr>
        <w:t>‘</w:t>
      </w:r>
      <w:r>
        <w:rPr>
          <w:color w:val="231F20"/>
          <w:sz w:val="19"/>
          <w:vertAlign w:val="baseline"/>
        </w:rPr>
        <w:t>objectively and exhaustively</w:t>
      </w:r>
      <w:r>
        <w:rPr>
          <w:rFonts w:ascii="Arial" w:hAnsi="Arial"/>
          <w:color w:val="231F20"/>
          <w:sz w:val="19"/>
          <w:vertAlign w:val="baseline"/>
        </w:rPr>
        <w:t>’ </w:t>
      </w:r>
      <w:r>
        <w:rPr>
          <w:color w:val="231F20"/>
          <w:sz w:val="19"/>
          <w:vertAlign w:val="baseline"/>
        </w:rPr>
        <w:t>about the legal consequences that the removal of the</w:t>
      </w:r>
      <w:r>
        <w:rPr>
          <w:color w:val="231F20"/>
          <w:spacing w:val="-1"/>
          <w:sz w:val="19"/>
          <w:vertAlign w:val="baseline"/>
        </w:rPr>
        <w:t> </w:t>
      </w:r>
      <w:r>
        <w:rPr>
          <w:color w:val="231F20"/>
          <w:sz w:val="19"/>
          <w:vertAlign w:val="baseline"/>
        </w:rPr>
        <w:t>term may</w:t>
      </w:r>
      <w:r>
        <w:rPr>
          <w:color w:val="231F20"/>
          <w:spacing w:val="-1"/>
          <w:sz w:val="19"/>
          <w:vertAlign w:val="baseline"/>
        </w:rPr>
        <w:t> </w:t>
      </w:r>
      <w:r>
        <w:rPr>
          <w:color w:val="231F20"/>
          <w:sz w:val="19"/>
          <w:vertAlign w:val="baseline"/>
        </w:rPr>
        <w:t>entail.</w:t>
      </w:r>
      <w:r>
        <w:rPr>
          <w:color w:val="231F20"/>
          <w:sz w:val="19"/>
          <w:vertAlign w:val="superscript"/>
        </w:rPr>
        <w:t>70</w:t>
      </w:r>
      <w:r>
        <w:rPr>
          <w:color w:val="231F20"/>
          <w:sz w:val="19"/>
          <w:vertAlign w:val="baseline"/>
        </w:rPr>
        <w:t> It could be questioned whether national courts can foresee the extent of such consequences.</w:t>
      </w:r>
    </w:p>
    <w:p>
      <w:pPr>
        <w:pStyle w:val="ListParagraph"/>
        <w:numPr>
          <w:ilvl w:val="0"/>
          <w:numId w:val="4"/>
        </w:numPr>
        <w:tabs>
          <w:tab w:pos="1324" w:val="left" w:leader="none"/>
        </w:tabs>
        <w:spacing w:line="288" w:lineRule="auto" w:before="114" w:after="0"/>
        <w:ind w:left="871" w:right="867" w:firstLine="0"/>
        <w:jc w:val="both"/>
        <w:rPr>
          <w:sz w:val="19"/>
        </w:rPr>
      </w:pPr>
      <w:r>
        <w:rPr>
          <w:color w:val="231F20"/>
          <w:sz w:val="19"/>
        </w:rPr>
        <w:t>In the same vein, the consumer can waive the effects that would</w:t>
      </w:r>
      <w:r>
        <w:rPr>
          <w:color w:val="231F20"/>
          <w:spacing w:val="-1"/>
          <w:sz w:val="19"/>
        </w:rPr>
        <w:t> </w:t>
      </w:r>
      <w:r>
        <w:rPr>
          <w:color w:val="231F20"/>
          <w:sz w:val="19"/>
        </w:rPr>
        <w:t>result</w:t>
      </w:r>
      <w:r>
        <w:rPr>
          <w:color w:val="231F20"/>
          <w:spacing w:val="-1"/>
          <w:sz w:val="19"/>
        </w:rPr>
        <w:t> </w:t>
      </w:r>
      <w:r>
        <w:rPr>
          <w:color w:val="231F20"/>
          <w:sz w:val="19"/>
        </w:rPr>
        <w:t>from an</w:t>
      </w:r>
      <w:r>
        <w:rPr>
          <w:color w:val="231F20"/>
          <w:spacing w:val="-8"/>
          <w:sz w:val="19"/>
        </w:rPr>
        <w:t> </w:t>
      </w:r>
      <w:r>
        <w:rPr>
          <w:color w:val="231F20"/>
          <w:sz w:val="19"/>
        </w:rPr>
        <w:t>unfair</w:t>
      </w:r>
      <w:r>
        <w:rPr>
          <w:color w:val="231F20"/>
          <w:spacing w:val="-8"/>
          <w:sz w:val="19"/>
        </w:rPr>
        <w:t> </w:t>
      </w:r>
      <w:r>
        <w:rPr>
          <w:color w:val="231F20"/>
          <w:sz w:val="19"/>
        </w:rPr>
        <w:t>term</w:t>
      </w:r>
      <w:r>
        <w:rPr>
          <w:color w:val="231F20"/>
          <w:spacing w:val="-8"/>
          <w:sz w:val="19"/>
        </w:rPr>
        <w:t> </w:t>
      </w:r>
      <w:r>
        <w:rPr>
          <w:color w:val="231F20"/>
          <w:sz w:val="19"/>
        </w:rPr>
        <w:t>through</w:t>
      </w:r>
      <w:r>
        <w:rPr>
          <w:color w:val="231F20"/>
          <w:spacing w:val="-8"/>
          <w:sz w:val="19"/>
        </w:rPr>
        <w:t> </w:t>
      </w:r>
      <w:r>
        <w:rPr>
          <w:color w:val="231F20"/>
          <w:sz w:val="19"/>
        </w:rPr>
        <w:t>a</w:t>
      </w:r>
      <w:r>
        <w:rPr>
          <w:color w:val="231F20"/>
          <w:spacing w:val="-8"/>
          <w:sz w:val="19"/>
        </w:rPr>
        <w:t> </w:t>
      </w:r>
      <w:r>
        <w:rPr>
          <w:color w:val="231F20"/>
          <w:sz w:val="19"/>
        </w:rPr>
        <w:t>settlement</w:t>
      </w:r>
      <w:r>
        <w:rPr>
          <w:color w:val="231F20"/>
          <w:spacing w:val="-5"/>
          <w:sz w:val="19"/>
        </w:rPr>
        <w:t> </w:t>
      </w:r>
      <w:r>
        <w:rPr>
          <w:color w:val="231F20"/>
          <w:sz w:val="19"/>
        </w:rPr>
        <w:t>agreement</w:t>
      </w:r>
      <w:r>
        <w:rPr>
          <w:color w:val="231F20"/>
          <w:spacing w:val="-8"/>
          <w:sz w:val="19"/>
        </w:rPr>
        <w:t> </w:t>
      </w:r>
      <w:r>
        <w:rPr>
          <w:color w:val="231F20"/>
          <w:sz w:val="19"/>
        </w:rPr>
        <w:t>with</w:t>
      </w:r>
      <w:r>
        <w:rPr>
          <w:color w:val="231F20"/>
          <w:spacing w:val="-8"/>
          <w:sz w:val="19"/>
        </w:rPr>
        <w:t> </w:t>
      </w:r>
      <w:r>
        <w:rPr>
          <w:color w:val="231F20"/>
          <w:sz w:val="19"/>
        </w:rPr>
        <w:t>the</w:t>
      </w:r>
      <w:r>
        <w:rPr>
          <w:color w:val="231F20"/>
          <w:spacing w:val="-8"/>
          <w:sz w:val="19"/>
        </w:rPr>
        <w:t> </w:t>
      </w:r>
      <w:r>
        <w:rPr>
          <w:color w:val="231F20"/>
          <w:sz w:val="19"/>
        </w:rPr>
        <w:t>business,</w:t>
      </w:r>
      <w:r>
        <w:rPr>
          <w:color w:val="231F20"/>
          <w:spacing w:val="-8"/>
          <w:sz w:val="19"/>
        </w:rPr>
        <w:t> </w:t>
      </w:r>
      <w:r>
        <w:rPr>
          <w:color w:val="231F20"/>
          <w:sz w:val="19"/>
        </w:rPr>
        <w:t>or</w:t>
      </w:r>
      <w:r>
        <w:rPr>
          <w:color w:val="231F20"/>
          <w:spacing w:val="-8"/>
          <w:sz w:val="19"/>
        </w:rPr>
        <w:t> </w:t>
      </w:r>
      <w:r>
        <w:rPr>
          <w:color w:val="231F20"/>
          <w:sz w:val="19"/>
        </w:rPr>
        <w:t>by</w:t>
      </w:r>
      <w:r>
        <w:rPr>
          <w:color w:val="231F20"/>
          <w:spacing w:val="-8"/>
          <w:sz w:val="19"/>
        </w:rPr>
        <w:t> </w:t>
      </w:r>
      <w:r>
        <w:rPr>
          <w:color w:val="231F20"/>
          <w:sz w:val="19"/>
        </w:rPr>
        <w:t>amending the contract. For the waiver to be valid, it should result from free and </w:t>
      </w:r>
      <w:r>
        <w:rPr>
          <w:color w:val="231F20"/>
          <w:sz w:val="19"/>
        </w:rPr>
        <w:t>informed consent. The consumer should be aware of the non-binding consequences of the unfair term. Compliant with these conditions, the consumer can oppose the dis- application</w:t>
      </w:r>
      <w:r>
        <w:rPr>
          <w:color w:val="231F20"/>
          <w:spacing w:val="-3"/>
          <w:sz w:val="19"/>
        </w:rPr>
        <w:t> </w:t>
      </w:r>
      <w:r>
        <w:rPr>
          <w:color w:val="231F20"/>
          <w:sz w:val="19"/>
        </w:rPr>
        <w:t>of the</w:t>
      </w:r>
      <w:r>
        <w:rPr>
          <w:color w:val="231F20"/>
          <w:spacing w:val="-3"/>
          <w:sz w:val="19"/>
        </w:rPr>
        <w:t> </w:t>
      </w:r>
      <w:r>
        <w:rPr>
          <w:color w:val="231F20"/>
          <w:sz w:val="19"/>
        </w:rPr>
        <w:t>term</w:t>
      </w:r>
      <w:r>
        <w:rPr>
          <w:color w:val="231F20"/>
          <w:spacing w:val="-2"/>
          <w:sz w:val="19"/>
        </w:rPr>
        <w:t> </w:t>
      </w:r>
      <w:r>
        <w:rPr>
          <w:color w:val="231F20"/>
          <w:sz w:val="19"/>
        </w:rPr>
        <w:t>and</w:t>
      </w:r>
      <w:r>
        <w:rPr>
          <w:color w:val="231F20"/>
          <w:spacing w:val="-3"/>
          <w:sz w:val="19"/>
        </w:rPr>
        <w:t> </w:t>
      </w:r>
      <w:r>
        <w:rPr>
          <w:color w:val="231F20"/>
          <w:sz w:val="19"/>
        </w:rPr>
        <w:t>opt</w:t>
      </w:r>
      <w:r>
        <w:rPr>
          <w:color w:val="231F20"/>
          <w:spacing w:val="-2"/>
          <w:sz w:val="19"/>
        </w:rPr>
        <w:t> </w:t>
      </w:r>
      <w:r>
        <w:rPr>
          <w:color w:val="231F20"/>
          <w:sz w:val="19"/>
        </w:rPr>
        <w:t>not</w:t>
      </w:r>
      <w:r>
        <w:rPr>
          <w:color w:val="231F20"/>
          <w:spacing w:val="-3"/>
          <w:sz w:val="19"/>
        </w:rPr>
        <w:t> </w:t>
      </w:r>
      <w:r>
        <w:rPr>
          <w:color w:val="231F20"/>
          <w:sz w:val="19"/>
        </w:rPr>
        <w:t>to</w:t>
      </w:r>
      <w:r>
        <w:rPr>
          <w:color w:val="231F20"/>
          <w:spacing w:val="-3"/>
          <w:sz w:val="19"/>
        </w:rPr>
        <w:t> </w:t>
      </w:r>
      <w:r>
        <w:rPr>
          <w:color w:val="231F20"/>
          <w:sz w:val="19"/>
        </w:rPr>
        <w:t>benefit</w:t>
      </w:r>
      <w:r>
        <w:rPr>
          <w:color w:val="231F20"/>
          <w:spacing w:val="-2"/>
          <w:sz w:val="19"/>
        </w:rPr>
        <w:t> </w:t>
      </w:r>
      <w:r>
        <w:rPr>
          <w:color w:val="231F20"/>
          <w:sz w:val="19"/>
        </w:rPr>
        <w:t>from</w:t>
      </w:r>
      <w:r>
        <w:rPr>
          <w:color w:val="231F20"/>
          <w:spacing w:val="-3"/>
          <w:sz w:val="19"/>
        </w:rPr>
        <w:t> </w:t>
      </w:r>
      <w:r>
        <w:rPr>
          <w:color w:val="231F20"/>
          <w:sz w:val="19"/>
        </w:rPr>
        <w:t>the</w:t>
      </w:r>
      <w:r>
        <w:rPr>
          <w:color w:val="231F20"/>
          <w:spacing w:val="-2"/>
          <w:sz w:val="19"/>
        </w:rPr>
        <w:t> </w:t>
      </w:r>
      <w:r>
        <w:rPr>
          <w:color w:val="231F20"/>
          <w:sz w:val="19"/>
        </w:rPr>
        <w:t>effects</w:t>
      </w:r>
      <w:r>
        <w:rPr>
          <w:color w:val="231F20"/>
          <w:spacing w:val="-2"/>
          <w:sz w:val="19"/>
        </w:rPr>
        <w:t> </w:t>
      </w:r>
      <w:r>
        <w:rPr>
          <w:color w:val="231F20"/>
          <w:sz w:val="19"/>
        </w:rPr>
        <w:t>that</w:t>
      </w:r>
      <w:r>
        <w:rPr>
          <w:color w:val="231F20"/>
          <w:spacing w:val="-3"/>
          <w:sz w:val="19"/>
        </w:rPr>
        <w:t> </w:t>
      </w:r>
      <w:r>
        <w:rPr>
          <w:color w:val="231F20"/>
          <w:sz w:val="19"/>
        </w:rPr>
        <w:t>would</w:t>
      </w:r>
      <w:r>
        <w:rPr>
          <w:color w:val="231F20"/>
          <w:spacing w:val="-3"/>
          <w:sz w:val="19"/>
        </w:rPr>
        <w:t> </w:t>
      </w:r>
      <w:r>
        <w:rPr>
          <w:color w:val="231F20"/>
          <w:sz w:val="19"/>
        </w:rPr>
        <w:t>follow.</w:t>
      </w:r>
      <w:r>
        <w:rPr>
          <w:color w:val="231F20"/>
          <w:sz w:val="19"/>
          <w:vertAlign w:val="superscript"/>
        </w:rPr>
        <w:t>71</w:t>
      </w:r>
      <w:r>
        <w:rPr>
          <w:color w:val="231F20"/>
          <w:sz w:val="19"/>
          <w:vertAlign w:val="baseline"/>
        </w:rPr>
        <w:t> This is consistent with the special mandatory nature of Article 6(1) UCTD.</w:t>
      </w:r>
      <w:r>
        <w:rPr>
          <w:color w:val="231F20"/>
          <w:sz w:val="19"/>
          <w:vertAlign w:val="superscript"/>
        </w:rPr>
        <w:t>72</w:t>
      </w:r>
    </w:p>
    <w:p>
      <w:pPr>
        <w:pStyle w:val="BodyText"/>
        <w:rPr>
          <w:sz w:val="20"/>
        </w:rPr>
      </w:pPr>
    </w:p>
    <w:p>
      <w:pPr>
        <w:pStyle w:val="BodyText"/>
        <w:rPr>
          <w:sz w:val="20"/>
        </w:rPr>
      </w:pPr>
    </w:p>
    <w:p>
      <w:pPr>
        <w:pStyle w:val="BodyText"/>
        <w:spacing w:before="17"/>
        <w:rPr>
          <w:sz w:val="20"/>
        </w:rPr>
      </w:pPr>
      <w:r>
        <w:rPr/>
        <mc:AlternateContent>
          <mc:Choice Requires="wps">
            <w:drawing>
              <wp:anchor distT="0" distB="0" distL="0" distR="0" allowOverlap="1" layoutInCell="1" locked="0" behindDoc="1" simplePos="0" relativeHeight="487595008">
                <wp:simplePos x="0" y="0"/>
                <wp:positionH relativeFrom="page">
                  <wp:posOffset>1979993</wp:posOffset>
                </wp:positionH>
                <wp:positionV relativeFrom="paragraph">
                  <wp:posOffset>170780</wp:posOffset>
                </wp:positionV>
                <wp:extent cx="1656080" cy="4445"/>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3.447245pt;width:130.394pt;height:.34015pt;mso-position-horizontal-relative:page;mso-position-vertical-relative:paragraph;z-index:-15721472;mso-wrap-distance-left:0;mso-wrap-distance-right:0" id="docshape17"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w:t>
      </w:r>
      <w:r>
        <w:rPr>
          <w:color w:val="231F20"/>
          <w:spacing w:val="-6"/>
          <w:sz w:val="16"/>
        </w:rPr>
        <w:t> </w:t>
      </w:r>
      <w:r>
        <w:rPr>
          <w:color w:val="231F20"/>
          <w:sz w:val="16"/>
        </w:rPr>
        <w:t>21</w:t>
      </w:r>
      <w:r>
        <w:rPr>
          <w:color w:val="231F20"/>
          <w:spacing w:val="-6"/>
          <w:sz w:val="16"/>
        </w:rPr>
        <w:t> </w:t>
      </w:r>
      <w:r>
        <w:rPr>
          <w:color w:val="231F20"/>
          <w:sz w:val="16"/>
        </w:rPr>
        <w:t>Dec.</w:t>
      </w:r>
      <w:r>
        <w:rPr>
          <w:color w:val="231F20"/>
          <w:spacing w:val="-7"/>
          <w:sz w:val="16"/>
        </w:rPr>
        <w:t> </w:t>
      </w:r>
      <w:r>
        <w:rPr>
          <w:color w:val="231F20"/>
          <w:sz w:val="16"/>
        </w:rPr>
        <w:t>2016,</w:t>
      </w:r>
      <w:r>
        <w:rPr>
          <w:color w:val="231F20"/>
          <w:spacing w:val="-6"/>
          <w:sz w:val="16"/>
        </w:rPr>
        <w:t> </w:t>
      </w:r>
      <w:r>
        <w:rPr>
          <w:color w:val="231F20"/>
          <w:sz w:val="16"/>
        </w:rPr>
        <w:t>ECLI:EU:C:2016:980</w:t>
      </w:r>
      <w:r>
        <w:rPr>
          <w:i/>
          <w:color w:val="231F20"/>
          <w:sz w:val="16"/>
        </w:rPr>
        <w:t>,</w:t>
      </w:r>
      <w:r>
        <w:rPr>
          <w:i/>
          <w:color w:val="231F20"/>
          <w:spacing w:val="-6"/>
          <w:sz w:val="16"/>
        </w:rPr>
        <w:t> </w:t>
      </w:r>
      <w:r>
        <w:rPr>
          <w:i/>
          <w:color w:val="231F20"/>
          <w:sz w:val="16"/>
        </w:rPr>
        <w:t>Gutiérrez</w:t>
      </w:r>
      <w:r>
        <w:rPr>
          <w:i/>
          <w:color w:val="231F20"/>
          <w:spacing w:val="-6"/>
          <w:sz w:val="16"/>
        </w:rPr>
        <w:t> </w:t>
      </w:r>
      <w:r>
        <w:rPr>
          <w:i/>
          <w:color w:val="231F20"/>
          <w:sz w:val="16"/>
        </w:rPr>
        <w:t>Naranjo</w:t>
      </w:r>
      <w:r>
        <w:rPr>
          <w:color w:val="231F20"/>
          <w:sz w:val="16"/>
        </w:rPr>
        <w:t>,</w:t>
      </w:r>
      <w:r>
        <w:rPr>
          <w:color w:val="231F20"/>
          <w:spacing w:val="-6"/>
          <w:sz w:val="16"/>
        </w:rPr>
        <w:t> </w:t>
      </w:r>
      <w:r>
        <w:rPr>
          <w:color w:val="231F20"/>
          <w:sz w:val="16"/>
        </w:rPr>
        <w:t>para.</w:t>
      </w:r>
      <w:r>
        <w:rPr>
          <w:color w:val="231F20"/>
          <w:spacing w:val="-6"/>
          <w:sz w:val="16"/>
        </w:rPr>
        <w:t> </w:t>
      </w:r>
      <w:r>
        <w:rPr>
          <w:color w:val="231F20"/>
          <w:sz w:val="16"/>
        </w:rPr>
        <w:t>61.</w:t>
      </w:r>
      <w:r>
        <w:rPr>
          <w:color w:val="231F20"/>
          <w:spacing w:val="-5"/>
          <w:sz w:val="16"/>
        </w:rPr>
        <w:t> </w:t>
      </w:r>
      <w:r>
        <w:rPr>
          <w:color w:val="231F20"/>
          <w:sz w:val="16"/>
        </w:rPr>
        <w:t>ECJ</w:t>
      </w:r>
      <w:r>
        <w:rPr>
          <w:color w:val="231F20"/>
          <w:spacing w:val="-6"/>
          <w:sz w:val="16"/>
        </w:rPr>
        <w:t> </w:t>
      </w:r>
      <w:r>
        <w:rPr>
          <w:color w:val="231F20"/>
          <w:sz w:val="16"/>
        </w:rPr>
        <w:t>9</w:t>
      </w:r>
      <w:r>
        <w:rPr>
          <w:color w:val="231F20"/>
          <w:spacing w:val="-5"/>
          <w:sz w:val="16"/>
        </w:rPr>
        <w:t> </w:t>
      </w:r>
      <w:r>
        <w:rPr>
          <w:color w:val="231F20"/>
          <w:sz w:val="16"/>
        </w:rPr>
        <w:t>Jul.</w:t>
      </w:r>
      <w:r>
        <w:rPr>
          <w:color w:val="231F20"/>
          <w:spacing w:val="-6"/>
          <w:sz w:val="16"/>
        </w:rPr>
        <w:t> </w:t>
      </w:r>
      <w:r>
        <w:rPr>
          <w:color w:val="231F20"/>
          <w:sz w:val="16"/>
        </w:rPr>
        <w:t>2020,</w:t>
      </w:r>
      <w:r>
        <w:rPr>
          <w:color w:val="231F20"/>
          <w:spacing w:val="-6"/>
          <w:sz w:val="16"/>
        </w:rPr>
        <w:t> </w:t>
      </w:r>
      <w:r>
        <w:rPr>
          <w:color w:val="231F20"/>
          <w:spacing w:val="-2"/>
          <w:sz w:val="16"/>
        </w:rPr>
        <w:t>ECLI:EU:</w:t>
      </w:r>
    </w:p>
    <w:p>
      <w:pPr>
        <w:spacing w:line="290" w:lineRule="auto" w:before="37"/>
        <w:ind w:left="866" w:right="660" w:firstLine="0"/>
        <w:jc w:val="left"/>
        <w:rPr>
          <w:sz w:val="16"/>
        </w:rPr>
      </w:pPr>
      <w:r>
        <w:rPr>
          <w:color w:val="231F20"/>
          <w:sz w:val="16"/>
        </w:rPr>
        <w:t>C:2020:536,</w:t>
      </w:r>
      <w:r>
        <w:rPr>
          <w:color w:val="231F20"/>
          <w:spacing w:val="4"/>
          <w:sz w:val="16"/>
        </w:rPr>
        <w:t> </w:t>
      </w:r>
      <w:r>
        <w:rPr>
          <w:i/>
          <w:color w:val="231F20"/>
          <w:sz w:val="16"/>
        </w:rPr>
        <w:t>XZ</w:t>
      </w:r>
      <w:r>
        <w:rPr>
          <w:i/>
          <w:color w:val="231F20"/>
          <w:spacing w:val="4"/>
          <w:sz w:val="16"/>
        </w:rPr>
        <w:t> </w:t>
      </w:r>
      <w:r>
        <w:rPr>
          <w:color w:val="231F20"/>
          <w:sz w:val="16"/>
        </w:rPr>
        <w:t>v.</w:t>
      </w:r>
      <w:r>
        <w:rPr>
          <w:color w:val="231F20"/>
          <w:spacing w:val="4"/>
          <w:sz w:val="16"/>
        </w:rPr>
        <w:t> </w:t>
      </w:r>
      <w:r>
        <w:rPr>
          <w:i/>
          <w:color w:val="231F20"/>
          <w:sz w:val="16"/>
        </w:rPr>
        <w:t>Ibercaja</w:t>
      </w:r>
      <w:r>
        <w:rPr>
          <w:i/>
          <w:color w:val="231F20"/>
          <w:spacing w:val="6"/>
          <w:sz w:val="16"/>
        </w:rPr>
        <w:t> </w:t>
      </w:r>
      <w:r>
        <w:rPr>
          <w:i/>
          <w:color w:val="231F20"/>
          <w:sz w:val="16"/>
        </w:rPr>
        <w:t>Banco,</w:t>
      </w:r>
      <w:r>
        <w:rPr>
          <w:i/>
          <w:color w:val="231F20"/>
          <w:spacing w:val="5"/>
          <w:sz w:val="16"/>
        </w:rPr>
        <w:t> </w:t>
      </w:r>
      <w:r>
        <w:rPr>
          <w:i/>
          <w:color w:val="231F20"/>
          <w:sz w:val="16"/>
        </w:rPr>
        <w:t>SA</w:t>
      </w:r>
      <w:r>
        <w:rPr>
          <w:color w:val="231F20"/>
          <w:sz w:val="16"/>
        </w:rPr>
        <w:t>,</w:t>
      </w:r>
      <w:r>
        <w:rPr>
          <w:color w:val="231F20"/>
          <w:spacing w:val="5"/>
          <w:sz w:val="16"/>
        </w:rPr>
        <w:t> </w:t>
      </w:r>
      <w:r>
        <w:rPr>
          <w:color w:val="231F20"/>
          <w:sz w:val="16"/>
        </w:rPr>
        <w:t>curia.europa.eu/juris/liste.jsf?num=C-452/18,</w:t>
      </w:r>
      <w:r>
        <w:rPr>
          <w:color w:val="231F20"/>
          <w:spacing w:val="5"/>
          <w:sz w:val="16"/>
        </w:rPr>
        <w:t> </w:t>
      </w:r>
      <w:r>
        <w:rPr>
          <w:color w:val="231F20"/>
          <w:sz w:val="16"/>
        </w:rPr>
        <w:t>para.</w:t>
      </w:r>
      <w:r>
        <w:rPr>
          <w:color w:val="231F20"/>
          <w:spacing w:val="5"/>
          <w:sz w:val="16"/>
        </w:rPr>
        <w:t> </w:t>
      </w:r>
      <w:r>
        <w:rPr>
          <w:color w:val="231F20"/>
          <w:sz w:val="16"/>
        </w:rPr>
        <w:t>23;</w:t>
      </w:r>
      <w:r>
        <w:rPr>
          <w:color w:val="231F20"/>
          <w:spacing w:val="40"/>
          <w:sz w:val="16"/>
        </w:rPr>
        <w:t> </w:t>
      </w:r>
      <w:r>
        <w:rPr>
          <w:color w:val="231F20"/>
          <w:sz w:val="16"/>
        </w:rPr>
        <w:t>ECJ 29 Apr. 2021, ECLI:EU:C:2021:341, </w:t>
      </w:r>
      <w:r>
        <w:rPr>
          <w:i/>
          <w:color w:val="231F20"/>
          <w:sz w:val="16"/>
        </w:rPr>
        <w:t>I.W. and R.W. </w:t>
      </w:r>
      <w:r>
        <w:rPr>
          <w:color w:val="231F20"/>
          <w:sz w:val="16"/>
        </w:rPr>
        <w:t>v. </w:t>
      </w:r>
      <w:r>
        <w:rPr>
          <w:i/>
          <w:color w:val="231F20"/>
          <w:sz w:val="16"/>
        </w:rPr>
        <w:t>Bank BPH S.A.</w:t>
      </w:r>
      <w:r>
        <w:rPr>
          <w:color w:val="231F20"/>
          <w:sz w:val="16"/>
        </w:rPr>
        <w:t>, para. 43.</w:t>
      </w:r>
    </w:p>
    <w:p>
      <w:pPr>
        <w:pStyle w:val="ListParagraph"/>
        <w:numPr>
          <w:ilvl w:val="0"/>
          <w:numId w:val="3"/>
        </w:numPr>
        <w:tabs>
          <w:tab w:pos="865" w:val="left" w:leader="none"/>
        </w:tabs>
        <w:spacing w:line="181" w:lineRule="exact" w:before="0" w:after="0"/>
        <w:ind w:left="865" w:right="0" w:hanging="353"/>
        <w:jc w:val="left"/>
        <w:rPr>
          <w:sz w:val="16"/>
        </w:rPr>
      </w:pPr>
      <w:r>
        <w:rPr>
          <w:color w:val="231F20"/>
          <w:sz w:val="16"/>
        </w:rPr>
        <w:t>C.</w:t>
      </w:r>
      <w:r>
        <w:rPr>
          <w:color w:val="231F20"/>
          <w:spacing w:val="11"/>
          <w:sz w:val="16"/>
        </w:rPr>
        <w:t> </w:t>
      </w:r>
      <w:r>
        <w:rPr>
          <w:color w:val="231F20"/>
          <w:sz w:val="16"/>
        </w:rPr>
        <w:t>L</w:t>
      </w:r>
      <w:r>
        <w:rPr>
          <w:color w:val="231F20"/>
          <w:sz w:val="11"/>
        </w:rPr>
        <w:t>ESKINEN</w:t>
      </w:r>
      <w:r>
        <w:rPr>
          <w:color w:val="231F20"/>
          <w:spacing w:val="24"/>
          <w:sz w:val="11"/>
        </w:rPr>
        <w:t> </w:t>
      </w:r>
      <w:r>
        <w:rPr>
          <w:color w:val="231F20"/>
          <w:sz w:val="16"/>
        </w:rPr>
        <w:t>&amp;</w:t>
      </w:r>
      <w:r>
        <w:rPr>
          <w:color w:val="231F20"/>
          <w:spacing w:val="13"/>
          <w:sz w:val="16"/>
        </w:rPr>
        <w:t> </w:t>
      </w:r>
      <w:r>
        <w:rPr>
          <w:color w:val="231F20"/>
          <w:sz w:val="16"/>
        </w:rPr>
        <w:t>F.</w:t>
      </w:r>
      <w:r>
        <w:rPr>
          <w:color w:val="231F20"/>
          <w:spacing w:val="12"/>
          <w:sz w:val="16"/>
        </w:rPr>
        <w:t> </w:t>
      </w:r>
      <w:r>
        <w:rPr>
          <w:color w:val="231F20"/>
          <w:sz w:val="11"/>
        </w:rPr>
        <w:t>DE</w:t>
      </w:r>
      <w:r>
        <w:rPr>
          <w:color w:val="231F20"/>
          <w:spacing w:val="24"/>
          <w:sz w:val="11"/>
        </w:rPr>
        <w:t> </w:t>
      </w:r>
      <w:r>
        <w:rPr>
          <w:color w:val="231F20"/>
          <w:sz w:val="16"/>
        </w:rPr>
        <w:t>E</w:t>
      </w:r>
      <w:r>
        <w:rPr>
          <w:color w:val="231F20"/>
          <w:sz w:val="11"/>
        </w:rPr>
        <w:t>LIZALDE</w:t>
      </w:r>
      <w:r>
        <w:rPr>
          <w:color w:val="231F20"/>
          <w:sz w:val="16"/>
        </w:rPr>
        <w:t>,</w:t>
      </w:r>
      <w:r>
        <w:rPr>
          <w:color w:val="231F20"/>
          <w:spacing w:val="12"/>
          <w:sz w:val="16"/>
        </w:rPr>
        <w:t> </w:t>
      </w:r>
      <w:r>
        <w:rPr>
          <w:rFonts w:ascii="Arial" w:hAnsi="Arial"/>
          <w:color w:val="231F20"/>
          <w:sz w:val="16"/>
        </w:rPr>
        <w:t>‘</w:t>
      </w:r>
      <w:r>
        <w:rPr>
          <w:color w:val="231F20"/>
          <w:sz w:val="16"/>
        </w:rPr>
        <w:t>The</w:t>
      </w:r>
      <w:r>
        <w:rPr>
          <w:color w:val="231F20"/>
          <w:spacing w:val="13"/>
          <w:sz w:val="16"/>
        </w:rPr>
        <w:t> </w:t>
      </w:r>
      <w:r>
        <w:rPr>
          <w:color w:val="231F20"/>
          <w:sz w:val="16"/>
        </w:rPr>
        <w:t>control</w:t>
      </w:r>
      <w:r>
        <w:rPr>
          <w:color w:val="231F20"/>
          <w:spacing w:val="13"/>
          <w:sz w:val="16"/>
        </w:rPr>
        <w:t> </w:t>
      </w:r>
      <w:r>
        <w:rPr>
          <w:color w:val="231F20"/>
          <w:sz w:val="16"/>
        </w:rPr>
        <w:t>of</w:t>
      </w:r>
      <w:r>
        <w:rPr>
          <w:color w:val="231F20"/>
          <w:spacing w:val="15"/>
          <w:sz w:val="16"/>
        </w:rPr>
        <w:t> </w:t>
      </w:r>
      <w:r>
        <w:rPr>
          <w:color w:val="231F20"/>
          <w:sz w:val="16"/>
        </w:rPr>
        <w:t>terms</w:t>
      </w:r>
      <w:r>
        <w:rPr>
          <w:rFonts w:ascii="Arial" w:hAnsi="Arial"/>
          <w:color w:val="231F20"/>
          <w:sz w:val="16"/>
        </w:rPr>
        <w:t>’</w:t>
      </w:r>
      <w:r>
        <w:rPr>
          <w:color w:val="231F20"/>
          <w:sz w:val="16"/>
        </w:rPr>
        <w:t>,</w:t>
      </w:r>
      <w:r>
        <w:rPr>
          <w:color w:val="231F20"/>
          <w:spacing w:val="12"/>
          <w:sz w:val="16"/>
        </w:rPr>
        <w:t> </w:t>
      </w:r>
      <w:r>
        <w:rPr>
          <w:color w:val="231F20"/>
          <w:sz w:val="16"/>
        </w:rPr>
        <w:t>p</w:t>
      </w:r>
      <w:r>
        <w:rPr>
          <w:color w:val="231F20"/>
          <w:spacing w:val="12"/>
          <w:sz w:val="16"/>
        </w:rPr>
        <w:t> </w:t>
      </w:r>
      <w:r>
        <w:rPr>
          <w:color w:val="231F20"/>
          <w:spacing w:val="-2"/>
          <w:sz w:val="16"/>
        </w:rPr>
        <w:t>1609.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12"/>
          <w:sz w:val="16"/>
        </w:rPr>
        <w:t> </w:t>
      </w:r>
      <w:r>
        <w:rPr>
          <w:color w:val="231F20"/>
          <w:sz w:val="16"/>
        </w:rPr>
        <w:t>s.</w:t>
      </w:r>
      <w:r>
        <w:rPr>
          <w:color w:val="231F20"/>
          <w:spacing w:val="11"/>
          <w:sz w:val="16"/>
        </w:rPr>
        <w:t> </w:t>
      </w:r>
      <w:r>
        <w:rPr>
          <w:color w:val="231F20"/>
          <w:sz w:val="16"/>
        </w:rPr>
        <w:t>2,</w:t>
      </w:r>
      <w:r>
        <w:rPr>
          <w:color w:val="231F20"/>
          <w:spacing w:val="12"/>
          <w:sz w:val="16"/>
        </w:rPr>
        <w:t> </w:t>
      </w:r>
      <w:r>
        <w:rPr>
          <w:color w:val="231F20"/>
          <w:spacing w:val="-2"/>
          <w:sz w:val="16"/>
        </w:rPr>
        <w:t>above.</w:t>
      </w:r>
    </w:p>
    <w:p>
      <w:pPr>
        <w:pStyle w:val="ListParagraph"/>
        <w:numPr>
          <w:ilvl w:val="0"/>
          <w:numId w:val="3"/>
        </w:numPr>
        <w:tabs>
          <w:tab w:pos="865" w:val="left" w:leader="none"/>
        </w:tabs>
        <w:spacing w:line="240" w:lineRule="auto" w:before="36" w:after="0"/>
        <w:ind w:left="865" w:right="0" w:hanging="353"/>
        <w:jc w:val="left"/>
        <w:rPr>
          <w:sz w:val="16"/>
        </w:rPr>
      </w:pPr>
      <w:r>
        <w:rPr>
          <w:color w:val="231F20"/>
          <w:sz w:val="16"/>
        </w:rPr>
        <w:t>ECJ</w:t>
      </w:r>
      <w:r>
        <w:rPr>
          <w:color w:val="231F20"/>
          <w:spacing w:val="3"/>
          <w:sz w:val="16"/>
        </w:rPr>
        <w:t> </w:t>
      </w:r>
      <w:r>
        <w:rPr>
          <w:color w:val="231F20"/>
          <w:sz w:val="16"/>
        </w:rPr>
        <w:t>21</w:t>
      </w:r>
      <w:r>
        <w:rPr>
          <w:color w:val="231F20"/>
          <w:spacing w:val="4"/>
          <w:sz w:val="16"/>
        </w:rPr>
        <w:t> </w:t>
      </w:r>
      <w:r>
        <w:rPr>
          <w:color w:val="231F20"/>
          <w:sz w:val="16"/>
        </w:rPr>
        <w:t>Feb.</w:t>
      </w:r>
      <w:r>
        <w:rPr>
          <w:color w:val="231F20"/>
          <w:spacing w:val="4"/>
          <w:sz w:val="16"/>
        </w:rPr>
        <w:t> </w:t>
      </w:r>
      <w:r>
        <w:rPr>
          <w:color w:val="231F20"/>
          <w:sz w:val="16"/>
        </w:rPr>
        <w:t>2013,</w:t>
      </w:r>
      <w:r>
        <w:rPr>
          <w:color w:val="231F20"/>
          <w:spacing w:val="4"/>
          <w:sz w:val="16"/>
        </w:rPr>
        <w:t> </w:t>
      </w:r>
      <w:r>
        <w:rPr>
          <w:color w:val="231F20"/>
          <w:sz w:val="16"/>
        </w:rPr>
        <w:t>ECLI:EU:C:2013:88,</w:t>
      </w:r>
      <w:r>
        <w:rPr>
          <w:color w:val="231F20"/>
          <w:spacing w:val="4"/>
          <w:sz w:val="16"/>
        </w:rPr>
        <w:t> </w:t>
      </w:r>
      <w:r>
        <w:rPr>
          <w:i/>
          <w:color w:val="231F20"/>
          <w:sz w:val="16"/>
        </w:rPr>
        <w:t>Banif</w:t>
      </w:r>
      <w:r>
        <w:rPr>
          <w:i/>
          <w:color w:val="231F20"/>
          <w:spacing w:val="4"/>
          <w:sz w:val="16"/>
        </w:rPr>
        <w:t> </w:t>
      </w:r>
      <w:r>
        <w:rPr>
          <w:i/>
          <w:color w:val="231F20"/>
          <w:sz w:val="16"/>
        </w:rPr>
        <w:t>Plus</w:t>
      </w:r>
      <w:r>
        <w:rPr>
          <w:color w:val="231F20"/>
          <w:sz w:val="16"/>
        </w:rPr>
        <w:t>,</w:t>
      </w:r>
      <w:r>
        <w:rPr>
          <w:color w:val="231F20"/>
          <w:spacing w:val="4"/>
          <w:sz w:val="16"/>
        </w:rPr>
        <w:t> </w:t>
      </w:r>
      <w:r>
        <w:rPr>
          <w:color w:val="231F20"/>
          <w:sz w:val="16"/>
        </w:rPr>
        <w:t>para.</w:t>
      </w:r>
      <w:r>
        <w:rPr>
          <w:color w:val="231F20"/>
          <w:spacing w:val="4"/>
          <w:sz w:val="16"/>
        </w:rPr>
        <w:t> </w:t>
      </w:r>
      <w:r>
        <w:rPr>
          <w:color w:val="231F20"/>
          <w:spacing w:val="-5"/>
          <w:sz w:val="16"/>
        </w:rPr>
        <w:t>31.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8"/>
          <w:sz w:val="16"/>
        </w:rPr>
        <w:t> </w:t>
      </w:r>
      <w:r>
        <w:rPr>
          <w:color w:val="231F20"/>
          <w:sz w:val="16"/>
        </w:rPr>
        <w:t>4</w:t>
      </w:r>
      <w:r>
        <w:rPr>
          <w:color w:val="231F20"/>
          <w:spacing w:val="10"/>
          <w:sz w:val="16"/>
        </w:rPr>
        <w:t> </w:t>
      </w:r>
      <w:r>
        <w:rPr>
          <w:color w:val="231F20"/>
          <w:sz w:val="16"/>
        </w:rPr>
        <w:t>Jun.</w:t>
      </w:r>
      <w:r>
        <w:rPr>
          <w:color w:val="231F20"/>
          <w:spacing w:val="10"/>
          <w:sz w:val="16"/>
        </w:rPr>
        <w:t> </w:t>
      </w:r>
      <w:r>
        <w:rPr>
          <w:color w:val="231F20"/>
          <w:sz w:val="16"/>
        </w:rPr>
        <w:t>2009,</w:t>
      </w:r>
      <w:r>
        <w:rPr>
          <w:color w:val="231F20"/>
          <w:spacing w:val="8"/>
          <w:sz w:val="16"/>
        </w:rPr>
        <w:t> </w:t>
      </w:r>
      <w:r>
        <w:rPr>
          <w:color w:val="231F20"/>
          <w:sz w:val="16"/>
        </w:rPr>
        <w:t>ECLI:C:2009:350,</w:t>
      </w:r>
      <w:r>
        <w:rPr>
          <w:color w:val="231F20"/>
          <w:spacing w:val="9"/>
          <w:sz w:val="16"/>
        </w:rPr>
        <w:t> </w:t>
      </w:r>
      <w:r>
        <w:rPr>
          <w:i/>
          <w:color w:val="231F20"/>
          <w:sz w:val="16"/>
        </w:rPr>
        <w:t>Pannon</w:t>
      </w:r>
      <w:r>
        <w:rPr>
          <w:color w:val="231F20"/>
          <w:sz w:val="16"/>
        </w:rPr>
        <w:t>,</w:t>
      </w:r>
      <w:r>
        <w:rPr>
          <w:color w:val="231F20"/>
          <w:spacing w:val="10"/>
          <w:sz w:val="16"/>
        </w:rPr>
        <w:t> </w:t>
      </w:r>
      <w:r>
        <w:rPr>
          <w:color w:val="231F20"/>
          <w:sz w:val="16"/>
        </w:rPr>
        <w:t>para.</w:t>
      </w:r>
      <w:r>
        <w:rPr>
          <w:color w:val="231F20"/>
          <w:spacing w:val="9"/>
          <w:sz w:val="16"/>
        </w:rPr>
        <w:t> </w:t>
      </w:r>
      <w:r>
        <w:rPr>
          <w:color w:val="231F20"/>
          <w:sz w:val="16"/>
        </w:rPr>
        <w:t>33.</w:t>
      </w:r>
      <w:r>
        <w:rPr>
          <w:color w:val="231F20"/>
          <w:spacing w:val="9"/>
          <w:sz w:val="16"/>
        </w:rPr>
        <w:t> </w:t>
      </w:r>
      <w:r>
        <w:rPr>
          <w:color w:val="231F20"/>
          <w:sz w:val="16"/>
        </w:rPr>
        <w:t>ECJ</w:t>
      </w:r>
      <w:r>
        <w:rPr>
          <w:color w:val="231F20"/>
          <w:spacing w:val="10"/>
          <w:sz w:val="16"/>
        </w:rPr>
        <w:t> </w:t>
      </w:r>
      <w:r>
        <w:rPr>
          <w:color w:val="231F20"/>
          <w:sz w:val="16"/>
        </w:rPr>
        <w:t>21</w:t>
      </w:r>
      <w:r>
        <w:rPr>
          <w:color w:val="231F20"/>
          <w:spacing w:val="9"/>
          <w:sz w:val="16"/>
        </w:rPr>
        <w:t> </w:t>
      </w:r>
      <w:r>
        <w:rPr>
          <w:color w:val="231F20"/>
          <w:sz w:val="16"/>
        </w:rPr>
        <w:t>Feb.</w:t>
      </w:r>
      <w:r>
        <w:rPr>
          <w:color w:val="231F20"/>
          <w:spacing w:val="9"/>
          <w:sz w:val="16"/>
        </w:rPr>
        <w:t> </w:t>
      </w:r>
      <w:r>
        <w:rPr>
          <w:color w:val="231F20"/>
          <w:sz w:val="16"/>
        </w:rPr>
        <w:t>2013,</w:t>
      </w:r>
      <w:r>
        <w:rPr>
          <w:color w:val="231F20"/>
          <w:spacing w:val="9"/>
          <w:sz w:val="16"/>
        </w:rPr>
        <w:t> </w:t>
      </w:r>
      <w:r>
        <w:rPr>
          <w:color w:val="231F20"/>
          <w:spacing w:val="-2"/>
          <w:sz w:val="16"/>
        </w:rPr>
        <w:t>ECLI:EU:C:2013:88,</w:t>
      </w:r>
    </w:p>
    <w:p>
      <w:pPr>
        <w:spacing w:before="38"/>
        <w:ind w:left="866" w:right="0" w:firstLine="0"/>
        <w:jc w:val="left"/>
        <w:rPr>
          <w:sz w:val="16"/>
        </w:rPr>
      </w:pPr>
      <w:r>
        <w:rPr>
          <w:i/>
          <w:color w:val="231F20"/>
          <w:sz w:val="16"/>
        </w:rPr>
        <w:t>Banif</w:t>
      </w:r>
      <w:r>
        <w:rPr>
          <w:i/>
          <w:color w:val="231F20"/>
          <w:spacing w:val="-2"/>
          <w:sz w:val="16"/>
        </w:rPr>
        <w:t> </w:t>
      </w:r>
      <w:r>
        <w:rPr>
          <w:i/>
          <w:color w:val="231F20"/>
          <w:sz w:val="16"/>
        </w:rPr>
        <w:t>Plus</w:t>
      </w:r>
      <w:r>
        <w:rPr>
          <w:color w:val="231F20"/>
          <w:sz w:val="16"/>
        </w:rPr>
        <w:t>,</w:t>
      </w:r>
      <w:r>
        <w:rPr>
          <w:color w:val="231F20"/>
          <w:spacing w:val="-1"/>
          <w:sz w:val="16"/>
        </w:rPr>
        <w:t> </w:t>
      </w:r>
      <w:r>
        <w:rPr>
          <w:color w:val="231F20"/>
          <w:sz w:val="16"/>
        </w:rPr>
        <w:t>para.</w:t>
      </w:r>
      <w:r>
        <w:rPr>
          <w:color w:val="231F20"/>
          <w:spacing w:val="-1"/>
          <w:sz w:val="16"/>
        </w:rPr>
        <w:t> </w:t>
      </w:r>
      <w:r>
        <w:rPr>
          <w:color w:val="231F20"/>
          <w:sz w:val="16"/>
        </w:rPr>
        <w:t>27.</w:t>
      </w:r>
      <w:r>
        <w:rPr>
          <w:color w:val="231F20"/>
          <w:spacing w:val="-2"/>
          <w:sz w:val="16"/>
        </w:rPr>
        <w:t> </w:t>
      </w:r>
      <w:r>
        <w:rPr>
          <w:color w:val="231F20"/>
          <w:sz w:val="16"/>
        </w:rPr>
        <w:t>ECJ</w:t>
      </w:r>
      <w:r>
        <w:rPr>
          <w:color w:val="231F20"/>
          <w:spacing w:val="-1"/>
          <w:sz w:val="16"/>
        </w:rPr>
        <w:t> </w:t>
      </w:r>
      <w:r>
        <w:rPr>
          <w:color w:val="231F20"/>
          <w:sz w:val="16"/>
        </w:rPr>
        <w:t>3</w:t>
      </w:r>
      <w:r>
        <w:rPr>
          <w:color w:val="231F20"/>
          <w:spacing w:val="-2"/>
          <w:sz w:val="16"/>
        </w:rPr>
        <w:t> </w:t>
      </w:r>
      <w:r>
        <w:rPr>
          <w:color w:val="231F20"/>
          <w:sz w:val="16"/>
        </w:rPr>
        <w:t>Mar.</w:t>
      </w:r>
      <w:r>
        <w:rPr>
          <w:color w:val="231F20"/>
          <w:spacing w:val="-2"/>
          <w:sz w:val="16"/>
        </w:rPr>
        <w:t> </w:t>
      </w:r>
      <w:r>
        <w:rPr>
          <w:color w:val="231F20"/>
          <w:sz w:val="16"/>
        </w:rPr>
        <w:t>2020,</w:t>
      </w:r>
      <w:r>
        <w:rPr>
          <w:color w:val="231F20"/>
          <w:spacing w:val="-1"/>
          <w:sz w:val="16"/>
        </w:rPr>
        <w:t> </w:t>
      </w:r>
      <w:r>
        <w:rPr>
          <w:color w:val="231F20"/>
          <w:sz w:val="16"/>
        </w:rPr>
        <w:t>ECLI:EU:C:2020:138,</w:t>
      </w:r>
      <w:r>
        <w:rPr>
          <w:color w:val="231F20"/>
          <w:spacing w:val="-1"/>
          <w:sz w:val="16"/>
        </w:rPr>
        <w:t> </w:t>
      </w:r>
      <w:r>
        <w:rPr>
          <w:i/>
          <w:color w:val="231F20"/>
          <w:sz w:val="16"/>
        </w:rPr>
        <w:t>Gómez</w:t>
      </w:r>
      <w:r>
        <w:rPr>
          <w:i/>
          <w:color w:val="231F20"/>
          <w:spacing w:val="-1"/>
          <w:sz w:val="16"/>
        </w:rPr>
        <w:t> </w:t>
      </w:r>
      <w:r>
        <w:rPr>
          <w:i/>
          <w:color w:val="231F20"/>
          <w:sz w:val="16"/>
        </w:rPr>
        <w:t>del</w:t>
      </w:r>
      <w:r>
        <w:rPr>
          <w:i/>
          <w:color w:val="231F20"/>
          <w:spacing w:val="-1"/>
          <w:sz w:val="16"/>
        </w:rPr>
        <w:t> </w:t>
      </w:r>
      <w:r>
        <w:rPr>
          <w:i/>
          <w:color w:val="231F20"/>
          <w:sz w:val="16"/>
        </w:rPr>
        <w:t>Moral</w:t>
      </w:r>
      <w:r>
        <w:rPr>
          <w:color w:val="231F20"/>
          <w:sz w:val="16"/>
        </w:rPr>
        <w:t>,</w:t>
      </w:r>
      <w:r>
        <w:rPr>
          <w:color w:val="231F20"/>
          <w:spacing w:val="-2"/>
          <w:sz w:val="16"/>
        </w:rPr>
        <w:t> </w:t>
      </w:r>
      <w:r>
        <w:rPr>
          <w:color w:val="231F20"/>
          <w:sz w:val="16"/>
        </w:rPr>
        <w:t>para.</w:t>
      </w:r>
      <w:r>
        <w:rPr>
          <w:color w:val="231F20"/>
          <w:spacing w:val="-1"/>
          <w:sz w:val="16"/>
        </w:rPr>
        <w:t> </w:t>
      </w:r>
      <w:r>
        <w:rPr>
          <w:color w:val="231F20"/>
          <w:spacing w:val="-5"/>
          <w:sz w:val="16"/>
        </w:rPr>
        <w:t>58.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7"/>
          <w:sz w:val="16"/>
        </w:rPr>
        <w:t> </w:t>
      </w:r>
      <w:r>
        <w:rPr>
          <w:color w:val="231F20"/>
          <w:sz w:val="16"/>
        </w:rPr>
        <w:t>29</w:t>
      </w:r>
      <w:r>
        <w:rPr>
          <w:color w:val="231F20"/>
          <w:spacing w:val="7"/>
          <w:sz w:val="16"/>
        </w:rPr>
        <w:t> </w:t>
      </w:r>
      <w:r>
        <w:rPr>
          <w:color w:val="231F20"/>
          <w:sz w:val="16"/>
        </w:rPr>
        <w:t>Apr.</w:t>
      </w:r>
      <w:r>
        <w:rPr>
          <w:color w:val="231F20"/>
          <w:spacing w:val="7"/>
          <w:sz w:val="16"/>
        </w:rPr>
        <w:t> </w:t>
      </w:r>
      <w:r>
        <w:rPr>
          <w:color w:val="231F20"/>
          <w:sz w:val="16"/>
        </w:rPr>
        <w:t>2021,</w:t>
      </w:r>
      <w:r>
        <w:rPr>
          <w:color w:val="231F20"/>
          <w:spacing w:val="7"/>
          <w:sz w:val="16"/>
        </w:rPr>
        <w:t> </w:t>
      </w:r>
      <w:r>
        <w:rPr>
          <w:color w:val="231F20"/>
          <w:sz w:val="16"/>
        </w:rPr>
        <w:t>ECLI:EU:C:2021:341,</w:t>
      </w:r>
      <w:r>
        <w:rPr>
          <w:color w:val="231F20"/>
          <w:spacing w:val="8"/>
          <w:sz w:val="16"/>
        </w:rPr>
        <w:t> </w:t>
      </w:r>
      <w:r>
        <w:rPr>
          <w:i/>
          <w:color w:val="231F20"/>
          <w:sz w:val="16"/>
        </w:rPr>
        <w:t>I.W.</w:t>
      </w:r>
      <w:r>
        <w:rPr>
          <w:i/>
          <w:color w:val="231F20"/>
          <w:spacing w:val="7"/>
          <w:sz w:val="16"/>
        </w:rPr>
        <w:t> </w:t>
      </w:r>
      <w:r>
        <w:rPr>
          <w:i/>
          <w:color w:val="231F20"/>
          <w:sz w:val="16"/>
        </w:rPr>
        <w:t>and</w:t>
      </w:r>
      <w:r>
        <w:rPr>
          <w:i/>
          <w:color w:val="231F20"/>
          <w:spacing w:val="8"/>
          <w:sz w:val="16"/>
        </w:rPr>
        <w:t> </w:t>
      </w:r>
      <w:r>
        <w:rPr>
          <w:i/>
          <w:color w:val="231F20"/>
          <w:sz w:val="16"/>
        </w:rPr>
        <w:t>R.W.</w:t>
      </w:r>
      <w:r>
        <w:rPr>
          <w:i/>
          <w:color w:val="231F20"/>
          <w:spacing w:val="8"/>
          <w:sz w:val="16"/>
        </w:rPr>
        <w:t> </w:t>
      </w:r>
      <w:r>
        <w:rPr>
          <w:color w:val="231F20"/>
          <w:sz w:val="16"/>
        </w:rPr>
        <w:t>v.</w:t>
      </w:r>
      <w:r>
        <w:rPr>
          <w:color w:val="231F20"/>
          <w:spacing w:val="7"/>
          <w:sz w:val="16"/>
        </w:rPr>
        <w:t> </w:t>
      </w:r>
      <w:r>
        <w:rPr>
          <w:i/>
          <w:color w:val="231F20"/>
          <w:sz w:val="16"/>
        </w:rPr>
        <w:t>Bank</w:t>
      </w:r>
      <w:r>
        <w:rPr>
          <w:i/>
          <w:color w:val="231F20"/>
          <w:spacing w:val="8"/>
          <w:sz w:val="16"/>
        </w:rPr>
        <w:t> </w:t>
      </w:r>
      <w:r>
        <w:rPr>
          <w:i/>
          <w:color w:val="231F20"/>
          <w:sz w:val="16"/>
        </w:rPr>
        <w:t>BPH</w:t>
      </w:r>
      <w:r>
        <w:rPr>
          <w:i/>
          <w:color w:val="231F20"/>
          <w:spacing w:val="8"/>
          <w:sz w:val="16"/>
        </w:rPr>
        <w:t> </w:t>
      </w:r>
      <w:r>
        <w:rPr>
          <w:i/>
          <w:color w:val="231F20"/>
          <w:sz w:val="16"/>
        </w:rPr>
        <w:t>S.A.</w:t>
      </w:r>
      <w:r>
        <w:rPr>
          <w:color w:val="231F20"/>
          <w:sz w:val="16"/>
        </w:rPr>
        <w:t>,</w:t>
      </w:r>
      <w:r>
        <w:rPr>
          <w:color w:val="231F20"/>
          <w:spacing w:val="9"/>
          <w:sz w:val="16"/>
        </w:rPr>
        <w:t> </w:t>
      </w:r>
      <w:r>
        <w:rPr>
          <w:color w:val="231F20"/>
          <w:sz w:val="16"/>
        </w:rPr>
        <w:t>para.</w:t>
      </w:r>
      <w:r>
        <w:rPr>
          <w:color w:val="231F20"/>
          <w:spacing w:val="7"/>
          <w:sz w:val="16"/>
        </w:rPr>
        <w:t> </w:t>
      </w:r>
      <w:r>
        <w:rPr>
          <w:color w:val="231F20"/>
          <w:spacing w:val="-5"/>
          <w:sz w:val="16"/>
        </w:rPr>
        <w:t>97.</w:t>
      </w:r>
    </w:p>
    <w:p>
      <w:pPr>
        <w:pStyle w:val="ListParagraph"/>
        <w:numPr>
          <w:ilvl w:val="0"/>
          <w:numId w:val="3"/>
        </w:numPr>
        <w:tabs>
          <w:tab w:pos="866" w:val="left" w:leader="none"/>
        </w:tabs>
        <w:spacing w:line="288" w:lineRule="auto" w:before="37" w:after="0"/>
        <w:ind w:left="866" w:right="868" w:hanging="354"/>
        <w:jc w:val="left"/>
        <w:rPr>
          <w:i/>
          <w:sz w:val="16"/>
        </w:rPr>
      </w:pPr>
      <w:r>
        <w:rPr>
          <w:color w:val="231F20"/>
          <w:sz w:val="16"/>
        </w:rPr>
        <w:t>ECJ</w:t>
      </w:r>
      <w:r>
        <w:rPr>
          <w:color w:val="231F20"/>
          <w:spacing w:val="40"/>
          <w:sz w:val="16"/>
        </w:rPr>
        <w:t> </w:t>
      </w:r>
      <w:r>
        <w:rPr>
          <w:color w:val="231F20"/>
          <w:sz w:val="16"/>
        </w:rPr>
        <w:t>9</w:t>
      </w:r>
      <w:r>
        <w:rPr>
          <w:color w:val="231F20"/>
          <w:spacing w:val="40"/>
          <w:sz w:val="16"/>
        </w:rPr>
        <w:t> </w:t>
      </w:r>
      <w:r>
        <w:rPr>
          <w:color w:val="231F20"/>
          <w:sz w:val="16"/>
        </w:rPr>
        <w:t>Jul.</w:t>
      </w:r>
      <w:r>
        <w:rPr>
          <w:color w:val="231F20"/>
          <w:spacing w:val="40"/>
          <w:sz w:val="16"/>
        </w:rPr>
        <w:t> </w:t>
      </w:r>
      <w:r>
        <w:rPr>
          <w:color w:val="231F20"/>
          <w:sz w:val="16"/>
        </w:rPr>
        <w:t>2020,</w:t>
      </w:r>
      <w:r>
        <w:rPr>
          <w:color w:val="231F20"/>
          <w:spacing w:val="40"/>
          <w:sz w:val="16"/>
        </w:rPr>
        <w:t> </w:t>
      </w:r>
      <w:r>
        <w:rPr>
          <w:color w:val="231F20"/>
          <w:sz w:val="16"/>
        </w:rPr>
        <w:t>ECLI:EU:C:2020:536,</w:t>
      </w:r>
      <w:r>
        <w:rPr>
          <w:color w:val="231F20"/>
          <w:spacing w:val="40"/>
          <w:sz w:val="16"/>
        </w:rPr>
        <w:t> </w:t>
      </w:r>
      <w:r>
        <w:rPr>
          <w:i/>
          <w:color w:val="231F20"/>
          <w:sz w:val="16"/>
        </w:rPr>
        <w:t>Ibercaja</w:t>
      </w:r>
      <w:r>
        <w:rPr>
          <w:color w:val="231F20"/>
          <w:sz w:val="16"/>
        </w:rPr>
        <w:t>,</w:t>
      </w:r>
      <w:r>
        <w:rPr>
          <w:color w:val="231F20"/>
          <w:spacing w:val="40"/>
          <w:sz w:val="16"/>
        </w:rPr>
        <w:t> </w:t>
      </w:r>
      <w:r>
        <w:rPr>
          <w:color w:val="231F20"/>
          <w:sz w:val="16"/>
        </w:rPr>
        <w:t>para.</w:t>
      </w:r>
      <w:r>
        <w:rPr>
          <w:color w:val="231F20"/>
          <w:spacing w:val="40"/>
          <w:sz w:val="16"/>
        </w:rPr>
        <w:t> </w:t>
      </w:r>
      <w:r>
        <w:rPr>
          <w:color w:val="231F20"/>
          <w:sz w:val="16"/>
        </w:rPr>
        <w:t>25;</w:t>
      </w:r>
      <w:r>
        <w:rPr>
          <w:color w:val="231F20"/>
          <w:spacing w:val="40"/>
          <w:sz w:val="16"/>
        </w:rPr>
        <w:t> </w:t>
      </w:r>
      <w:r>
        <w:rPr>
          <w:color w:val="231F20"/>
          <w:sz w:val="16"/>
        </w:rPr>
        <w:t>ECJ</w:t>
      </w:r>
      <w:r>
        <w:rPr>
          <w:color w:val="231F20"/>
          <w:spacing w:val="40"/>
          <w:sz w:val="16"/>
        </w:rPr>
        <w:t> </w:t>
      </w:r>
      <w:r>
        <w:rPr>
          <w:color w:val="231F20"/>
          <w:sz w:val="16"/>
        </w:rPr>
        <w:t>16</w:t>
      </w:r>
      <w:r>
        <w:rPr>
          <w:color w:val="231F20"/>
          <w:spacing w:val="40"/>
          <w:sz w:val="16"/>
        </w:rPr>
        <w:t> </w:t>
      </w:r>
      <w:r>
        <w:rPr>
          <w:color w:val="231F20"/>
          <w:sz w:val="16"/>
        </w:rPr>
        <w:t>Jul.</w:t>
      </w:r>
      <w:r>
        <w:rPr>
          <w:color w:val="231F20"/>
          <w:spacing w:val="40"/>
          <w:sz w:val="16"/>
        </w:rPr>
        <w:t> </w:t>
      </w:r>
      <w:r>
        <w:rPr>
          <w:color w:val="231F20"/>
          <w:sz w:val="16"/>
        </w:rPr>
        <w:t>2020,</w:t>
      </w:r>
      <w:r>
        <w:rPr>
          <w:color w:val="231F20"/>
          <w:spacing w:val="40"/>
          <w:sz w:val="16"/>
        </w:rPr>
        <w:t> </w:t>
      </w:r>
      <w:r>
        <w:rPr>
          <w:color w:val="231F20"/>
          <w:sz w:val="16"/>
        </w:rPr>
        <w:t>ECLI:EU:</w:t>
      </w:r>
      <w:r>
        <w:rPr>
          <w:color w:val="231F20"/>
          <w:spacing w:val="40"/>
          <w:sz w:val="16"/>
        </w:rPr>
        <w:t> </w:t>
      </w:r>
      <w:r>
        <w:rPr>
          <w:color w:val="231F20"/>
          <w:sz w:val="16"/>
        </w:rPr>
        <w:t>C:2020:578, </w:t>
      </w:r>
      <w:r>
        <w:rPr>
          <w:i/>
          <w:color w:val="231F20"/>
          <w:sz w:val="16"/>
        </w:rPr>
        <w:t>Caixabank</w:t>
      </w:r>
      <w:r>
        <w:rPr>
          <w:color w:val="231F20"/>
          <w:sz w:val="16"/>
        </w:rPr>
        <w:t>, para. 50; ECJ 29 Apr. 2021, ECLI:EU:C:2021:341, </w:t>
      </w:r>
      <w:r>
        <w:rPr>
          <w:i/>
          <w:color w:val="231F20"/>
          <w:sz w:val="16"/>
        </w:rPr>
        <w:t>I.W. and R.W.</w:t>
      </w:r>
    </w:p>
    <w:p>
      <w:pPr>
        <w:pStyle w:val="ListParagraph"/>
        <w:numPr>
          <w:ilvl w:val="1"/>
          <w:numId w:val="3"/>
        </w:numPr>
        <w:tabs>
          <w:tab w:pos="1031" w:val="left" w:leader="none"/>
        </w:tabs>
        <w:spacing w:line="240" w:lineRule="auto" w:before="2" w:after="0"/>
        <w:ind w:left="1031" w:right="0" w:hanging="165"/>
        <w:jc w:val="left"/>
        <w:rPr>
          <w:sz w:val="16"/>
        </w:rPr>
      </w:pPr>
      <w:r>
        <w:rPr>
          <w:i/>
          <w:color w:val="231F20"/>
          <w:sz w:val="16"/>
        </w:rPr>
        <w:t>Bank</w:t>
      </w:r>
      <w:r>
        <w:rPr>
          <w:i/>
          <w:color w:val="231F20"/>
          <w:spacing w:val="4"/>
          <w:sz w:val="16"/>
        </w:rPr>
        <w:t> </w:t>
      </w:r>
      <w:r>
        <w:rPr>
          <w:i/>
          <w:color w:val="231F20"/>
          <w:sz w:val="16"/>
        </w:rPr>
        <w:t>BPH</w:t>
      </w:r>
      <w:r>
        <w:rPr>
          <w:color w:val="231F20"/>
          <w:sz w:val="16"/>
        </w:rPr>
        <w:t>,</w:t>
      </w:r>
      <w:r>
        <w:rPr>
          <w:color w:val="231F20"/>
          <w:spacing w:val="4"/>
          <w:sz w:val="16"/>
        </w:rPr>
        <w:t> </w:t>
      </w:r>
      <w:r>
        <w:rPr>
          <w:color w:val="231F20"/>
          <w:sz w:val="16"/>
        </w:rPr>
        <w:t>para.</w:t>
      </w:r>
      <w:r>
        <w:rPr>
          <w:color w:val="231F20"/>
          <w:spacing w:val="5"/>
          <w:sz w:val="16"/>
        </w:rPr>
        <w:t> </w:t>
      </w:r>
      <w:r>
        <w:rPr>
          <w:color w:val="231F20"/>
          <w:spacing w:val="-5"/>
          <w:sz w:val="16"/>
        </w:rPr>
        <w:t>59.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12"/>
          <w:sz w:val="16"/>
        </w:rPr>
        <w:t> </w:t>
      </w:r>
      <w:r>
        <w:rPr>
          <w:color w:val="231F20"/>
          <w:sz w:val="16"/>
        </w:rPr>
        <w:t>s.</w:t>
      </w:r>
      <w:r>
        <w:rPr>
          <w:color w:val="231F20"/>
          <w:spacing w:val="11"/>
          <w:sz w:val="16"/>
        </w:rPr>
        <w:t> </w:t>
      </w:r>
      <w:r>
        <w:rPr>
          <w:color w:val="231F20"/>
          <w:sz w:val="16"/>
        </w:rPr>
        <w:t>2,</w:t>
      </w:r>
      <w:r>
        <w:rPr>
          <w:color w:val="231F20"/>
          <w:spacing w:val="12"/>
          <w:sz w:val="16"/>
        </w:rPr>
        <w:t> </w:t>
      </w:r>
      <w:r>
        <w:rPr>
          <w:color w:val="231F20"/>
          <w:spacing w:val="-2"/>
          <w:sz w:val="16"/>
        </w:rPr>
        <w:t>above.</w:t>
      </w:r>
    </w:p>
    <w:p>
      <w:pPr>
        <w:spacing w:after="0" w:line="240" w:lineRule="auto"/>
        <w:jc w:val="left"/>
        <w:rPr>
          <w:sz w:val="16"/>
        </w:rPr>
        <w:sectPr>
          <w:pgSz w:w="11910" w:h="16840"/>
          <w:pgMar w:header="0" w:footer="2585" w:top="1920" w:bottom="2780" w:left="1680" w:right="1680"/>
        </w:sectPr>
      </w:pPr>
    </w:p>
    <w:p>
      <w:pPr>
        <w:pStyle w:val="BodyText"/>
        <w:rPr>
          <w:sz w:val="22"/>
        </w:rPr>
      </w:pPr>
    </w:p>
    <w:p>
      <w:pPr>
        <w:pStyle w:val="BodyText"/>
        <w:spacing w:before="90"/>
        <w:rPr>
          <w:sz w:val="22"/>
        </w:rPr>
      </w:pPr>
    </w:p>
    <w:p>
      <w:pPr>
        <w:pStyle w:val="Heading2"/>
        <w:numPr>
          <w:ilvl w:val="1"/>
          <w:numId w:val="1"/>
        </w:numPr>
        <w:tabs>
          <w:tab w:pos="848" w:val="left" w:leader="none"/>
        </w:tabs>
        <w:spacing w:line="240" w:lineRule="auto" w:before="1" w:after="0"/>
        <w:ind w:left="848" w:right="0" w:hanging="545"/>
        <w:jc w:val="left"/>
        <w:rPr>
          <w:i/>
        </w:rPr>
      </w:pPr>
      <w:r>
        <w:rPr>
          <w:i/>
          <w:color w:val="231F20"/>
          <w:w w:val="105"/>
        </w:rPr>
        <w:t>The</w:t>
      </w:r>
      <w:r>
        <w:rPr>
          <w:i/>
          <w:color w:val="231F20"/>
          <w:spacing w:val="10"/>
          <w:w w:val="105"/>
        </w:rPr>
        <w:t> </w:t>
      </w:r>
      <w:r>
        <w:rPr>
          <w:i/>
          <w:color w:val="231F20"/>
          <w:w w:val="105"/>
        </w:rPr>
        <w:t>Contract</w:t>
      </w:r>
      <w:r>
        <w:rPr>
          <w:i/>
          <w:color w:val="231F20"/>
          <w:spacing w:val="11"/>
          <w:w w:val="105"/>
        </w:rPr>
        <w:t> </w:t>
      </w:r>
      <w:r>
        <w:rPr>
          <w:i/>
          <w:color w:val="231F20"/>
          <w:w w:val="105"/>
        </w:rPr>
        <w:t>Cannot</w:t>
      </w:r>
      <w:r>
        <w:rPr>
          <w:i/>
          <w:color w:val="231F20"/>
          <w:spacing w:val="10"/>
          <w:w w:val="105"/>
        </w:rPr>
        <w:t> </w:t>
      </w:r>
      <w:r>
        <w:rPr>
          <w:i/>
          <w:color w:val="231F20"/>
          <w:w w:val="105"/>
        </w:rPr>
        <w:t>Continue</w:t>
      </w:r>
      <w:r>
        <w:rPr>
          <w:i/>
          <w:color w:val="231F20"/>
          <w:spacing w:val="10"/>
          <w:w w:val="105"/>
        </w:rPr>
        <w:t> </w:t>
      </w:r>
      <w:r>
        <w:rPr>
          <w:i/>
          <w:color w:val="231F20"/>
          <w:w w:val="105"/>
        </w:rPr>
        <w:t>in</w:t>
      </w:r>
      <w:r>
        <w:rPr>
          <w:i/>
          <w:color w:val="231F20"/>
          <w:spacing w:val="10"/>
          <w:w w:val="105"/>
        </w:rPr>
        <w:t> </w:t>
      </w:r>
      <w:r>
        <w:rPr>
          <w:i/>
          <w:color w:val="231F20"/>
          <w:spacing w:val="-2"/>
          <w:w w:val="105"/>
        </w:rPr>
        <w:t>Existence</w:t>
      </w:r>
    </w:p>
    <w:p>
      <w:pPr>
        <w:pStyle w:val="ListParagraph"/>
        <w:numPr>
          <w:ilvl w:val="0"/>
          <w:numId w:val="4"/>
        </w:numPr>
        <w:tabs>
          <w:tab w:pos="1324" w:val="left" w:leader="none"/>
        </w:tabs>
        <w:spacing w:line="288" w:lineRule="auto" w:before="166" w:after="0"/>
        <w:ind w:left="871" w:right="869" w:firstLine="0"/>
        <w:jc w:val="both"/>
        <w:rPr>
          <w:sz w:val="19"/>
        </w:rPr>
      </w:pPr>
      <w:r>
        <w:rPr>
          <w:color w:val="231F20"/>
          <w:sz w:val="19"/>
        </w:rPr>
        <w:t>According to the ECJ, the UCTD does not purport to cancel all </w:t>
      </w:r>
      <w:r>
        <w:rPr>
          <w:color w:val="231F20"/>
          <w:sz w:val="19"/>
        </w:rPr>
        <w:t>contracts,</w:t>
      </w:r>
      <w:r>
        <w:rPr>
          <w:color w:val="231F20"/>
          <w:sz w:val="19"/>
          <w:vertAlign w:val="superscript"/>
        </w:rPr>
        <w:t>73</w:t>
      </w:r>
      <w:r>
        <w:rPr>
          <w:color w:val="231F20"/>
          <w:sz w:val="19"/>
          <w:vertAlign w:val="baseline"/>
        </w:rPr>
        <w:t> but</w:t>
      </w:r>
      <w:r>
        <w:rPr>
          <w:color w:val="231F20"/>
          <w:spacing w:val="-12"/>
          <w:sz w:val="19"/>
          <w:vertAlign w:val="baseline"/>
        </w:rPr>
        <w:t> </w:t>
      </w:r>
      <w:r>
        <w:rPr>
          <w:color w:val="231F20"/>
          <w:sz w:val="19"/>
          <w:vertAlign w:val="baseline"/>
        </w:rPr>
        <w:t>to</w:t>
      </w:r>
      <w:r>
        <w:rPr>
          <w:color w:val="231F20"/>
          <w:spacing w:val="-11"/>
          <w:sz w:val="19"/>
          <w:vertAlign w:val="baseline"/>
        </w:rPr>
        <w:t> </w:t>
      </w:r>
      <w:r>
        <w:rPr>
          <w:color w:val="231F20"/>
          <w:sz w:val="19"/>
          <w:vertAlign w:val="baseline"/>
        </w:rPr>
        <w:t>re-establish</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balance</w:t>
      </w:r>
      <w:r>
        <w:rPr>
          <w:color w:val="231F20"/>
          <w:spacing w:val="-12"/>
          <w:sz w:val="19"/>
          <w:vertAlign w:val="baseline"/>
        </w:rPr>
        <w:t> </w:t>
      </w:r>
      <w:r>
        <w:rPr>
          <w:color w:val="231F20"/>
          <w:sz w:val="19"/>
          <w:vertAlign w:val="baseline"/>
        </w:rPr>
        <w:t>between</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parties</w:t>
      </w:r>
      <w:r>
        <w:rPr>
          <w:color w:val="231F20"/>
          <w:spacing w:val="-11"/>
          <w:sz w:val="19"/>
          <w:vertAlign w:val="baseline"/>
        </w:rPr>
        <w:t> </w:t>
      </w:r>
      <w:r>
        <w:rPr>
          <w:color w:val="231F20"/>
          <w:sz w:val="19"/>
          <w:vertAlign w:val="baseline"/>
        </w:rPr>
        <w:t>by</w:t>
      </w:r>
      <w:r>
        <w:rPr>
          <w:color w:val="231F20"/>
          <w:spacing w:val="-12"/>
          <w:sz w:val="19"/>
          <w:vertAlign w:val="baseline"/>
        </w:rPr>
        <w:t> </w:t>
      </w:r>
      <w:r>
        <w:rPr>
          <w:color w:val="231F20"/>
          <w:sz w:val="19"/>
          <w:vertAlign w:val="baseline"/>
        </w:rPr>
        <w:t>ensuring</w:t>
      </w:r>
      <w:r>
        <w:rPr>
          <w:color w:val="231F20"/>
          <w:spacing w:val="-11"/>
          <w:sz w:val="19"/>
          <w:vertAlign w:val="baseline"/>
        </w:rPr>
        <w:t> </w:t>
      </w:r>
      <w:r>
        <w:rPr>
          <w:color w:val="231F20"/>
          <w:sz w:val="19"/>
          <w:vertAlign w:val="baseline"/>
        </w:rPr>
        <w:t>that</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unfair</w:t>
      </w:r>
      <w:r>
        <w:rPr>
          <w:color w:val="231F20"/>
          <w:spacing w:val="-11"/>
          <w:sz w:val="19"/>
          <w:vertAlign w:val="baseline"/>
        </w:rPr>
        <w:t> </w:t>
      </w:r>
      <w:r>
        <w:rPr>
          <w:color w:val="231F20"/>
          <w:sz w:val="19"/>
          <w:vertAlign w:val="baseline"/>
        </w:rPr>
        <w:t>term does</w:t>
      </w:r>
      <w:r>
        <w:rPr>
          <w:color w:val="231F20"/>
          <w:spacing w:val="-12"/>
          <w:sz w:val="19"/>
          <w:vertAlign w:val="baseline"/>
        </w:rPr>
        <w:t> </w:t>
      </w:r>
      <w:r>
        <w:rPr>
          <w:color w:val="231F20"/>
          <w:sz w:val="19"/>
          <w:vertAlign w:val="baseline"/>
        </w:rPr>
        <w:t>not</w:t>
      </w:r>
      <w:r>
        <w:rPr>
          <w:color w:val="231F20"/>
          <w:spacing w:val="-11"/>
          <w:sz w:val="19"/>
          <w:vertAlign w:val="baseline"/>
        </w:rPr>
        <w:t> </w:t>
      </w:r>
      <w:r>
        <w:rPr>
          <w:color w:val="231F20"/>
          <w:sz w:val="19"/>
          <w:vertAlign w:val="baseline"/>
        </w:rPr>
        <w:t>bind</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consumer.</w:t>
      </w:r>
      <w:r>
        <w:rPr>
          <w:color w:val="231F20"/>
          <w:spacing w:val="-12"/>
          <w:sz w:val="19"/>
          <w:vertAlign w:val="baseline"/>
        </w:rPr>
        <w:t> </w:t>
      </w:r>
      <w:r>
        <w:rPr>
          <w:color w:val="231F20"/>
          <w:sz w:val="19"/>
          <w:vertAlign w:val="baseline"/>
        </w:rPr>
        <w:t>However,</w:t>
      </w:r>
      <w:r>
        <w:rPr>
          <w:color w:val="231F20"/>
          <w:spacing w:val="-11"/>
          <w:sz w:val="19"/>
          <w:vertAlign w:val="baseline"/>
        </w:rPr>
        <w:t> </w:t>
      </w:r>
      <w:r>
        <w:rPr>
          <w:color w:val="231F20"/>
          <w:sz w:val="19"/>
          <w:vertAlign w:val="baseline"/>
        </w:rPr>
        <w:t>if</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contract</w:t>
      </w:r>
      <w:r>
        <w:rPr>
          <w:color w:val="231F20"/>
          <w:spacing w:val="-12"/>
          <w:sz w:val="19"/>
          <w:vertAlign w:val="baseline"/>
        </w:rPr>
        <w:t> </w:t>
      </w:r>
      <w:r>
        <w:rPr>
          <w:color w:val="231F20"/>
          <w:sz w:val="19"/>
          <w:vertAlign w:val="baseline"/>
        </w:rPr>
        <w:t>cannot</w:t>
      </w:r>
      <w:r>
        <w:rPr>
          <w:color w:val="231F20"/>
          <w:spacing w:val="-11"/>
          <w:sz w:val="19"/>
          <w:vertAlign w:val="baseline"/>
        </w:rPr>
        <w:t> </w:t>
      </w:r>
      <w:r>
        <w:rPr>
          <w:color w:val="231F20"/>
          <w:sz w:val="19"/>
          <w:vertAlign w:val="baseline"/>
        </w:rPr>
        <w:t>continue</w:t>
      </w:r>
      <w:r>
        <w:rPr>
          <w:color w:val="231F20"/>
          <w:spacing w:val="-12"/>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existence, Article 6(1) UCTD does not preclude the contract from being annulled.</w:t>
      </w:r>
      <w:r>
        <w:rPr>
          <w:color w:val="231F20"/>
          <w:sz w:val="19"/>
          <w:vertAlign w:val="superscript"/>
        </w:rPr>
        <w:t>74</w:t>
      </w:r>
    </w:p>
    <w:p>
      <w:pPr>
        <w:pStyle w:val="ListParagraph"/>
        <w:numPr>
          <w:ilvl w:val="0"/>
          <w:numId w:val="4"/>
        </w:numPr>
        <w:tabs>
          <w:tab w:pos="1324" w:val="left" w:leader="none"/>
        </w:tabs>
        <w:spacing w:line="285" w:lineRule="auto" w:before="119" w:after="0"/>
        <w:ind w:left="871" w:right="869" w:firstLine="0"/>
        <w:jc w:val="both"/>
        <w:rPr>
          <w:sz w:val="19"/>
        </w:rPr>
      </w:pPr>
      <w:r>
        <w:rPr>
          <w:color w:val="231F20"/>
          <w:spacing w:val="-4"/>
          <w:sz w:val="19"/>
        </w:rPr>
        <w:t>Whether</w:t>
      </w:r>
      <w:r>
        <w:rPr>
          <w:color w:val="231F20"/>
          <w:spacing w:val="-6"/>
          <w:sz w:val="19"/>
        </w:rPr>
        <w:t> </w:t>
      </w:r>
      <w:r>
        <w:rPr>
          <w:color w:val="231F20"/>
          <w:spacing w:val="-4"/>
          <w:sz w:val="19"/>
        </w:rPr>
        <w:t>or</w:t>
      </w:r>
      <w:r>
        <w:rPr>
          <w:color w:val="231F20"/>
          <w:spacing w:val="-6"/>
          <w:sz w:val="19"/>
        </w:rPr>
        <w:t> </w:t>
      </w:r>
      <w:r>
        <w:rPr>
          <w:color w:val="231F20"/>
          <w:spacing w:val="-4"/>
          <w:sz w:val="19"/>
        </w:rPr>
        <w:t>not</w:t>
      </w:r>
      <w:r>
        <w:rPr>
          <w:color w:val="231F20"/>
          <w:spacing w:val="-2"/>
          <w:sz w:val="19"/>
        </w:rPr>
        <w:t> </w:t>
      </w:r>
      <w:r>
        <w:rPr>
          <w:color w:val="231F20"/>
          <w:spacing w:val="-4"/>
          <w:sz w:val="19"/>
        </w:rPr>
        <w:t>a</w:t>
      </w:r>
      <w:r>
        <w:rPr>
          <w:color w:val="231F20"/>
          <w:spacing w:val="-6"/>
          <w:sz w:val="19"/>
        </w:rPr>
        <w:t> </w:t>
      </w:r>
      <w:r>
        <w:rPr>
          <w:color w:val="231F20"/>
          <w:spacing w:val="-4"/>
          <w:sz w:val="19"/>
        </w:rPr>
        <w:t>contract</w:t>
      </w:r>
      <w:r>
        <w:rPr>
          <w:color w:val="231F20"/>
          <w:spacing w:val="-6"/>
          <w:sz w:val="19"/>
        </w:rPr>
        <w:t> </w:t>
      </w:r>
      <w:r>
        <w:rPr>
          <w:color w:val="231F20"/>
          <w:spacing w:val="-4"/>
          <w:sz w:val="19"/>
        </w:rPr>
        <w:t>can</w:t>
      </w:r>
      <w:r>
        <w:rPr>
          <w:color w:val="231F20"/>
          <w:spacing w:val="-6"/>
          <w:sz w:val="19"/>
        </w:rPr>
        <w:t> </w:t>
      </w:r>
      <w:r>
        <w:rPr>
          <w:color w:val="231F20"/>
          <w:spacing w:val="-4"/>
          <w:sz w:val="19"/>
        </w:rPr>
        <w:t>continue</w:t>
      </w:r>
      <w:r>
        <w:rPr>
          <w:color w:val="231F20"/>
          <w:spacing w:val="-6"/>
          <w:sz w:val="19"/>
        </w:rPr>
        <w:t> </w:t>
      </w:r>
      <w:r>
        <w:rPr>
          <w:color w:val="231F20"/>
          <w:spacing w:val="-4"/>
          <w:sz w:val="19"/>
        </w:rPr>
        <w:t>in</w:t>
      </w:r>
      <w:r>
        <w:rPr>
          <w:color w:val="231F20"/>
          <w:spacing w:val="-6"/>
          <w:sz w:val="19"/>
        </w:rPr>
        <w:t> </w:t>
      </w:r>
      <w:r>
        <w:rPr>
          <w:color w:val="231F20"/>
          <w:spacing w:val="-4"/>
          <w:sz w:val="19"/>
        </w:rPr>
        <w:t>existence</w:t>
      </w:r>
      <w:r>
        <w:rPr>
          <w:color w:val="231F20"/>
          <w:spacing w:val="-6"/>
          <w:sz w:val="19"/>
        </w:rPr>
        <w:t> </w:t>
      </w:r>
      <w:r>
        <w:rPr>
          <w:color w:val="231F20"/>
          <w:spacing w:val="-4"/>
          <w:sz w:val="19"/>
        </w:rPr>
        <w:t>without</w:t>
      </w:r>
      <w:r>
        <w:rPr>
          <w:color w:val="231F20"/>
          <w:spacing w:val="-6"/>
          <w:sz w:val="19"/>
        </w:rPr>
        <w:t> </w:t>
      </w:r>
      <w:r>
        <w:rPr>
          <w:color w:val="231F20"/>
          <w:spacing w:val="-4"/>
          <w:sz w:val="19"/>
        </w:rPr>
        <w:t>the</w:t>
      </w:r>
      <w:r>
        <w:rPr>
          <w:color w:val="231F20"/>
          <w:spacing w:val="-6"/>
          <w:sz w:val="19"/>
        </w:rPr>
        <w:t> </w:t>
      </w:r>
      <w:r>
        <w:rPr>
          <w:color w:val="231F20"/>
          <w:spacing w:val="-4"/>
          <w:sz w:val="19"/>
        </w:rPr>
        <w:t>unfair</w:t>
      </w:r>
      <w:r>
        <w:rPr>
          <w:color w:val="231F20"/>
          <w:spacing w:val="-6"/>
          <w:sz w:val="19"/>
        </w:rPr>
        <w:t> </w:t>
      </w:r>
      <w:r>
        <w:rPr>
          <w:color w:val="231F20"/>
          <w:spacing w:val="-4"/>
          <w:sz w:val="19"/>
        </w:rPr>
        <w:t>term</w:t>
      </w:r>
      <w:r>
        <w:rPr>
          <w:color w:val="231F20"/>
          <w:spacing w:val="-6"/>
          <w:sz w:val="19"/>
        </w:rPr>
        <w:t> </w:t>
      </w:r>
      <w:r>
        <w:rPr>
          <w:color w:val="231F20"/>
          <w:spacing w:val="-4"/>
          <w:sz w:val="19"/>
        </w:rPr>
        <w:t>is</w:t>
      </w:r>
      <w:r>
        <w:rPr>
          <w:color w:val="231F20"/>
          <w:spacing w:val="-6"/>
          <w:sz w:val="19"/>
        </w:rPr>
        <w:t> </w:t>
      </w:r>
      <w:r>
        <w:rPr>
          <w:color w:val="231F20"/>
          <w:spacing w:val="-4"/>
          <w:sz w:val="19"/>
        </w:rPr>
        <w:t>a </w:t>
      </w:r>
      <w:r>
        <w:rPr>
          <w:color w:val="231F20"/>
          <w:spacing w:val="-6"/>
          <w:sz w:val="19"/>
        </w:rPr>
        <w:t>matter of</w:t>
      </w:r>
      <w:r>
        <w:rPr>
          <w:color w:val="231F20"/>
          <w:spacing w:val="-5"/>
          <w:sz w:val="19"/>
        </w:rPr>
        <w:t> </w:t>
      </w:r>
      <w:r>
        <w:rPr>
          <w:color w:val="231F20"/>
          <w:spacing w:val="-6"/>
          <w:sz w:val="19"/>
        </w:rPr>
        <w:t>national law.</w:t>
      </w:r>
      <w:r>
        <w:rPr>
          <w:color w:val="231F20"/>
          <w:spacing w:val="-6"/>
          <w:sz w:val="19"/>
          <w:vertAlign w:val="superscript"/>
        </w:rPr>
        <w:t>75</w:t>
      </w:r>
      <w:r>
        <w:rPr>
          <w:color w:val="231F20"/>
          <w:spacing w:val="-5"/>
          <w:sz w:val="19"/>
          <w:vertAlign w:val="baseline"/>
        </w:rPr>
        <w:t> </w:t>
      </w:r>
      <w:r>
        <w:rPr>
          <w:color w:val="231F20"/>
          <w:spacing w:val="-6"/>
          <w:sz w:val="19"/>
          <w:vertAlign w:val="baseline"/>
        </w:rPr>
        <w:t>This being</w:t>
      </w:r>
      <w:r>
        <w:rPr>
          <w:color w:val="231F20"/>
          <w:spacing w:val="-5"/>
          <w:sz w:val="19"/>
          <w:vertAlign w:val="baseline"/>
        </w:rPr>
        <w:t> </w:t>
      </w:r>
      <w:r>
        <w:rPr>
          <w:color w:val="231F20"/>
          <w:spacing w:val="-6"/>
          <w:sz w:val="19"/>
          <w:vertAlign w:val="baseline"/>
        </w:rPr>
        <w:t>the case,</w:t>
      </w:r>
      <w:r>
        <w:rPr>
          <w:color w:val="231F20"/>
          <w:spacing w:val="-5"/>
          <w:sz w:val="19"/>
          <w:vertAlign w:val="baseline"/>
        </w:rPr>
        <w:t> </w:t>
      </w:r>
      <w:r>
        <w:rPr>
          <w:color w:val="231F20"/>
          <w:spacing w:val="-6"/>
          <w:sz w:val="19"/>
          <w:vertAlign w:val="baseline"/>
        </w:rPr>
        <w:t>the Court</w:t>
      </w:r>
      <w:r>
        <w:rPr>
          <w:color w:val="231F20"/>
          <w:spacing w:val="-5"/>
          <w:sz w:val="19"/>
          <w:vertAlign w:val="baseline"/>
        </w:rPr>
        <w:t> </w:t>
      </w:r>
      <w:r>
        <w:rPr>
          <w:color w:val="231F20"/>
          <w:spacing w:val="-6"/>
          <w:sz w:val="19"/>
          <w:vertAlign w:val="baseline"/>
        </w:rPr>
        <w:t>has not</w:t>
      </w:r>
      <w:r>
        <w:rPr>
          <w:color w:val="231F20"/>
          <w:spacing w:val="-5"/>
          <w:sz w:val="19"/>
          <w:vertAlign w:val="baseline"/>
        </w:rPr>
        <w:t> </w:t>
      </w:r>
      <w:r>
        <w:rPr>
          <w:color w:val="231F20"/>
          <w:spacing w:val="-6"/>
          <w:sz w:val="19"/>
          <w:vertAlign w:val="baseline"/>
        </w:rPr>
        <w:t>given</w:t>
      </w:r>
      <w:r>
        <w:rPr>
          <w:color w:val="231F20"/>
          <w:spacing w:val="-5"/>
          <w:sz w:val="19"/>
          <w:vertAlign w:val="baseline"/>
        </w:rPr>
        <w:t> </w:t>
      </w:r>
      <w:r>
        <w:rPr>
          <w:color w:val="231F20"/>
          <w:spacing w:val="-6"/>
          <w:sz w:val="19"/>
          <w:vertAlign w:val="baseline"/>
        </w:rPr>
        <w:t>precise indications</w:t>
      </w:r>
      <w:r>
        <w:rPr>
          <w:color w:val="231F20"/>
          <w:spacing w:val="-4"/>
          <w:sz w:val="19"/>
          <w:vertAlign w:val="baseline"/>
        </w:rPr>
        <w:t> in this respect. However, in Case C-118/17, </w:t>
      </w:r>
      <w:r>
        <w:rPr>
          <w:i/>
          <w:color w:val="231F20"/>
          <w:spacing w:val="-4"/>
          <w:sz w:val="19"/>
          <w:vertAlign w:val="baseline"/>
        </w:rPr>
        <w:t>Dunai</w:t>
      </w:r>
      <w:r>
        <w:rPr>
          <w:color w:val="231F20"/>
          <w:spacing w:val="-4"/>
          <w:sz w:val="19"/>
          <w:vertAlign w:val="baseline"/>
        </w:rPr>
        <w:t>, the ECJ equated the non-binding- </w:t>
      </w:r>
      <w:r>
        <w:rPr>
          <w:color w:val="231F20"/>
          <w:spacing w:val="-2"/>
          <w:sz w:val="19"/>
          <w:vertAlign w:val="baseline"/>
        </w:rPr>
        <w:t>ness</w:t>
      </w:r>
      <w:r>
        <w:rPr>
          <w:color w:val="231F20"/>
          <w:spacing w:val="-10"/>
          <w:sz w:val="19"/>
          <w:vertAlign w:val="baseline"/>
        </w:rPr>
        <w:t> </w:t>
      </w:r>
      <w:r>
        <w:rPr>
          <w:color w:val="231F20"/>
          <w:spacing w:val="-2"/>
          <w:sz w:val="19"/>
          <w:vertAlign w:val="baseline"/>
        </w:rPr>
        <w:t>of</w:t>
      </w:r>
      <w:r>
        <w:rPr>
          <w:color w:val="231F20"/>
          <w:spacing w:val="-9"/>
          <w:sz w:val="19"/>
          <w:vertAlign w:val="baseline"/>
        </w:rPr>
        <w:t> </w:t>
      </w:r>
      <w:r>
        <w:rPr>
          <w:color w:val="231F20"/>
          <w:spacing w:val="-2"/>
          <w:sz w:val="19"/>
          <w:vertAlign w:val="baseline"/>
        </w:rPr>
        <w:t>a</w:t>
      </w:r>
      <w:r>
        <w:rPr>
          <w:color w:val="231F20"/>
          <w:spacing w:val="-10"/>
          <w:sz w:val="19"/>
          <w:vertAlign w:val="baseline"/>
        </w:rPr>
        <w:t> </w:t>
      </w:r>
      <w:r>
        <w:rPr>
          <w:color w:val="231F20"/>
          <w:spacing w:val="-2"/>
          <w:sz w:val="19"/>
          <w:vertAlign w:val="baseline"/>
        </w:rPr>
        <w:t>term</w:t>
      </w:r>
      <w:r>
        <w:rPr>
          <w:color w:val="231F20"/>
          <w:spacing w:val="-9"/>
          <w:sz w:val="19"/>
          <w:vertAlign w:val="baseline"/>
        </w:rPr>
        <w:t> </w:t>
      </w:r>
      <w:r>
        <w:rPr>
          <w:color w:val="231F20"/>
          <w:spacing w:val="-2"/>
          <w:sz w:val="19"/>
          <w:vertAlign w:val="baseline"/>
        </w:rPr>
        <w:t>that,</w:t>
      </w:r>
      <w:r>
        <w:rPr>
          <w:color w:val="231F20"/>
          <w:spacing w:val="-10"/>
          <w:sz w:val="19"/>
          <w:vertAlign w:val="baseline"/>
        </w:rPr>
        <w:t> </w:t>
      </w:r>
      <w:r>
        <w:rPr>
          <w:color w:val="231F20"/>
          <w:spacing w:val="-2"/>
          <w:sz w:val="19"/>
          <w:vertAlign w:val="baseline"/>
        </w:rPr>
        <w:t>for</w:t>
      </w:r>
      <w:r>
        <w:rPr>
          <w:color w:val="231F20"/>
          <w:spacing w:val="-9"/>
          <w:sz w:val="19"/>
          <w:vertAlign w:val="baseline"/>
        </w:rPr>
        <w:t> </w:t>
      </w:r>
      <w:r>
        <w:rPr>
          <w:color w:val="231F20"/>
          <w:spacing w:val="-2"/>
          <w:sz w:val="19"/>
          <w:vertAlign w:val="baseline"/>
        </w:rPr>
        <w:t>the</w:t>
      </w:r>
      <w:r>
        <w:rPr>
          <w:color w:val="231F20"/>
          <w:spacing w:val="-10"/>
          <w:sz w:val="19"/>
          <w:vertAlign w:val="baseline"/>
        </w:rPr>
        <w:t> </w:t>
      </w:r>
      <w:r>
        <w:rPr>
          <w:color w:val="231F20"/>
          <w:spacing w:val="-2"/>
          <w:sz w:val="19"/>
          <w:vertAlign w:val="baseline"/>
        </w:rPr>
        <w:t>Court,</w:t>
      </w:r>
      <w:r>
        <w:rPr>
          <w:color w:val="231F20"/>
          <w:spacing w:val="-9"/>
          <w:sz w:val="19"/>
          <w:vertAlign w:val="baseline"/>
        </w:rPr>
        <w:t> </w:t>
      </w:r>
      <w:r>
        <w:rPr>
          <w:color w:val="231F20"/>
          <w:spacing w:val="-2"/>
          <w:sz w:val="19"/>
          <w:vertAlign w:val="baseline"/>
        </w:rPr>
        <w:t>defined</w:t>
      </w:r>
      <w:r>
        <w:rPr>
          <w:color w:val="231F20"/>
          <w:spacing w:val="-10"/>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main</w:t>
      </w:r>
      <w:r>
        <w:rPr>
          <w:color w:val="231F20"/>
          <w:spacing w:val="-10"/>
          <w:sz w:val="19"/>
          <w:vertAlign w:val="baseline"/>
        </w:rPr>
        <w:t> </w:t>
      </w:r>
      <w:r>
        <w:rPr>
          <w:color w:val="231F20"/>
          <w:spacing w:val="-2"/>
          <w:sz w:val="19"/>
          <w:vertAlign w:val="baseline"/>
        </w:rPr>
        <w:t>subject</w:t>
      </w:r>
      <w:r>
        <w:rPr>
          <w:color w:val="231F20"/>
          <w:spacing w:val="-9"/>
          <w:sz w:val="19"/>
          <w:vertAlign w:val="baseline"/>
        </w:rPr>
        <w:t> </w:t>
      </w:r>
      <w:r>
        <w:rPr>
          <w:color w:val="231F20"/>
          <w:spacing w:val="-2"/>
          <w:sz w:val="19"/>
          <w:vertAlign w:val="baseline"/>
        </w:rPr>
        <w:t>matter</w:t>
      </w:r>
      <w:r>
        <w:rPr>
          <w:color w:val="231F20"/>
          <w:spacing w:val="-9"/>
          <w:sz w:val="19"/>
          <w:vertAlign w:val="baseline"/>
        </w:rPr>
        <w:t> </w:t>
      </w:r>
      <w:r>
        <w:rPr>
          <w:color w:val="231F20"/>
          <w:spacing w:val="-2"/>
          <w:sz w:val="19"/>
          <w:vertAlign w:val="baseline"/>
        </w:rPr>
        <w:t>of</w:t>
      </w:r>
      <w:r>
        <w:rPr>
          <w:color w:val="231F20"/>
          <w:spacing w:val="-10"/>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contract</w:t>
      </w:r>
      <w:r>
        <w:rPr>
          <w:color w:val="231F20"/>
          <w:spacing w:val="-10"/>
          <w:sz w:val="19"/>
          <w:vertAlign w:val="baseline"/>
        </w:rPr>
        <w:t> </w:t>
      </w:r>
      <w:r>
        <w:rPr>
          <w:color w:val="231F20"/>
          <w:spacing w:val="-2"/>
          <w:sz w:val="19"/>
          <w:vertAlign w:val="baseline"/>
        </w:rPr>
        <w:t>(an </w:t>
      </w:r>
      <w:r>
        <w:rPr>
          <w:color w:val="231F20"/>
          <w:sz w:val="19"/>
          <w:vertAlign w:val="baseline"/>
        </w:rPr>
        <w:t>exchange rate risk clause) with the impossibility of the contract to continue in </w:t>
      </w:r>
      <w:r>
        <w:rPr>
          <w:color w:val="231F20"/>
          <w:spacing w:val="-8"/>
          <w:sz w:val="19"/>
          <w:vertAlign w:val="baseline"/>
        </w:rPr>
        <w:t>existence.</w:t>
      </w:r>
      <w:r>
        <w:rPr>
          <w:color w:val="231F20"/>
          <w:spacing w:val="-8"/>
          <w:sz w:val="19"/>
          <w:vertAlign w:val="superscript"/>
        </w:rPr>
        <w:t>76</w:t>
      </w:r>
      <w:r>
        <w:rPr>
          <w:color w:val="231F20"/>
          <w:spacing w:val="-1"/>
          <w:sz w:val="19"/>
          <w:vertAlign w:val="baseline"/>
        </w:rPr>
        <w:t> </w:t>
      </w:r>
      <w:r>
        <w:rPr>
          <w:color w:val="231F20"/>
          <w:spacing w:val="-8"/>
          <w:sz w:val="19"/>
          <w:vertAlign w:val="baseline"/>
        </w:rPr>
        <w:t>Therefrom,</w:t>
      </w:r>
      <w:r>
        <w:rPr>
          <w:color w:val="231F20"/>
          <w:spacing w:val="-1"/>
          <w:sz w:val="19"/>
          <w:vertAlign w:val="baseline"/>
        </w:rPr>
        <w:t> </w:t>
      </w:r>
      <w:r>
        <w:rPr>
          <w:color w:val="231F20"/>
          <w:spacing w:val="-8"/>
          <w:sz w:val="19"/>
          <w:vertAlign w:val="baseline"/>
        </w:rPr>
        <w:t>it</w:t>
      </w:r>
      <w:r>
        <w:rPr>
          <w:color w:val="231F20"/>
          <w:spacing w:val="-1"/>
          <w:sz w:val="19"/>
          <w:vertAlign w:val="baseline"/>
        </w:rPr>
        <w:t> </w:t>
      </w:r>
      <w:r>
        <w:rPr>
          <w:color w:val="231F20"/>
          <w:spacing w:val="-8"/>
          <w:sz w:val="19"/>
          <w:vertAlign w:val="baseline"/>
        </w:rPr>
        <w:t>declared</w:t>
      </w:r>
      <w:r>
        <w:rPr>
          <w:color w:val="231F20"/>
          <w:spacing w:val="-1"/>
          <w:sz w:val="19"/>
          <w:vertAlign w:val="baseline"/>
        </w:rPr>
        <w:t> </w:t>
      </w:r>
      <w:r>
        <w:rPr>
          <w:color w:val="231F20"/>
          <w:spacing w:val="-8"/>
          <w:sz w:val="19"/>
          <w:vertAlign w:val="baseline"/>
        </w:rPr>
        <w:t>that</w:t>
      </w:r>
      <w:r>
        <w:rPr>
          <w:color w:val="231F20"/>
          <w:sz w:val="19"/>
          <w:vertAlign w:val="baseline"/>
        </w:rPr>
        <w:t> </w:t>
      </w:r>
      <w:r>
        <w:rPr>
          <w:rFonts w:ascii="Arial" w:hAnsi="Arial"/>
          <w:color w:val="231F20"/>
          <w:spacing w:val="-8"/>
          <w:sz w:val="19"/>
          <w:vertAlign w:val="baseline"/>
        </w:rPr>
        <w:t>‘</w:t>
      </w:r>
      <w:r>
        <w:rPr>
          <w:color w:val="231F20"/>
          <w:spacing w:val="-8"/>
          <w:sz w:val="19"/>
          <w:vertAlign w:val="baseline"/>
        </w:rPr>
        <w:t>the</w:t>
      </w:r>
      <w:r>
        <w:rPr>
          <w:color w:val="231F20"/>
          <w:spacing w:val="-1"/>
          <w:sz w:val="19"/>
          <w:vertAlign w:val="baseline"/>
        </w:rPr>
        <w:t> </w:t>
      </w:r>
      <w:r>
        <w:rPr>
          <w:color w:val="231F20"/>
          <w:spacing w:val="-8"/>
          <w:sz w:val="19"/>
          <w:vertAlign w:val="baseline"/>
        </w:rPr>
        <w:t>continuation</w:t>
      </w:r>
      <w:r>
        <w:rPr>
          <w:color w:val="231F20"/>
          <w:spacing w:val="-1"/>
          <w:sz w:val="19"/>
          <w:vertAlign w:val="baseline"/>
        </w:rPr>
        <w:t> </w:t>
      </w:r>
      <w:r>
        <w:rPr>
          <w:color w:val="231F20"/>
          <w:spacing w:val="-8"/>
          <w:sz w:val="19"/>
          <w:vertAlign w:val="baseline"/>
        </w:rPr>
        <w:t>of</w:t>
      </w:r>
      <w:r>
        <w:rPr>
          <w:color w:val="231F20"/>
          <w:spacing w:val="7"/>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contract</w:t>
      </w:r>
      <w:r>
        <w:rPr>
          <w:color w:val="231F20"/>
          <w:spacing w:val="-1"/>
          <w:sz w:val="19"/>
          <w:vertAlign w:val="baseline"/>
        </w:rPr>
        <w:t> </w:t>
      </w:r>
      <w:r>
        <w:rPr>
          <w:color w:val="231F20"/>
          <w:spacing w:val="-8"/>
          <w:sz w:val="19"/>
          <w:vertAlign w:val="baseline"/>
        </w:rPr>
        <w:t>does</w:t>
      </w:r>
      <w:r>
        <w:rPr>
          <w:color w:val="231F20"/>
          <w:sz w:val="19"/>
          <w:vertAlign w:val="baseline"/>
        </w:rPr>
        <w:t> </w:t>
      </w:r>
      <w:r>
        <w:rPr>
          <w:color w:val="231F20"/>
          <w:spacing w:val="-8"/>
          <w:sz w:val="19"/>
          <w:vertAlign w:val="baseline"/>
        </w:rPr>
        <w:t>not</w:t>
      </w:r>
      <w:r>
        <w:rPr>
          <w:color w:val="231F20"/>
          <w:spacing w:val="5"/>
          <w:sz w:val="19"/>
          <w:vertAlign w:val="baseline"/>
        </w:rPr>
        <w:t> </w:t>
      </w:r>
      <w:r>
        <w:rPr>
          <w:color w:val="231F20"/>
          <w:spacing w:val="-8"/>
          <w:sz w:val="19"/>
          <w:vertAlign w:val="baseline"/>
        </w:rPr>
        <w:t>appear</w:t>
      </w:r>
      <w:r>
        <w:rPr>
          <w:color w:val="231F20"/>
          <w:sz w:val="19"/>
          <w:vertAlign w:val="baseline"/>
        </w:rPr>
        <w:t> legally</w:t>
      </w:r>
      <w:r>
        <w:rPr>
          <w:color w:val="231F20"/>
          <w:spacing w:val="-2"/>
          <w:sz w:val="19"/>
          <w:vertAlign w:val="baseline"/>
        </w:rPr>
        <w:t> </w:t>
      </w:r>
      <w:r>
        <w:rPr>
          <w:color w:val="231F20"/>
          <w:sz w:val="19"/>
          <w:vertAlign w:val="baseline"/>
        </w:rPr>
        <w:t>possible</w:t>
      </w:r>
      <w:r>
        <w:rPr>
          <w:rFonts w:ascii="Arial" w:hAnsi="Arial"/>
          <w:color w:val="231F20"/>
          <w:sz w:val="19"/>
          <w:vertAlign w:val="baseline"/>
        </w:rPr>
        <w:t>’</w:t>
      </w:r>
      <w:r>
        <w:rPr>
          <w:color w:val="231F20"/>
          <w:sz w:val="19"/>
          <w:vertAlign w:val="baseline"/>
        </w:rPr>
        <w:t>,</w:t>
      </w:r>
      <w:r>
        <w:rPr>
          <w:color w:val="231F20"/>
          <w:spacing w:val="-3"/>
          <w:sz w:val="19"/>
          <w:vertAlign w:val="baseline"/>
        </w:rPr>
        <w:t> </w:t>
      </w:r>
      <w:r>
        <w:rPr>
          <w:color w:val="231F20"/>
          <w:sz w:val="19"/>
          <w:vertAlign w:val="baseline"/>
        </w:rPr>
        <w:t>which</w:t>
      </w:r>
      <w:r>
        <w:rPr>
          <w:color w:val="231F20"/>
          <w:spacing w:val="-1"/>
          <w:sz w:val="19"/>
          <w:vertAlign w:val="baseline"/>
        </w:rPr>
        <w:t> </w:t>
      </w:r>
      <w:r>
        <w:rPr>
          <w:color w:val="231F20"/>
          <w:sz w:val="19"/>
          <w:vertAlign w:val="baseline"/>
        </w:rPr>
        <w:t>it</w:t>
      </w:r>
      <w:r>
        <w:rPr>
          <w:color w:val="231F20"/>
          <w:spacing w:val="-2"/>
          <w:sz w:val="19"/>
          <w:vertAlign w:val="baseline"/>
        </w:rPr>
        <w:t> </w:t>
      </w:r>
      <w:r>
        <w:rPr>
          <w:color w:val="231F20"/>
          <w:sz w:val="19"/>
          <w:vertAlign w:val="baseline"/>
        </w:rPr>
        <w:t>subjected</w:t>
      </w:r>
      <w:r>
        <w:rPr>
          <w:color w:val="231F20"/>
          <w:spacing w:val="-2"/>
          <w:sz w:val="19"/>
          <w:vertAlign w:val="baseline"/>
        </w:rPr>
        <w:t> </w:t>
      </w:r>
      <w:r>
        <w:rPr>
          <w:color w:val="231F20"/>
          <w:sz w:val="19"/>
          <w:vertAlign w:val="baseline"/>
        </w:rPr>
        <w:t>to</w:t>
      </w:r>
      <w:r>
        <w:rPr>
          <w:color w:val="231F20"/>
          <w:spacing w:val="-2"/>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assessment</w:t>
      </w:r>
      <w:r>
        <w:rPr>
          <w:color w:val="231F20"/>
          <w:spacing w:val="-1"/>
          <w:sz w:val="19"/>
          <w:vertAlign w:val="baseline"/>
        </w:rPr>
        <w:t> </w:t>
      </w:r>
      <w:r>
        <w:rPr>
          <w:color w:val="231F20"/>
          <w:sz w:val="19"/>
          <w:vertAlign w:val="baseline"/>
        </w:rPr>
        <w:t>of the</w:t>
      </w:r>
      <w:r>
        <w:rPr>
          <w:color w:val="231F20"/>
          <w:spacing w:val="-2"/>
          <w:sz w:val="19"/>
          <w:vertAlign w:val="baseline"/>
        </w:rPr>
        <w:t> </w:t>
      </w:r>
      <w:r>
        <w:rPr>
          <w:color w:val="231F20"/>
          <w:sz w:val="19"/>
          <w:vertAlign w:val="baseline"/>
        </w:rPr>
        <w:t>national</w:t>
      </w:r>
      <w:r>
        <w:rPr>
          <w:color w:val="231F20"/>
          <w:spacing w:val="-2"/>
          <w:sz w:val="19"/>
          <w:vertAlign w:val="baseline"/>
        </w:rPr>
        <w:t> </w:t>
      </w:r>
      <w:r>
        <w:rPr>
          <w:color w:val="231F20"/>
          <w:sz w:val="19"/>
          <w:vertAlign w:val="baseline"/>
        </w:rPr>
        <w:t>court.</w:t>
      </w:r>
      <w:r>
        <w:rPr>
          <w:color w:val="231F20"/>
          <w:sz w:val="19"/>
          <w:vertAlign w:val="superscript"/>
        </w:rPr>
        <w:t>77</w:t>
      </w:r>
      <w:r>
        <w:rPr>
          <w:color w:val="231F20"/>
          <w:spacing w:val="-2"/>
          <w:sz w:val="19"/>
          <w:vertAlign w:val="baseline"/>
        </w:rPr>
        <w:t> </w:t>
      </w:r>
      <w:r>
        <w:rPr>
          <w:color w:val="231F20"/>
          <w:sz w:val="19"/>
          <w:vertAlign w:val="baseline"/>
        </w:rPr>
        <w:t>This conclusion</w:t>
      </w:r>
      <w:r>
        <w:rPr>
          <w:color w:val="231F20"/>
          <w:spacing w:val="-12"/>
          <w:sz w:val="19"/>
          <w:vertAlign w:val="baseline"/>
        </w:rPr>
        <w:t> </w:t>
      </w:r>
      <w:r>
        <w:rPr>
          <w:color w:val="231F20"/>
          <w:sz w:val="19"/>
          <w:vertAlign w:val="baseline"/>
        </w:rPr>
        <w:t>was</w:t>
      </w:r>
      <w:r>
        <w:rPr>
          <w:color w:val="231F20"/>
          <w:spacing w:val="-11"/>
          <w:sz w:val="19"/>
          <w:vertAlign w:val="baseline"/>
        </w:rPr>
        <w:t> </w:t>
      </w:r>
      <w:r>
        <w:rPr>
          <w:color w:val="231F20"/>
          <w:sz w:val="19"/>
          <w:vertAlign w:val="baseline"/>
        </w:rPr>
        <w:t>reiterated,</w:t>
      </w:r>
      <w:r>
        <w:rPr>
          <w:color w:val="231F20"/>
          <w:spacing w:val="-12"/>
          <w:sz w:val="19"/>
          <w:vertAlign w:val="baseline"/>
        </w:rPr>
        <w:t> </w:t>
      </w:r>
      <w:r>
        <w:rPr>
          <w:color w:val="231F20"/>
          <w:sz w:val="19"/>
          <w:vertAlign w:val="baseline"/>
        </w:rPr>
        <w:t>with</w:t>
      </w:r>
      <w:r>
        <w:rPr>
          <w:color w:val="231F20"/>
          <w:spacing w:val="-11"/>
          <w:sz w:val="19"/>
          <w:vertAlign w:val="baseline"/>
        </w:rPr>
        <w:t> </w:t>
      </w:r>
      <w:r>
        <w:rPr>
          <w:color w:val="231F20"/>
          <w:sz w:val="19"/>
          <w:vertAlign w:val="baseline"/>
        </w:rPr>
        <w:t>lighter</w:t>
      </w:r>
      <w:r>
        <w:rPr>
          <w:color w:val="231F20"/>
          <w:spacing w:val="-12"/>
          <w:sz w:val="19"/>
          <w:vertAlign w:val="baseline"/>
        </w:rPr>
        <w:t> </w:t>
      </w:r>
      <w:r>
        <w:rPr>
          <w:color w:val="231F20"/>
          <w:sz w:val="19"/>
          <w:vertAlign w:val="baseline"/>
        </w:rPr>
        <w:t>wording,</w:t>
      </w:r>
      <w:r>
        <w:rPr>
          <w:color w:val="231F20"/>
          <w:spacing w:val="-11"/>
          <w:sz w:val="19"/>
          <w:vertAlign w:val="baseline"/>
        </w:rPr>
        <w:t> </w:t>
      </w:r>
      <w:r>
        <w:rPr>
          <w:color w:val="231F20"/>
          <w:sz w:val="19"/>
          <w:vertAlign w:val="baseline"/>
        </w:rPr>
        <w:t>in</w:t>
      </w:r>
      <w:r>
        <w:rPr>
          <w:color w:val="231F20"/>
          <w:spacing w:val="-12"/>
          <w:sz w:val="19"/>
          <w:vertAlign w:val="baseline"/>
        </w:rPr>
        <w:t> </w:t>
      </w:r>
      <w:r>
        <w:rPr>
          <w:color w:val="231F20"/>
          <w:sz w:val="19"/>
          <w:vertAlign w:val="baseline"/>
        </w:rPr>
        <w:t>Case</w:t>
      </w:r>
      <w:r>
        <w:rPr>
          <w:color w:val="231F20"/>
          <w:spacing w:val="-11"/>
          <w:sz w:val="19"/>
          <w:vertAlign w:val="baseline"/>
        </w:rPr>
        <w:t> </w:t>
      </w:r>
      <w:r>
        <w:rPr>
          <w:color w:val="231F20"/>
          <w:sz w:val="19"/>
          <w:vertAlign w:val="baseline"/>
        </w:rPr>
        <w:t>C-260/18,</w:t>
      </w:r>
      <w:r>
        <w:rPr>
          <w:color w:val="231F20"/>
          <w:spacing w:val="-12"/>
          <w:sz w:val="19"/>
          <w:vertAlign w:val="baseline"/>
        </w:rPr>
        <w:t> </w:t>
      </w:r>
      <w:r>
        <w:rPr>
          <w:i/>
          <w:color w:val="231F20"/>
          <w:sz w:val="19"/>
          <w:vertAlign w:val="baseline"/>
        </w:rPr>
        <w:t>Dziubak</w:t>
      </w:r>
      <w:r>
        <w:rPr>
          <w:color w:val="231F20"/>
          <w:sz w:val="19"/>
          <w:vertAlign w:val="baseline"/>
        </w:rPr>
        <w:t>,</w:t>
      </w:r>
      <w:r>
        <w:rPr>
          <w:color w:val="231F20"/>
          <w:spacing w:val="-11"/>
          <w:sz w:val="19"/>
          <w:vertAlign w:val="baseline"/>
        </w:rPr>
        <w:t> </w:t>
      </w:r>
      <w:r>
        <w:rPr>
          <w:color w:val="231F20"/>
          <w:sz w:val="19"/>
          <w:vertAlign w:val="baseline"/>
        </w:rPr>
        <w:t>where </w:t>
      </w:r>
      <w:r>
        <w:rPr>
          <w:color w:val="231F20"/>
          <w:spacing w:val="-2"/>
          <w:sz w:val="19"/>
          <w:vertAlign w:val="baseline"/>
        </w:rPr>
        <w:t>the</w:t>
      </w:r>
      <w:r>
        <w:rPr>
          <w:color w:val="231F20"/>
          <w:spacing w:val="-10"/>
          <w:sz w:val="19"/>
          <w:vertAlign w:val="baseline"/>
        </w:rPr>
        <w:t> </w:t>
      </w:r>
      <w:r>
        <w:rPr>
          <w:color w:val="231F20"/>
          <w:spacing w:val="-2"/>
          <w:sz w:val="19"/>
          <w:vertAlign w:val="baseline"/>
        </w:rPr>
        <w:t>continuation</w:t>
      </w:r>
      <w:r>
        <w:rPr>
          <w:color w:val="231F20"/>
          <w:spacing w:val="-9"/>
          <w:sz w:val="19"/>
          <w:vertAlign w:val="baseline"/>
        </w:rPr>
        <w:t> </w:t>
      </w:r>
      <w:r>
        <w:rPr>
          <w:color w:val="231F20"/>
          <w:spacing w:val="-2"/>
          <w:sz w:val="19"/>
          <w:vertAlign w:val="baseline"/>
        </w:rPr>
        <w:t>of</w:t>
      </w:r>
      <w:r>
        <w:rPr>
          <w:color w:val="231F20"/>
          <w:spacing w:val="-10"/>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contract,</w:t>
      </w:r>
      <w:r>
        <w:rPr>
          <w:color w:val="231F20"/>
          <w:spacing w:val="-10"/>
          <w:sz w:val="19"/>
          <w:vertAlign w:val="baseline"/>
        </w:rPr>
        <w:t> </w:t>
      </w:r>
      <w:r>
        <w:rPr>
          <w:color w:val="231F20"/>
          <w:spacing w:val="-2"/>
          <w:sz w:val="19"/>
          <w:vertAlign w:val="baseline"/>
        </w:rPr>
        <w:t>in</w:t>
      </w:r>
      <w:r>
        <w:rPr>
          <w:color w:val="231F20"/>
          <w:spacing w:val="-9"/>
          <w:sz w:val="19"/>
          <w:vertAlign w:val="baseline"/>
        </w:rPr>
        <w:t> </w:t>
      </w:r>
      <w:r>
        <w:rPr>
          <w:color w:val="231F20"/>
          <w:spacing w:val="-2"/>
          <w:sz w:val="19"/>
          <w:vertAlign w:val="baseline"/>
        </w:rPr>
        <w:t>similar</w:t>
      </w:r>
      <w:r>
        <w:rPr>
          <w:color w:val="231F20"/>
          <w:spacing w:val="-10"/>
          <w:sz w:val="19"/>
          <w:vertAlign w:val="baseline"/>
        </w:rPr>
        <w:t> </w:t>
      </w:r>
      <w:r>
        <w:rPr>
          <w:color w:val="231F20"/>
          <w:spacing w:val="-2"/>
          <w:sz w:val="19"/>
          <w:vertAlign w:val="baseline"/>
        </w:rPr>
        <w:t>circumstances,</w:t>
      </w:r>
      <w:r>
        <w:rPr>
          <w:color w:val="231F20"/>
          <w:spacing w:val="-9"/>
          <w:sz w:val="19"/>
          <w:vertAlign w:val="baseline"/>
        </w:rPr>
        <w:t> </w:t>
      </w:r>
      <w:r>
        <w:rPr>
          <w:color w:val="231F20"/>
          <w:spacing w:val="-2"/>
          <w:sz w:val="19"/>
          <w:vertAlign w:val="baseline"/>
        </w:rPr>
        <w:t>was</w:t>
      </w:r>
      <w:r>
        <w:rPr>
          <w:color w:val="231F20"/>
          <w:spacing w:val="-10"/>
          <w:sz w:val="19"/>
          <w:vertAlign w:val="baseline"/>
        </w:rPr>
        <w:t> </w:t>
      </w:r>
      <w:r>
        <w:rPr>
          <w:color w:val="231F20"/>
          <w:spacing w:val="-2"/>
          <w:sz w:val="19"/>
          <w:vertAlign w:val="baseline"/>
        </w:rPr>
        <w:t>deemed</w:t>
      </w:r>
      <w:r>
        <w:rPr>
          <w:color w:val="231F20"/>
          <w:spacing w:val="-9"/>
          <w:sz w:val="19"/>
          <w:vertAlign w:val="baseline"/>
        </w:rPr>
        <w:t> </w:t>
      </w:r>
      <w:r>
        <w:rPr>
          <w:rFonts w:ascii="Arial" w:hAnsi="Arial"/>
          <w:color w:val="231F20"/>
          <w:spacing w:val="-2"/>
          <w:sz w:val="19"/>
          <w:vertAlign w:val="baseline"/>
        </w:rPr>
        <w:t>‘</w:t>
      </w:r>
      <w:r>
        <w:rPr>
          <w:color w:val="231F20"/>
          <w:spacing w:val="-2"/>
          <w:sz w:val="19"/>
          <w:vertAlign w:val="baseline"/>
        </w:rPr>
        <w:t>uncertain</w:t>
      </w:r>
      <w:r>
        <w:rPr>
          <w:rFonts w:ascii="Arial" w:hAnsi="Arial"/>
          <w:color w:val="231F20"/>
          <w:spacing w:val="-2"/>
          <w:sz w:val="19"/>
          <w:vertAlign w:val="baseline"/>
        </w:rPr>
        <w:t>’</w:t>
      </w:r>
      <w:r>
        <w:rPr>
          <w:color w:val="231F20"/>
          <w:spacing w:val="-2"/>
          <w:sz w:val="19"/>
          <w:vertAlign w:val="baseline"/>
        </w:rPr>
        <w:t>.</w:t>
      </w:r>
      <w:r>
        <w:rPr>
          <w:color w:val="231F20"/>
          <w:spacing w:val="-2"/>
          <w:sz w:val="19"/>
          <w:vertAlign w:val="superscript"/>
        </w:rPr>
        <w:t>78</w:t>
      </w:r>
    </w:p>
    <w:p>
      <w:pPr>
        <w:pStyle w:val="ListParagraph"/>
        <w:numPr>
          <w:ilvl w:val="0"/>
          <w:numId w:val="4"/>
        </w:numPr>
        <w:tabs>
          <w:tab w:pos="1324" w:val="left" w:leader="none"/>
        </w:tabs>
        <w:spacing w:line="288" w:lineRule="auto" w:before="126" w:after="0"/>
        <w:ind w:left="871" w:right="868" w:firstLine="0"/>
        <w:jc w:val="both"/>
        <w:rPr>
          <w:sz w:val="19"/>
        </w:rPr>
      </w:pPr>
      <w:r>
        <w:rPr>
          <w:color w:val="231F20"/>
          <w:sz w:val="19"/>
        </w:rPr>
        <w:t>As the final determination is left to national law, there is room for hetero- geneity</w:t>
      </w:r>
      <w:r>
        <w:rPr>
          <w:color w:val="231F20"/>
          <w:spacing w:val="-9"/>
          <w:sz w:val="19"/>
        </w:rPr>
        <w:t> </w:t>
      </w:r>
      <w:r>
        <w:rPr>
          <w:color w:val="231F20"/>
          <w:sz w:val="19"/>
        </w:rPr>
        <w:t>in</w:t>
      </w:r>
      <w:r>
        <w:rPr>
          <w:color w:val="231F20"/>
          <w:spacing w:val="-9"/>
          <w:sz w:val="19"/>
        </w:rPr>
        <w:t> </w:t>
      </w:r>
      <w:r>
        <w:rPr>
          <w:color w:val="231F20"/>
          <w:sz w:val="19"/>
        </w:rPr>
        <w:t>the</w:t>
      </w:r>
      <w:r>
        <w:rPr>
          <w:color w:val="231F20"/>
          <w:spacing w:val="-10"/>
          <w:sz w:val="19"/>
        </w:rPr>
        <w:t> </w:t>
      </w:r>
      <w:r>
        <w:rPr>
          <w:color w:val="231F20"/>
          <w:sz w:val="19"/>
        </w:rPr>
        <w:t>outcome</w:t>
      </w:r>
      <w:r>
        <w:rPr>
          <w:color w:val="231F20"/>
          <w:spacing w:val="-9"/>
          <w:sz w:val="19"/>
        </w:rPr>
        <w:t> </w:t>
      </w:r>
      <w:r>
        <w:rPr>
          <w:color w:val="231F20"/>
          <w:sz w:val="19"/>
        </w:rPr>
        <w:t>of</w:t>
      </w:r>
      <w:r>
        <w:rPr>
          <w:color w:val="231F20"/>
          <w:spacing w:val="-9"/>
          <w:sz w:val="19"/>
        </w:rPr>
        <w:t> </w:t>
      </w:r>
      <w:r>
        <w:rPr>
          <w:color w:val="231F20"/>
          <w:sz w:val="19"/>
        </w:rPr>
        <w:t>cases.</w:t>
      </w:r>
      <w:r>
        <w:rPr>
          <w:color w:val="231F20"/>
          <w:spacing w:val="-9"/>
          <w:sz w:val="19"/>
        </w:rPr>
        <w:t> </w:t>
      </w:r>
      <w:r>
        <w:rPr>
          <w:color w:val="231F20"/>
          <w:sz w:val="19"/>
        </w:rPr>
        <w:t>Member</w:t>
      </w:r>
      <w:r>
        <w:rPr>
          <w:color w:val="231F20"/>
          <w:spacing w:val="-9"/>
          <w:sz w:val="19"/>
        </w:rPr>
        <w:t> </w:t>
      </w:r>
      <w:r>
        <w:rPr>
          <w:color w:val="231F20"/>
          <w:sz w:val="19"/>
        </w:rPr>
        <w:t>States</w:t>
      </w:r>
      <w:r>
        <w:rPr>
          <w:color w:val="231F20"/>
          <w:spacing w:val="-10"/>
          <w:sz w:val="19"/>
        </w:rPr>
        <w:t> </w:t>
      </w:r>
      <w:r>
        <w:rPr>
          <w:color w:val="231F20"/>
          <w:sz w:val="19"/>
        </w:rPr>
        <w:t>could</w:t>
      </w:r>
      <w:r>
        <w:rPr>
          <w:color w:val="231F20"/>
          <w:spacing w:val="-9"/>
          <w:sz w:val="19"/>
        </w:rPr>
        <w:t> </w:t>
      </w:r>
      <w:r>
        <w:rPr>
          <w:color w:val="231F20"/>
          <w:sz w:val="19"/>
        </w:rPr>
        <w:t>take</w:t>
      </w:r>
      <w:r>
        <w:rPr>
          <w:color w:val="231F20"/>
          <w:spacing w:val="-11"/>
          <w:sz w:val="19"/>
        </w:rPr>
        <w:t> </w:t>
      </w:r>
      <w:r>
        <w:rPr>
          <w:color w:val="231F20"/>
          <w:sz w:val="19"/>
        </w:rPr>
        <w:t>different</w:t>
      </w:r>
      <w:r>
        <w:rPr>
          <w:color w:val="231F20"/>
          <w:spacing w:val="-6"/>
          <w:sz w:val="19"/>
        </w:rPr>
        <w:t> </w:t>
      </w:r>
      <w:r>
        <w:rPr>
          <w:color w:val="231F20"/>
          <w:sz w:val="19"/>
        </w:rPr>
        <w:t>approaches</w:t>
      </w:r>
      <w:r>
        <w:rPr>
          <w:color w:val="231F20"/>
          <w:spacing w:val="-9"/>
          <w:sz w:val="19"/>
        </w:rPr>
        <w:t> </w:t>
      </w:r>
      <w:r>
        <w:rPr>
          <w:color w:val="231F20"/>
          <w:sz w:val="19"/>
        </w:rPr>
        <w:t>as to</w:t>
      </w:r>
      <w:r>
        <w:rPr>
          <w:color w:val="231F20"/>
          <w:spacing w:val="-8"/>
          <w:sz w:val="19"/>
        </w:rPr>
        <w:t> </w:t>
      </w:r>
      <w:r>
        <w:rPr>
          <w:color w:val="231F20"/>
          <w:sz w:val="19"/>
        </w:rPr>
        <w:t>when</w:t>
      </w:r>
      <w:r>
        <w:rPr>
          <w:color w:val="231F20"/>
          <w:spacing w:val="-7"/>
          <w:sz w:val="19"/>
        </w:rPr>
        <w:t> </w:t>
      </w:r>
      <w:r>
        <w:rPr>
          <w:color w:val="231F20"/>
          <w:sz w:val="19"/>
        </w:rPr>
        <w:t>the</w:t>
      </w:r>
      <w:r>
        <w:rPr>
          <w:color w:val="231F20"/>
          <w:spacing w:val="-8"/>
          <w:sz w:val="19"/>
        </w:rPr>
        <w:t> </w:t>
      </w:r>
      <w:r>
        <w:rPr>
          <w:color w:val="231F20"/>
          <w:sz w:val="19"/>
        </w:rPr>
        <w:t>contract</w:t>
      </w:r>
      <w:r>
        <w:rPr>
          <w:color w:val="231F20"/>
          <w:spacing w:val="-7"/>
          <w:sz w:val="19"/>
        </w:rPr>
        <w:t> </w:t>
      </w:r>
      <w:r>
        <w:rPr>
          <w:color w:val="231F20"/>
          <w:sz w:val="19"/>
        </w:rPr>
        <w:t>cannot</w:t>
      </w:r>
      <w:r>
        <w:rPr>
          <w:color w:val="231F20"/>
          <w:spacing w:val="-7"/>
          <w:sz w:val="19"/>
        </w:rPr>
        <w:t> </w:t>
      </w:r>
      <w:r>
        <w:rPr>
          <w:color w:val="231F20"/>
          <w:sz w:val="19"/>
        </w:rPr>
        <w:t>continue</w:t>
      </w:r>
      <w:r>
        <w:rPr>
          <w:color w:val="231F20"/>
          <w:spacing w:val="-8"/>
          <w:sz w:val="19"/>
        </w:rPr>
        <w:t> </w:t>
      </w:r>
      <w:r>
        <w:rPr>
          <w:color w:val="231F20"/>
          <w:sz w:val="19"/>
        </w:rPr>
        <w:t>in</w:t>
      </w:r>
      <w:r>
        <w:rPr>
          <w:color w:val="231F20"/>
          <w:spacing w:val="-7"/>
          <w:sz w:val="19"/>
        </w:rPr>
        <w:t> </w:t>
      </w:r>
      <w:r>
        <w:rPr>
          <w:color w:val="231F20"/>
          <w:sz w:val="19"/>
        </w:rPr>
        <w:t>existence,</w:t>
      </w:r>
      <w:r>
        <w:rPr>
          <w:color w:val="231F20"/>
          <w:spacing w:val="-8"/>
          <w:sz w:val="19"/>
        </w:rPr>
        <w:t> </w:t>
      </w:r>
      <w:r>
        <w:rPr>
          <w:color w:val="231F20"/>
          <w:sz w:val="19"/>
        </w:rPr>
        <w:t>for</w:t>
      </w:r>
      <w:r>
        <w:rPr>
          <w:color w:val="231F20"/>
          <w:spacing w:val="-8"/>
          <w:sz w:val="19"/>
        </w:rPr>
        <w:t> </w:t>
      </w:r>
      <w:r>
        <w:rPr>
          <w:color w:val="231F20"/>
          <w:sz w:val="19"/>
        </w:rPr>
        <w:t>example,</w:t>
      </w:r>
      <w:r>
        <w:rPr>
          <w:color w:val="231F20"/>
          <w:spacing w:val="-8"/>
          <w:sz w:val="19"/>
        </w:rPr>
        <w:t> </w:t>
      </w:r>
      <w:r>
        <w:rPr>
          <w:color w:val="231F20"/>
          <w:sz w:val="19"/>
        </w:rPr>
        <w:t>by</w:t>
      </w:r>
      <w:r>
        <w:rPr>
          <w:color w:val="231F20"/>
          <w:spacing w:val="-7"/>
          <w:sz w:val="19"/>
        </w:rPr>
        <w:t> </w:t>
      </w:r>
      <w:r>
        <w:rPr>
          <w:color w:val="231F20"/>
          <w:sz w:val="19"/>
        </w:rPr>
        <w:t>referring</w:t>
      </w:r>
      <w:r>
        <w:rPr>
          <w:color w:val="231F20"/>
          <w:spacing w:val="-7"/>
          <w:sz w:val="19"/>
        </w:rPr>
        <w:t> </w:t>
      </w:r>
      <w:r>
        <w:rPr>
          <w:color w:val="231F20"/>
          <w:sz w:val="19"/>
        </w:rPr>
        <w:t>to</w:t>
      </w:r>
      <w:r>
        <w:rPr>
          <w:color w:val="231F20"/>
          <w:spacing w:val="-7"/>
          <w:sz w:val="19"/>
        </w:rPr>
        <w:t> </w:t>
      </w:r>
      <w:r>
        <w:rPr>
          <w:color w:val="231F20"/>
          <w:sz w:val="19"/>
        </w:rPr>
        <w:t>the common intention of the parties at the time of contract formation or by giving prevalence to an objective interpretation of the contract that would address its survival without taking the parties</w:t>
      </w:r>
      <w:r>
        <w:rPr>
          <w:rFonts w:ascii="Arial" w:hAnsi="Arial"/>
          <w:color w:val="231F20"/>
          <w:sz w:val="19"/>
        </w:rPr>
        <w:t>’ </w:t>
      </w:r>
      <w:r>
        <w:rPr>
          <w:color w:val="231F20"/>
          <w:sz w:val="19"/>
        </w:rPr>
        <w:t>actual intention into account.</w:t>
      </w:r>
      <w:r>
        <w:rPr>
          <w:color w:val="231F20"/>
          <w:sz w:val="19"/>
          <w:vertAlign w:val="superscript"/>
        </w:rPr>
        <w:t>79</w:t>
      </w:r>
    </w:p>
    <w:p>
      <w:pPr>
        <w:pStyle w:val="ListParagraph"/>
        <w:numPr>
          <w:ilvl w:val="0"/>
          <w:numId w:val="4"/>
        </w:numPr>
        <w:tabs>
          <w:tab w:pos="871" w:val="left" w:leader="none"/>
          <w:tab w:pos="1323" w:val="left" w:leader="none"/>
        </w:tabs>
        <w:spacing w:line="288" w:lineRule="auto" w:before="115" w:after="0"/>
        <w:ind w:left="871" w:right="866" w:hanging="1"/>
        <w:jc w:val="both"/>
        <w:rPr>
          <w:sz w:val="19"/>
        </w:rPr>
      </w:pPr>
      <w:r>
        <w:rPr>
          <w:color w:val="231F20"/>
          <w:sz w:val="19"/>
        </w:rPr>
        <w:t>Notwithstanding,</w:t>
      </w:r>
      <w:r>
        <w:rPr>
          <w:color w:val="231F20"/>
          <w:spacing w:val="-6"/>
          <w:sz w:val="19"/>
        </w:rPr>
        <w:t> </w:t>
      </w:r>
      <w:r>
        <w:rPr>
          <w:color w:val="231F20"/>
          <w:sz w:val="19"/>
        </w:rPr>
        <w:t>the</w:t>
      </w:r>
      <w:r>
        <w:rPr>
          <w:color w:val="231F20"/>
          <w:spacing w:val="-7"/>
          <w:sz w:val="19"/>
        </w:rPr>
        <w:t> </w:t>
      </w:r>
      <w:r>
        <w:rPr>
          <w:color w:val="231F20"/>
          <w:sz w:val="19"/>
        </w:rPr>
        <w:t>ECJ</w:t>
      </w:r>
      <w:r>
        <w:rPr>
          <w:color w:val="231F20"/>
          <w:spacing w:val="-7"/>
          <w:sz w:val="19"/>
        </w:rPr>
        <w:t> </w:t>
      </w:r>
      <w:r>
        <w:rPr>
          <w:color w:val="231F20"/>
          <w:sz w:val="19"/>
        </w:rPr>
        <w:t>has</w:t>
      </w:r>
      <w:r>
        <w:rPr>
          <w:color w:val="231F20"/>
          <w:spacing w:val="-7"/>
          <w:sz w:val="19"/>
        </w:rPr>
        <w:t> </w:t>
      </w:r>
      <w:r>
        <w:rPr>
          <w:color w:val="231F20"/>
          <w:sz w:val="19"/>
        </w:rPr>
        <w:t>ruled</w:t>
      </w:r>
      <w:r>
        <w:rPr>
          <w:color w:val="231F20"/>
          <w:spacing w:val="-6"/>
          <w:sz w:val="19"/>
        </w:rPr>
        <w:t> </w:t>
      </w:r>
      <w:r>
        <w:rPr>
          <w:color w:val="231F20"/>
          <w:sz w:val="19"/>
        </w:rPr>
        <w:t>that</w:t>
      </w:r>
      <w:r>
        <w:rPr>
          <w:color w:val="231F20"/>
          <w:spacing w:val="-7"/>
          <w:sz w:val="19"/>
        </w:rPr>
        <w:t> </w:t>
      </w:r>
      <w:r>
        <w:rPr>
          <w:color w:val="231F20"/>
          <w:sz w:val="19"/>
        </w:rPr>
        <w:t>the</w:t>
      </w:r>
      <w:r>
        <w:rPr>
          <w:color w:val="231F20"/>
          <w:spacing w:val="-7"/>
          <w:sz w:val="19"/>
        </w:rPr>
        <w:t> </w:t>
      </w:r>
      <w:r>
        <w:rPr>
          <w:color w:val="231F20"/>
          <w:sz w:val="19"/>
        </w:rPr>
        <w:t>situation</w:t>
      </w:r>
      <w:r>
        <w:rPr>
          <w:color w:val="231F20"/>
          <w:spacing w:val="-7"/>
          <w:sz w:val="19"/>
        </w:rPr>
        <w:t> </w:t>
      </w:r>
      <w:r>
        <w:rPr>
          <w:color w:val="231F20"/>
          <w:sz w:val="19"/>
        </w:rPr>
        <w:t>of</w:t>
      </w:r>
      <w:r>
        <w:rPr>
          <w:color w:val="231F20"/>
          <w:spacing w:val="-7"/>
          <w:sz w:val="19"/>
        </w:rPr>
        <w:t> </w:t>
      </w:r>
      <w:r>
        <w:rPr>
          <w:i/>
          <w:color w:val="231F20"/>
          <w:sz w:val="19"/>
        </w:rPr>
        <w:t>one</w:t>
      </w:r>
      <w:r>
        <w:rPr>
          <w:i/>
          <w:color w:val="231F20"/>
          <w:spacing w:val="-7"/>
          <w:sz w:val="19"/>
        </w:rPr>
        <w:t> </w:t>
      </w:r>
      <w:r>
        <w:rPr>
          <w:color w:val="231F20"/>
          <w:sz w:val="19"/>
        </w:rPr>
        <w:t>of</w:t>
      </w:r>
      <w:r>
        <w:rPr>
          <w:color w:val="231F20"/>
          <w:spacing w:val="-4"/>
          <w:sz w:val="19"/>
        </w:rPr>
        <w:t> </w:t>
      </w:r>
      <w:r>
        <w:rPr>
          <w:color w:val="231F20"/>
          <w:sz w:val="19"/>
        </w:rPr>
        <w:t>the</w:t>
      </w:r>
      <w:r>
        <w:rPr>
          <w:color w:val="231F20"/>
          <w:spacing w:val="-7"/>
          <w:sz w:val="19"/>
        </w:rPr>
        <w:t> </w:t>
      </w:r>
      <w:r>
        <w:rPr>
          <w:color w:val="231F20"/>
          <w:sz w:val="19"/>
        </w:rPr>
        <w:t>parties</w:t>
      </w:r>
      <w:r>
        <w:rPr>
          <w:color w:val="231F20"/>
          <w:spacing w:val="-7"/>
          <w:sz w:val="19"/>
        </w:rPr>
        <w:t> </w:t>
      </w:r>
      <w:r>
        <w:rPr>
          <w:color w:val="231F20"/>
          <w:sz w:val="19"/>
        </w:rPr>
        <w:t>to the contract cannot be regarded as the decisive criterion to determine whether the contract can continue in existence without the unfair term. Not even if it</w:t>
      </w:r>
      <w:r>
        <w:rPr>
          <w:color w:val="231F20"/>
          <w:spacing w:val="80"/>
          <w:sz w:val="19"/>
        </w:rPr>
        <w:t> </w:t>
      </w:r>
      <w:r>
        <w:rPr>
          <w:color w:val="231F20"/>
          <w:sz w:val="19"/>
        </w:rPr>
        <w:t>were to the advantage of the consumer, unless otherwise stated in national law, which</w:t>
      </w:r>
      <w:r>
        <w:rPr>
          <w:color w:val="231F20"/>
          <w:spacing w:val="23"/>
          <w:sz w:val="19"/>
        </w:rPr>
        <w:t> </w:t>
      </w:r>
      <w:r>
        <w:rPr>
          <w:color w:val="231F20"/>
          <w:sz w:val="19"/>
        </w:rPr>
        <w:t>could</w:t>
      </w:r>
      <w:r>
        <w:rPr>
          <w:color w:val="231F20"/>
          <w:spacing w:val="23"/>
          <w:sz w:val="19"/>
        </w:rPr>
        <w:t> </w:t>
      </w:r>
      <w:r>
        <w:rPr>
          <w:color w:val="231F20"/>
          <w:sz w:val="19"/>
        </w:rPr>
        <w:t>improve</w:t>
      </w:r>
      <w:r>
        <w:rPr>
          <w:color w:val="231F20"/>
          <w:spacing w:val="24"/>
          <w:sz w:val="19"/>
        </w:rPr>
        <w:t> </w:t>
      </w:r>
      <w:r>
        <w:rPr>
          <w:color w:val="231F20"/>
          <w:sz w:val="19"/>
        </w:rPr>
        <w:t>the</w:t>
      </w:r>
      <w:r>
        <w:rPr>
          <w:color w:val="231F20"/>
          <w:spacing w:val="23"/>
          <w:sz w:val="19"/>
        </w:rPr>
        <w:t> </w:t>
      </w:r>
      <w:r>
        <w:rPr>
          <w:color w:val="231F20"/>
          <w:sz w:val="19"/>
        </w:rPr>
        <w:t>protection</w:t>
      </w:r>
      <w:r>
        <w:rPr>
          <w:color w:val="231F20"/>
          <w:spacing w:val="22"/>
          <w:sz w:val="19"/>
        </w:rPr>
        <w:t> </w:t>
      </w:r>
      <w:r>
        <w:rPr>
          <w:color w:val="231F20"/>
          <w:sz w:val="19"/>
        </w:rPr>
        <w:t>granted</w:t>
      </w:r>
      <w:r>
        <w:rPr>
          <w:color w:val="231F20"/>
          <w:spacing w:val="23"/>
          <w:sz w:val="19"/>
        </w:rPr>
        <w:t> </w:t>
      </w:r>
      <w:r>
        <w:rPr>
          <w:color w:val="231F20"/>
          <w:sz w:val="19"/>
        </w:rPr>
        <w:t>to</w:t>
      </w:r>
      <w:r>
        <w:rPr>
          <w:color w:val="231F20"/>
          <w:spacing w:val="23"/>
          <w:sz w:val="19"/>
        </w:rPr>
        <w:t> </w:t>
      </w:r>
      <w:r>
        <w:rPr>
          <w:color w:val="231F20"/>
          <w:sz w:val="19"/>
        </w:rPr>
        <w:t>consumers</w:t>
      </w:r>
      <w:r>
        <w:rPr>
          <w:color w:val="231F20"/>
          <w:spacing w:val="23"/>
          <w:sz w:val="19"/>
        </w:rPr>
        <w:t> </w:t>
      </w:r>
      <w:r>
        <w:rPr>
          <w:color w:val="231F20"/>
          <w:sz w:val="19"/>
        </w:rPr>
        <w:t>under</w:t>
      </w:r>
      <w:r>
        <w:rPr>
          <w:color w:val="231F20"/>
          <w:spacing w:val="24"/>
          <w:sz w:val="19"/>
        </w:rPr>
        <w:t> </w:t>
      </w:r>
      <w:r>
        <w:rPr>
          <w:color w:val="231F20"/>
          <w:sz w:val="19"/>
        </w:rPr>
        <w:t>the</w:t>
      </w:r>
      <w:r>
        <w:rPr>
          <w:color w:val="231F20"/>
          <w:spacing w:val="23"/>
          <w:sz w:val="19"/>
        </w:rPr>
        <w:t> </w:t>
      </w:r>
      <w:r>
        <w:rPr>
          <w:color w:val="231F20"/>
          <w:spacing w:val="-2"/>
          <w:sz w:val="19"/>
        </w:rPr>
        <w:t>UCTD.</w:t>
      </w:r>
      <w:r>
        <w:rPr>
          <w:color w:val="231F20"/>
          <w:spacing w:val="-2"/>
          <w:sz w:val="19"/>
          <w:vertAlign w:val="superscript"/>
        </w:rPr>
        <w:t>80</w:t>
      </w:r>
    </w:p>
    <w:p>
      <w:pPr>
        <w:pStyle w:val="BodyText"/>
        <w:spacing w:before="181"/>
        <w:rPr>
          <w:sz w:val="20"/>
        </w:rPr>
      </w:pPr>
      <w:r>
        <w:rPr/>
        <mc:AlternateContent>
          <mc:Choice Requires="wps">
            <w:drawing>
              <wp:anchor distT="0" distB="0" distL="0" distR="0" allowOverlap="1" layoutInCell="1" locked="0" behindDoc="1" simplePos="0" relativeHeight="487595520">
                <wp:simplePos x="0" y="0"/>
                <wp:positionH relativeFrom="page">
                  <wp:posOffset>1979993</wp:posOffset>
                </wp:positionH>
                <wp:positionV relativeFrom="paragraph">
                  <wp:posOffset>274525</wp:posOffset>
                </wp:positionV>
                <wp:extent cx="1656080" cy="4445"/>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1.616203pt;width:130.394pt;height:.34015pt;mso-position-horizontal-relative:page;mso-position-vertical-relative:paragraph;z-index:-15720960;mso-wrap-distance-left:0;mso-wrap-distance-right:0" id="docshape18"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90" w:lineRule="auto" w:before="0" w:after="0"/>
        <w:ind w:left="866" w:right="868" w:hanging="354"/>
        <w:jc w:val="both"/>
        <w:rPr>
          <w:sz w:val="16"/>
        </w:rPr>
      </w:pPr>
      <w:r>
        <w:rPr>
          <w:color w:val="231F20"/>
          <w:sz w:val="16"/>
        </w:rPr>
        <w:t>ECJ 3 Oct. 2019, ECLI:EU:C:2019:819, </w:t>
      </w:r>
      <w:r>
        <w:rPr>
          <w:i/>
          <w:color w:val="231F20"/>
          <w:sz w:val="16"/>
        </w:rPr>
        <w:t>Kamil Dziubak and Justyna Dziubak </w:t>
      </w:r>
      <w:r>
        <w:rPr>
          <w:color w:val="231F20"/>
          <w:sz w:val="16"/>
        </w:rPr>
        <w:t>v. </w:t>
      </w:r>
      <w:r>
        <w:rPr>
          <w:i/>
          <w:color w:val="231F20"/>
          <w:sz w:val="16"/>
        </w:rPr>
        <w:t>Raiffeisen Bank</w:t>
      </w:r>
      <w:r>
        <w:rPr>
          <w:i/>
          <w:color w:val="231F20"/>
          <w:spacing w:val="40"/>
          <w:sz w:val="16"/>
        </w:rPr>
        <w:t> </w:t>
      </w:r>
      <w:r>
        <w:rPr>
          <w:i/>
          <w:color w:val="231F20"/>
          <w:sz w:val="16"/>
        </w:rPr>
        <w:t>International AG</w:t>
      </w:r>
      <w:r>
        <w:rPr>
          <w:color w:val="231F20"/>
          <w:sz w:val="16"/>
        </w:rPr>
        <w:t>, curia.europa.eu/juris/liste.jsf?num=C-260/18, para. 39. ECJ 29 Apr. 2021,</w:t>
      </w:r>
      <w:r>
        <w:rPr>
          <w:color w:val="231F20"/>
          <w:spacing w:val="40"/>
          <w:sz w:val="16"/>
        </w:rPr>
        <w:t> </w:t>
      </w:r>
      <w:r>
        <w:rPr>
          <w:color w:val="231F20"/>
          <w:sz w:val="16"/>
        </w:rPr>
        <w:t>ECLI:EU:C:2021:341, </w:t>
      </w:r>
      <w:r>
        <w:rPr>
          <w:i/>
          <w:color w:val="231F20"/>
          <w:sz w:val="16"/>
        </w:rPr>
        <w:t>I.W. and R.W. </w:t>
      </w:r>
      <w:r>
        <w:rPr>
          <w:color w:val="231F20"/>
          <w:sz w:val="16"/>
        </w:rPr>
        <w:t>v. </w:t>
      </w:r>
      <w:r>
        <w:rPr>
          <w:i/>
          <w:color w:val="231F20"/>
          <w:sz w:val="16"/>
        </w:rPr>
        <w:t>Bank BPH S.A.</w:t>
      </w:r>
      <w:r>
        <w:rPr>
          <w:color w:val="231F20"/>
          <w:sz w:val="16"/>
        </w:rPr>
        <w:t>, para. 55.</w:t>
      </w:r>
    </w:p>
    <w:p>
      <w:pPr>
        <w:pStyle w:val="ListParagraph"/>
        <w:numPr>
          <w:ilvl w:val="0"/>
          <w:numId w:val="3"/>
        </w:numPr>
        <w:tabs>
          <w:tab w:pos="865" w:val="left" w:leader="none"/>
        </w:tabs>
        <w:spacing w:line="179" w:lineRule="exact" w:before="0"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43.</w:t>
      </w:r>
    </w:p>
    <w:p>
      <w:pPr>
        <w:pStyle w:val="ListParagraph"/>
        <w:numPr>
          <w:ilvl w:val="0"/>
          <w:numId w:val="3"/>
        </w:numPr>
        <w:tabs>
          <w:tab w:pos="866" w:val="left" w:leader="none"/>
        </w:tabs>
        <w:spacing w:line="288" w:lineRule="auto" w:before="37" w:after="0"/>
        <w:ind w:left="866" w:right="869" w:hanging="354"/>
        <w:jc w:val="left"/>
        <w:rPr>
          <w:sz w:val="16"/>
        </w:rPr>
      </w:pPr>
      <w:r>
        <w:rPr>
          <w:color w:val="231F20"/>
          <w:sz w:val="16"/>
        </w:rPr>
        <w:t>ECJ 14 Mar. 2019, ECLI:EU:C:2019:207, </w:t>
      </w:r>
      <w:r>
        <w:rPr>
          <w:i/>
          <w:color w:val="231F20"/>
          <w:sz w:val="16"/>
        </w:rPr>
        <w:t>Zsuzsanna Dunai </w:t>
      </w:r>
      <w:r>
        <w:rPr>
          <w:color w:val="231F20"/>
          <w:sz w:val="16"/>
        </w:rPr>
        <w:t>v. </w:t>
      </w:r>
      <w:r>
        <w:rPr>
          <w:i/>
          <w:color w:val="231F20"/>
          <w:sz w:val="16"/>
        </w:rPr>
        <w:t>ERSTE Bank Hungary Zrt</w:t>
      </w:r>
      <w:r>
        <w:rPr>
          <w:color w:val="231F20"/>
          <w:sz w:val="16"/>
        </w:rPr>
        <w:t>, curia.</w:t>
      </w:r>
      <w:r>
        <w:rPr>
          <w:color w:val="231F20"/>
          <w:spacing w:val="40"/>
          <w:sz w:val="16"/>
        </w:rPr>
        <w:t> </w:t>
      </w:r>
      <w:r>
        <w:rPr>
          <w:color w:val="231F20"/>
          <w:sz w:val="16"/>
        </w:rPr>
        <w:t>europa.eu/juris/liste.jsf?num=C-118/17,</w:t>
      </w:r>
      <w:r>
        <w:rPr>
          <w:color w:val="231F20"/>
          <w:spacing w:val="70"/>
          <w:sz w:val="16"/>
        </w:rPr>
        <w:t> </w:t>
      </w:r>
      <w:r>
        <w:rPr>
          <w:color w:val="231F20"/>
          <w:sz w:val="16"/>
        </w:rPr>
        <w:t>para.</w:t>
      </w:r>
      <w:r>
        <w:rPr>
          <w:color w:val="231F20"/>
          <w:spacing w:val="70"/>
          <w:sz w:val="16"/>
        </w:rPr>
        <w:t> </w:t>
      </w:r>
      <w:r>
        <w:rPr>
          <w:color w:val="231F20"/>
          <w:sz w:val="16"/>
        </w:rPr>
        <w:t>51;</w:t>
      </w:r>
      <w:r>
        <w:rPr>
          <w:color w:val="231F20"/>
          <w:spacing w:val="70"/>
          <w:sz w:val="16"/>
        </w:rPr>
        <w:t> </w:t>
      </w:r>
      <w:r>
        <w:rPr>
          <w:color w:val="231F20"/>
          <w:sz w:val="16"/>
        </w:rPr>
        <w:t>ECJ</w:t>
      </w:r>
      <w:r>
        <w:rPr>
          <w:color w:val="231F20"/>
          <w:spacing w:val="70"/>
          <w:sz w:val="16"/>
        </w:rPr>
        <w:t> </w:t>
      </w:r>
      <w:r>
        <w:rPr>
          <w:color w:val="231F20"/>
          <w:sz w:val="16"/>
        </w:rPr>
        <w:t>3</w:t>
      </w:r>
      <w:r>
        <w:rPr>
          <w:color w:val="231F20"/>
          <w:spacing w:val="71"/>
          <w:sz w:val="16"/>
        </w:rPr>
        <w:t> </w:t>
      </w:r>
      <w:r>
        <w:rPr>
          <w:color w:val="231F20"/>
          <w:sz w:val="16"/>
        </w:rPr>
        <w:t>Oct.</w:t>
      </w:r>
      <w:r>
        <w:rPr>
          <w:color w:val="231F20"/>
          <w:spacing w:val="69"/>
          <w:sz w:val="16"/>
        </w:rPr>
        <w:t> </w:t>
      </w:r>
      <w:r>
        <w:rPr>
          <w:color w:val="231F20"/>
          <w:sz w:val="16"/>
        </w:rPr>
        <w:t>2019,</w:t>
      </w:r>
      <w:r>
        <w:rPr>
          <w:color w:val="231F20"/>
          <w:spacing w:val="70"/>
          <w:sz w:val="16"/>
        </w:rPr>
        <w:t> </w:t>
      </w:r>
      <w:r>
        <w:rPr>
          <w:color w:val="231F20"/>
          <w:sz w:val="16"/>
        </w:rPr>
        <w:t>ECLI:EU:C:2019:819,</w:t>
      </w:r>
    </w:p>
    <w:p>
      <w:pPr>
        <w:spacing w:before="1"/>
        <w:ind w:left="866" w:right="0" w:firstLine="0"/>
        <w:jc w:val="left"/>
        <w:rPr>
          <w:sz w:val="16"/>
        </w:rPr>
      </w:pPr>
      <w:r>
        <w:rPr>
          <w:i/>
          <w:color w:val="231F20"/>
          <w:sz w:val="16"/>
        </w:rPr>
        <w:t>Dziubak</w:t>
      </w:r>
      <w:r>
        <w:rPr>
          <w:color w:val="231F20"/>
          <w:sz w:val="16"/>
        </w:rPr>
        <w:t>,</w:t>
      </w:r>
      <w:r>
        <w:rPr>
          <w:color w:val="231F20"/>
          <w:spacing w:val="1"/>
          <w:sz w:val="16"/>
        </w:rPr>
        <w:t> </w:t>
      </w:r>
      <w:r>
        <w:rPr>
          <w:color w:val="231F20"/>
          <w:sz w:val="16"/>
        </w:rPr>
        <w:t>para.</w:t>
      </w:r>
      <w:r>
        <w:rPr>
          <w:color w:val="231F20"/>
          <w:spacing w:val="3"/>
          <w:sz w:val="16"/>
        </w:rPr>
        <w:t> </w:t>
      </w:r>
      <w:r>
        <w:rPr>
          <w:color w:val="231F20"/>
          <w:spacing w:val="-5"/>
          <w:sz w:val="16"/>
        </w:rPr>
        <w:t>40.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4"/>
          <w:sz w:val="16"/>
        </w:rPr>
        <w:t> </w:t>
      </w:r>
      <w:r>
        <w:rPr>
          <w:color w:val="231F20"/>
          <w:sz w:val="16"/>
        </w:rPr>
        <w:t>14</w:t>
      </w:r>
      <w:r>
        <w:rPr>
          <w:color w:val="231F20"/>
          <w:spacing w:val="5"/>
          <w:sz w:val="16"/>
        </w:rPr>
        <w:t> </w:t>
      </w:r>
      <w:r>
        <w:rPr>
          <w:color w:val="231F20"/>
          <w:sz w:val="16"/>
        </w:rPr>
        <w:t>Mar.</w:t>
      </w:r>
      <w:r>
        <w:rPr>
          <w:color w:val="231F20"/>
          <w:spacing w:val="5"/>
          <w:sz w:val="16"/>
        </w:rPr>
        <w:t> </w:t>
      </w:r>
      <w:r>
        <w:rPr>
          <w:color w:val="231F20"/>
          <w:sz w:val="16"/>
        </w:rPr>
        <w:t>2019,</w:t>
      </w:r>
      <w:r>
        <w:rPr>
          <w:color w:val="231F20"/>
          <w:spacing w:val="6"/>
          <w:sz w:val="16"/>
        </w:rPr>
        <w:t> </w:t>
      </w:r>
      <w:r>
        <w:rPr>
          <w:color w:val="231F20"/>
          <w:sz w:val="16"/>
        </w:rPr>
        <w:t>ECLI:EU:C:2019:207,</w:t>
      </w:r>
      <w:r>
        <w:rPr>
          <w:color w:val="231F20"/>
          <w:spacing w:val="5"/>
          <w:sz w:val="16"/>
        </w:rPr>
        <w:t> </w:t>
      </w:r>
      <w:r>
        <w:rPr>
          <w:i/>
          <w:color w:val="231F20"/>
          <w:sz w:val="16"/>
        </w:rPr>
        <w:t>Dunai</w:t>
      </w:r>
      <w:r>
        <w:rPr>
          <w:color w:val="231F20"/>
          <w:sz w:val="16"/>
        </w:rPr>
        <w:t>,</w:t>
      </w:r>
      <w:r>
        <w:rPr>
          <w:color w:val="231F20"/>
          <w:spacing w:val="5"/>
          <w:sz w:val="16"/>
        </w:rPr>
        <w:t> </w:t>
      </w:r>
      <w:r>
        <w:rPr>
          <w:color w:val="231F20"/>
          <w:sz w:val="16"/>
        </w:rPr>
        <w:t>para.</w:t>
      </w:r>
      <w:r>
        <w:rPr>
          <w:color w:val="231F20"/>
          <w:spacing w:val="5"/>
          <w:sz w:val="16"/>
        </w:rPr>
        <w:t> </w:t>
      </w:r>
      <w:r>
        <w:rPr>
          <w:color w:val="231F20"/>
          <w:spacing w:val="-5"/>
          <w:sz w:val="16"/>
        </w:rPr>
        <w:t>48.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4"/>
          <w:sz w:val="16"/>
        </w:rPr>
        <w:t> </w:t>
      </w:r>
      <w:r>
        <w:rPr>
          <w:color w:val="231F20"/>
          <w:sz w:val="16"/>
        </w:rPr>
        <w:t>14</w:t>
      </w:r>
      <w:r>
        <w:rPr>
          <w:color w:val="231F20"/>
          <w:spacing w:val="5"/>
          <w:sz w:val="16"/>
        </w:rPr>
        <w:t> </w:t>
      </w:r>
      <w:r>
        <w:rPr>
          <w:color w:val="231F20"/>
          <w:sz w:val="16"/>
        </w:rPr>
        <w:t>Mar.</w:t>
      </w:r>
      <w:r>
        <w:rPr>
          <w:color w:val="231F20"/>
          <w:spacing w:val="5"/>
          <w:sz w:val="16"/>
        </w:rPr>
        <w:t> </w:t>
      </w:r>
      <w:r>
        <w:rPr>
          <w:color w:val="231F20"/>
          <w:sz w:val="16"/>
        </w:rPr>
        <w:t>2019,</w:t>
      </w:r>
      <w:r>
        <w:rPr>
          <w:color w:val="231F20"/>
          <w:spacing w:val="6"/>
          <w:sz w:val="16"/>
        </w:rPr>
        <w:t> </w:t>
      </w:r>
      <w:r>
        <w:rPr>
          <w:color w:val="231F20"/>
          <w:sz w:val="16"/>
        </w:rPr>
        <w:t>ECLI:EU:C:2019:207,</w:t>
      </w:r>
      <w:r>
        <w:rPr>
          <w:color w:val="231F20"/>
          <w:spacing w:val="5"/>
          <w:sz w:val="16"/>
        </w:rPr>
        <w:t> </w:t>
      </w:r>
      <w:r>
        <w:rPr>
          <w:i/>
          <w:color w:val="231F20"/>
          <w:sz w:val="16"/>
        </w:rPr>
        <w:t>Dunai</w:t>
      </w:r>
      <w:r>
        <w:rPr>
          <w:color w:val="231F20"/>
          <w:sz w:val="16"/>
        </w:rPr>
        <w:t>,</w:t>
      </w:r>
      <w:r>
        <w:rPr>
          <w:color w:val="231F20"/>
          <w:spacing w:val="5"/>
          <w:sz w:val="16"/>
        </w:rPr>
        <w:t> </w:t>
      </w:r>
      <w:r>
        <w:rPr>
          <w:color w:val="231F20"/>
          <w:sz w:val="16"/>
        </w:rPr>
        <w:t>para.</w:t>
      </w:r>
      <w:r>
        <w:rPr>
          <w:color w:val="231F20"/>
          <w:spacing w:val="5"/>
          <w:sz w:val="16"/>
        </w:rPr>
        <w:t> </w:t>
      </w:r>
      <w:r>
        <w:rPr>
          <w:color w:val="231F20"/>
          <w:spacing w:val="-5"/>
          <w:sz w:val="16"/>
        </w:rPr>
        <w:t>52.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44.</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See</w:t>
      </w:r>
      <w:r>
        <w:rPr>
          <w:color w:val="231F20"/>
          <w:spacing w:val="1"/>
          <w:sz w:val="16"/>
        </w:rPr>
        <w:t> </w:t>
      </w:r>
      <w:r>
        <w:rPr>
          <w:color w:val="231F20"/>
          <w:spacing w:val="-2"/>
          <w:sz w:val="16"/>
        </w:rPr>
        <w:t>ECJ</w:t>
      </w:r>
      <w:r>
        <w:rPr>
          <w:color w:val="231F20"/>
          <w:spacing w:val="2"/>
          <w:sz w:val="16"/>
        </w:rPr>
        <w:t> </w:t>
      </w:r>
      <w:r>
        <w:rPr>
          <w:color w:val="231F20"/>
          <w:spacing w:val="-2"/>
          <w:sz w:val="16"/>
        </w:rPr>
        <w:t>3</w:t>
      </w:r>
      <w:r>
        <w:rPr>
          <w:color w:val="231F20"/>
          <w:spacing w:val="1"/>
          <w:sz w:val="16"/>
        </w:rPr>
        <w:t> </w:t>
      </w:r>
      <w:r>
        <w:rPr>
          <w:color w:val="231F20"/>
          <w:spacing w:val="-2"/>
          <w:sz w:val="16"/>
        </w:rPr>
        <w:t>Oct.</w:t>
      </w:r>
      <w:r>
        <w:rPr>
          <w:color w:val="231F20"/>
          <w:spacing w:val="3"/>
          <w:sz w:val="16"/>
        </w:rPr>
        <w:t> </w:t>
      </w:r>
      <w:r>
        <w:rPr>
          <w:color w:val="231F20"/>
          <w:spacing w:val="-2"/>
          <w:sz w:val="16"/>
        </w:rPr>
        <w:t>2019,</w:t>
      </w:r>
      <w:r>
        <w:rPr>
          <w:color w:val="231F20"/>
          <w:spacing w:val="2"/>
          <w:sz w:val="16"/>
        </w:rPr>
        <w:t> </w:t>
      </w:r>
      <w:r>
        <w:rPr>
          <w:color w:val="231F20"/>
          <w:spacing w:val="-2"/>
          <w:sz w:val="16"/>
        </w:rPr>
        <w:t>ECLI:EU:C:2019:819,</w:t>
      </w:r>
      <w:r>
        <w:rPr>
          <w:color w:val="231F20"/>
          <w:spacing w:val="1"/>
          <w:sz w:val="16"/>
        </w:rPr>
        <w:t> </w:t>
      </w:r>
      <w:r>
        <w:rPr>
          <w:i/>
          <w:color w:val="231F20"/>
          <w:spacing w:val="-2"/>
          <w:sz w:val="16"/>
        </w:rPr>
        <w:t>Dziubak</w:t>
      </w:r>
      <w:r>
        <w:rPr>
          <w:color w:val="231F20"/>
          <w:spacing w:val="-2"/>
          <w:sz w:val="16"/>
        </w:rPr>
        <w:t>,</w:t>
      </w:r>
      <w:r>
        <w:rPr>
          <w:color w:val="231F20"/>
          <w:spacing w:val="2"/>
          <w:sz w:val="16"/>
        </w:rPr>
        <w:t> </w:t>
      </w:r>
      <w:r>
        <w:rPr>
          <w:color w:val="231F20"/>
          <w:spacing w:val="-2"/>
          <w:sz w:val="16"/>
        </w:rPr>
        <w:t>para.</w:t>
      </w:r>
      <w:r>
        <w:rPr>
          <w:color w:val="231F20"/>
          <w:spacing w:val="3"/>
          <w:sz w:val="16"/>
        </w:rPr>
        <w:t> </w:t>
      </w:r>
      <w:r>
        <w:rPr>
          <w:color w:val="231F20"/>
          <w:spacing w:val="-2"/>
          <w:sz w:val="16"/>
        </w:rPr>
        <w:t>45.</w:t>
      </w:r>
      <w:r>
        <w:rPr>
          <w:color w:val="231F20"/>
          <w:spacing w:val="1"/>
          <w:sz w:val="16"/>
        </w:rPr>
        <w:t> </w:t>
      </w:r>
      <w:r>
        <w:rPr>
          <w:color w:val="231F20"/>
          <w:spacing w:val="-2"/>
          <w:sz w:val="16"/>
        </w:rPr>
        <w:t>Opinion</w:t>
      </w:r>
      <w:r>
        <w:rPr>
          <w:color w:val="231F20"/>
          <w:spacing w:val="2"/>
          <w:sz w:val="16"/>
        </w:rPr>
        <w:t> </w:t>
      </w:r>
      <w:r>
        <w:rPr>
          <w:color w:val="231F20"/>
          <w:spacing w:val="-2"/>
          <w:sz w:val="16"/>
        </w:rPr>
        <w:t>of</w:t>
      </w:r>
      <w:r>
        <w:rPr>
          <w:color w:val="231F20"/>
          <w:spacing w:val="2"/>
          <w:sz w:val="16"/>
        </w:rPr>
        <w:t> </w:t>
      </w:r>
      <w:r>
        <w:rPr>
          <w:color w:val="231F20"/>
          <w:spacing w:val="-2"/>
          <w:sz w:val="16"/>
        </w:rPr>
        <w:t>A.G.</w:t>
      </w:r>
      <w:r>
        <w:rPr>
          <w:color w:val="231F20"/>
          <w:spacing w:val="2"/>
          <w:sz w:val="16"/>
        </w:rPr>
        <w:t> </w:t>
      </w:r>
      <w:r>
        <w:rPr>
          <w:color w:val="231F20"/>
          <w:spacing w:val="-2"/>
          <w:sz w:val="16"/>
        </w:rPr>
        <w:t>T</w:t>
      </w:r>
      <w:r>
        <w:rPr>
          <w:color w:val="231F20"/>
          <w:spacing w:val="-2"/>
          <w:sz w:val="11"/>
        </w:rPr>
        <w:t>RESTENJAK</w:t>
      </w:r>
      <w:r>
        <w:rPr>
          <w:color w:val="231F20"/>
          <w:spacing w:val="14"/>
          <w:sz w:val="11"/>
        </w:rPr>
        <w:t> </w:t>
      </w:r>
      <w:r>
        <w:rPr>
          <w:color w:val="231F20"/>
          <w:spacing w:val="-2"/>
          <w:sz w:val="16"/>
        </w:rPr>
        <w:t>29</w:t>
      </w:r>
      <w:r>
        <w:rPr>
          <w:color w:val="231F20"/>
          <w:spacing w:val="1"/>
          <w:sz w:val="16"/>
        </w:rPr>
        <w:t> </w:t>
      </w:r>
      <w:r>
        <w:rPr>
          <w:color w:val="231F20"/>
          <w:spacing w:val="-4"/>
          <w:sz w:val="16"/>
        </w:rPr>
        <w:t>Nov.</w:t>
      </w:r>
    </w:p>
    <w:p>
      <w:pPr>
        <w:spacing w:line="283" w:lineRule="auto" w:before="34"/>
        <w:ind w:left="866" w:right="660" w:firstLine="0"/>
        <w:jc w:val="left"/>
        <w:rPr>
          <w:sz w:val="16"/>
        </w:rPr>
      </w:pPr>
      <w:r>
        <w:rPr>
          <w:color w:val="231F20"/>
          <w:spacing w:val="-6"/>
          <w:sz w:val="16"/>
        </w:rPr>
        <w:t>2011,</w:t>
      </w:r>
      <w:r>
        <w:rPr>
          <w:color w:val="231F20"/>
          <w:spacing w:val="-8"/>
          <w:sz w:val="16"/>
        </w:rPr>
        <w:t> </w:t>
      </w:r>
      <w:r>
        <w:rPr>
          <w:color w:val="231F20"/>
          <w:spacing w:val="-6"/>
          <w:sz w:val="16"/>
        </w:rPr>
        <w:t>ECLI:EU:C:2011:788,</w:t>
      </w:r>
      <w:r>
        <w:rPr>
          <w:color w:val="231F20"/>
          <w:spacing w:val="-8"/>
          <w:sz w:val="16"/>
        </w:rPr>
        <w:t> </w:t>
      </w:r>
      <w:r>
        <w:rPr>
          <w:i/>
          <w:color w:val="231F20"/>
          <w:spacing w:val="-6"/>
          <w:sz w:val="16"/>
        </w:rPr>
        <w:t>Jana</w:t>
      </w:r>
      <w:r>
        <w:rPr>
          <w:i/>
          <w:color w:val="231F20"/>
          <w:spacing w:val="-8"/>
          <w:sz w:val="16"/>
        </w:rPr>
        <w:t> </w:t>
      </w:r>
      <w:r>
        <w:rPr>
          <w:i/>
          <w:color w:val="231F20"/>
          <w:spacing w:val="-6"/>
          <w:sz w:val="16"/>
        </w:rPr>
        <w:t>Pereni</w:t>
      </w:r>
      <w:r>
        <w:rPr>
          <w:rFonts w:ascii="Trebuchet MS" w:hAnsi="Trebuchet MS"/>
          <w:color w:val="231F20"/>
          <w:spacing w:val="-6"/>
          <w:sz w:val="16"/>
        </w:rPr>
        <w:t>č</w:t>
      </w:r>
      <w:r>
        <w:rPr>
          <w:i/>
          <w:color w:val="231F20"/>
          <w:spacing w:val="-6"/>
          <w:sz w:val="16"/>
        </w:rPr>
        <w:t>ová</w:t>
      </w:r>
      <w:r>
        <w:rPr>
          <w:i/>
          <w:color w:val="231F20"/>
          <w:spacing w:val="-7"/>
          <w:sz w:val="16"/>
        </w:rPr>
        <w:t> </w:t>
      </w:r>
      <w:r>
        <w:rPr>
          <w:i/>
          <w:color w:val="231F20"/>
          <w:spacing w:val="-6"/>
          <w:sz w:val="16"/>
        </w:rPr>
        <w:t>and</w:t>
      </w:r>
      <w:r>
        <w:rPr>
          <w:i/>
          <w:color w:val="231F20"/>
          <w:spacing w:val="-8"/>
          <w:sz w:val="16"/>
        </w:rPr>
        <w:t> </w:t>
      </w:r>
      <w:r>
        <w:rPr>
          <w:i/>
          <w:color w:val="231F20"/>
          <w:spacing w:val="-6"/>
          <w:sz w:val="16"/>
        </w:rPr>
        <w:t>Vladislav</w:t>
      </w:r>
      <w:r>
        <w:rPr>
          <w:i/>
          <w:color w:val="231F20"/>
          <w:spacing w:val="-8"/>
          <w:sz w:val="16"/>
        </w:rPr>
        <w:t> </w:t>
      </w:r>
      <w:r>
        <w:rPr>
          <w:i/>
          <w:color w:val="231F20"/>
          <w:spacing w:val="-6"/>
          <w:sz w:val="16"/>
        </w:rPr>
        <w:t>Pereni</w:t>
      </w:r>
      <w:r>
        <w:rPr>
          <w:rFonts w:ascii="Trebuchet MS" w:hAnsi="Trebuchet MS"/>
          <w:color w:val="231F20"/>
          <w:spacing w:val="-6"/>
          <w:sz w:val="16"/>
        </w:rPr>
        <w:t>č</w:t>
      </w:r>
      <w:r>
        <w:rPr>
          <w:rFonts w:ascii="Trebuchet MS" w:hAnsi="Trebuchet MS"/>
          <w:color w:val="231F20"/>
          <w:spacing w:val="-18"/>
          <w:sz w:val="16"/>
        </w:rPr>
        <w:t> </w:t>
      </w:r>
      <w:r>
        <w:rPr>
          <w:color w:val="231F20"/>
          <w:spacing w:val="-6"/>
          <w:sz w:val="16"/>
        </w:rPr>
        <w:t>v.</w:t>
      </w:r>
      <w:r>
        <w:rPr>
          <w:color w:val="231F20"/>
          <w:spacing w:val="-8"/>
          <w:sz w:val="16"/>
        </w:rPr>
        <w:t> </w:t>
      </w:r>
      <w:r>
        <w:rPr>
          <w:i/>
          <w:color w:val="231F20"/>
          <w:spacing w:val="-6"/>
          <w:sz w:val="16"/>
        </w:rPr>
        <w:t>SOS</w:t>
      </w:r>
      <w:r>
        <w:rPr>
          <w:i/>
          <w:color w:val="231F20"/>
          <w:spacing w:val="-9"/>
          <w:sz w:val="16"/>
        </w:rPr>
        <w:t> </w:t>
      </w:r>
      <w:r>
        <w:rPr>
          <w:i/>
          <w:color w:val="231F20"/>
          <w:spacing w:val="-6"/>
          <w:sz w:val="16"/>
        </w:rPr>
        <w:t>financ</w:t>
      </w:r>
      <w:r>
        <w:rPr>
          <w:i/>
          <w:color w:val="231F20"/>
          <w:spacing w:val="-8"/>
          <w:sz w:val="16"/>
        </w:rPr>
        <w:t> </w:t>
      </w:r>
      <w:r>
        <w:rPr>
          <w:i/>
          <w:color w:val="231F20"/>
          <w:spacing w:val="-6"/>
          <w:sz w:val="16"/>
        </w:rPr>
        <w:t>spol.</w:t>
      </w:r>
      <w:r>
        <w:rPr>
          <w:i/>
          <w:color w:val="231F20"/>
          <w:spacing w:val="-8"/>
          <w:sz w:val="16"/>
        </w:rPr>
        <w:t> </w:t>
      </w:r>
      <w:r>
        <w:rPr>
          <w:i/>
          <w:color w:val="231F20"/>
          <w:spacing w:val="-6"/>
          <w:sz w:val="16"/>
        </w:rPr>
        <w:t>s</w:t>
      </w:r>
      <w:r>
        <w:rPr>
          <w:i/>
          <w:color w:val="231F20"/>
          <w:spacing w:val="-8"/>
          <w:sz w:val="16"/>
        </w:rPr>
        <w:t> </w:t>
      </w:r>
      <w:r>
        <w:rPr>
          <w:i/>
          <w:color w:val="231F20"/>
          <w:spacing w:val="-6"/>
          <w:sz w:val="16"/>
        </w:rPr>
        <w:t>r.</w:t>
      </w:r>
      <w:r>
        <w:rPr>
          <w:i/>
          <w:color w:val="231F20"/>
          <w:spacing w:val="-9"/>
          <w:sz w:val="16"/>
        </w:rPr>
        <w:t> </w:t>
      </w:r>
      <w:r>
        <w:rPr>
          <w:i/>
          <w:color w:val="231F20"/>
          <w:spacing w:val="-6"/>
          <w:sz w:val="16"/>
        </w:rPr>
        <w:t>o</w:t>
      </w:r>
      <w:r>
        <w:rPr>
          <w:i/>
          <w:color w:val="231F20"/>
          <w:spacing w:val="-8"/>
          <w:sz w:val="16"/>
        </w:rPr>
        <w:t> </w:t>
      </w:r>
      <w:r>
        <w:rPr>
          <w:color w:val="231F20"/>
          <w:spacing w:val="-6"/>
          <w:sz w:val="16"/>
        </w:rPr>
        <w:t>Perenicova,</w:t>
      </w:r>
      <w:r>
        <w:rPr>
          <w:color w:val="231F20"/>
          <w:spacing w:val="40"/>
          <w:sz w:val="16"/>
        </w:rPr>
        <w:t> </w:t>
      </w:r>
      <w:r>
        <w:rPr>
          <w:color w:val="231F20"/>
          <w:spacing w:val="-2"/>
          <w:sz w:val="16"/>
        </w:rPr>
        <w:t>para.</w:t>
      </w:r>
      <w:r>
        <w:rPr>
          <w:color w:val="231F20"/>
          <w:spacing w:val="-8"/>
          <w:sz w:val="16"/>
        </w:rPr>
        <w:t> </w:t>
      </w:r>
      <w:r>
        <w:rPr>
          <w:color w:val="231F20"/>
          <w:spacing w:val="-2"/>
          <w:sz w:val="16"/>
        </w:rPr>
        <w:t>68,</w:t>
      </w:r>
      <w:r>
        <w:rPr>
          <w:color w:val="231F20"/>
          <w:spacing w:val="-8"/>
          <w:sz w:val="16"/>
        </w:rPr>
        <w:t> </w:t>
      </w:r>
      <w:r>
        <w:rPr>
          <w:color w:val="231F20"/>
          <w:spacing w:val="-2"/>
          <w:sz w:val="16"/>
        </w:rPr>
        <w:t>cited</w:t>
      </w:r>
      <w:r>
        <w:rPr>
          <w:color w:val="231F20"/>
          <w:spacing w:val="-7"/>
          <w:sz w:val="16"/>
        </w:rPr>
        <w:t> </w:t>
      </w:r>
      <w:r>
        <w:rPr>
          <w:color w:val="231F20"/>
          <w:spacing w:val="-2"/>
          <w:sz w:val="16"/>
        </w:rPr>
        <w:t>by</w:t>
      </w:r>
      <w:r>
        <w:rPr>
          <w:color w:val="231F20"/>
          <w:spacing w:val="-7"/>
          <w:sz w:val="16"/>
        </w:rPr>
        <w:t> </w:t>
      </w:r>
      <w:r>
        <w:rPr>
          <w:color w:val="231F20"/>
          <w:spacing w:val="-2"/>
          <w:sz w:val="16"/>
        </w:rPr>
        <w:t>the</w:t>
      </w:r>
      <w:r>
        <w:rPr>
          <w:color w:val="231F20"/>
          <w:spacing w:val="-7"/>
          <w:sz w:val="16"/>
        </w:rPr>
        <w:t> </w:t>
      </w:r>
      <w:r>
        <w:rPr>
          <w:color w:val="231F20"/>
          <w:spacing w:val="-2"/>
          <w:sz w:val="16"/>
        </w:rPr>
        <w:t>ECJ</w:t>
      </w:r>
      <w:r>
        <w:rPr>
          <w:color w:val="231F20"/>
          <w:spacing w:val="-7"/>
          <w:sz w:val="16"/>
        </w:rPr>
        <w:t> </w:t>
      </w:r>
      <w:r>
        <w:rPr>
          <w:color w:val="231F20"/>
          <w:spacing w:val="-2"/>
          <w:sz w:val="16"/>
        </w:rPr>
        <w:t>in</w:t>
      </w:r>
      <w:r>
        <w:rPr>
          <w:color w:val="231F20"/>
          <w:spacing w:val="-8"/>
          <w:sz w:val="16"/>
        </w:rPr>
        <w:t> </w:t>
      </w:r>
      <w:r>
        <w:rPr>
          <w:color w:val="231F20"/>
          <w:spacing w:val="-2"/>
          <w:sz w:val="16"/>
        </w:rPr>
        <w:t>ECJ</w:t>
      </w:r>
      <w:r>
        <w:rPr>
          <w:color w:val="231F20"/>
          <w:spacing w:val="-7"/>
          <w:sz w:val="16"/>
        </w:rPr>
        <w:t> </w:t>
      </w:r>
      <w:r>
        <w:rPr>
          <w:color w:val="231F20"/>
          <w:spacing w:val="-2"/>
          <w:sz w:val="16"/>
        </w:rPr>
        <w:t>15</w:t>
      </w:r>
      <w:r>
        <w:rPr>
          <w:color w:val="231F20"/>
          <w:spacing w:val="-7"/>
          <w:sz w:val="16"/>
        </w:rPr>
        <w:t> </w:t>
      </w:r>
      <w:r>
        <w:rPr>
          <w:color w:val="231F20"/>
          <w:spacing w:val="-2"/>
          <w:sz w:val="16"/>
        </w:rPr>
        <w:t>Mar.</w:t>
      </w:r>
      <w:r>
        <w:rPr>
          <w:color w:val="231F20"/>
          <w:spacing w:val="-6"/>
          <w:sz w:val="16"/>
        </w:rPr>
        <w:t> </w:t>
      </w:r>
      <w:r>
        <w:rPr>
          <w:color w:val="231F20"/>
          <w:spacing w:val="-2"/>
          <w:sz w:val="16"/>
        </w:rPr>
        <w:t>2012,</w:t>
      </w:r>
      <w:r>
        <w:rPr>
          <w:color w:val="231F20"/>
          <w:spacing w:val="-7"/>
          <w:sz w:val="16"/>
        </w:rPr>
        <w:t> </w:t>
      </w:r>
      <w:r>
        <w:rPr>
          <w:color w:val="231F20"/>
          <w:spacing w:val="-2"/>
          <w:sz w:val="16"/>
        </w:rPr>
        <w:t>ECLI:EU:C:2012:144,</w:t>
      </w:r>
      <w:r>
        <w:rPr>
          <w:color w:val="231F20"/>
          <w:spacing w:val="-7"/>
          <w:sz w:val="16"/>
        </w:rPr>
        <w:t> </w:t>
      </w:r>
      <w:r>
        <w:rPr>
          <w:i/>
          <w:color w:val="231F20"/>
          <w:spacing w:val="-2"/>
          <w:sz w:val="16"/>
        </w:rPr>
        <w:t>Jana</w:t>
      </w:r>
      <w:r>
        <w:rPr>
          <w:i/>
          <w:color w:val="231F20"/>
          <w:spacing w:val="-7"/>
          <w:sz w:val="16"/>
        </w:rPr>
        <w:t> </w:t>
      </w:r>
      <w:r>
        <w:rPr>
          <w:i/>
          <w:color w:val="231F20"/>
          <w:spacing w:val="-2"/>
          <w:sz w:val="16"/>
        </w:rPr>
        <w:t>Pereni</w:t>
      </w:r>
      <w:r>
        <w:rPr>
          <w:rFonts w:ascii="Trebuchet MS" w:hAnsi="Trebuchet MS"/>
          <w:color w:val="231F20"/>
          <w:spacing w:val="-2"/>
          <w:sz w:val="16"/>
        </w:rPr>
        <w:t>č</w:t>
      </w:r>
      <w:r>
        <w:rPr>
          <w:i/>
          <w:color w:val="231F20"/>
          <w:spacing w:val="-2"/>
          <w:sz w:val="16"/>
        </w:rPr>
        <w:t>ová</w:t>
      </w:r>
      <w:r>
        <w:rPr>
          <w:color w:val="231F20"/>
          <w:spacing w:val="-2"/>
          <w:sz w:val="16"/>
        </w:rPr>
        <w:t>,</w:t>
      </w:r>
      <w:r>
        <w:rPr>
          <w:color w:val="231F20"/>
          <w:spacing w:val="-7"/>
          <w:sz w:val="16"/>
        </w:rPr>
        <w:t> </w:t>
      </w:r>
      <w:r>
        <w:rPr>
          <w:color w:val="231F20"/>
          <w:spacing w:val="-2"/>
          <w:sz w:val="16"/>
        </w:rPr>
        <w:t>para.</w:t>
      </w:r>
      <w:r>
        <w:rPr>
          <w:color w:val="231F20"/>
          <w:spacing w:val="-8"/>
          <w:sz w:val="16"/>
        </w:rPr>
        <w:t> </w:t>
      </w:r>
      <w:r>
        <w:rPr>
          <w:color w:val="231F20"/>
          <w:spacing w:val="-2"/>
          <w:sz w:val="16"/>
        </w:rPr>
        <w:t>32.</w:t>
      </w:r>
    </w:p>
    <w:p>
      <w:pPr>
        <w:pStyle w:val="ListParagraph"/>
        <w:numPr>
          <w:ilvl w:val="0"/>
          <w:numId w:val="3"/>
        </w:numPr>
        <w:tabs>
          <w:tab w:pos="866" w:val="left" w:leader="none"/>
        </w:tabs>
        <w:spacing w:line="288" w:lineRule="auto" w:before="0" w:after="0"/>
        <w:ind w:left="866" w:right="868" w:hanging="354"/>
        <w:jc w:val="left"/>
        <w:rPr>
          <w:i/>
          <w:sz w:val="16"/>
        </w:rPr>
      </w:pPr>
      <w:r>
        <w:rPr>
          <w:color w:val="231F20"/>
          <w:sz w:val="16"/>
        </w:rPr>
        <w:t>ECJ 15 Mar. 2012, ECLI:EU:C:2012:144, </w:t>
      </w:r>
      <w:r>
        <w:rPr>
          <w:i/>
          <w:color w:val="231F20"/>
          <w:sz w:val="16"/>
        </w:rPr>
        <w:t>Jana Pereni</w:t>
      </w:r>
      <w:r>
        <w:rPr>
          <w:rFonts w:ascii="Trebuchet MS" w:hAnsi="Trebuchet MS"/>
          <w:color w:val="231F20"/>
          <w:sz w:val="16"/>
        </w:rPr>
        <w:t>č</w:t>
      </w:r>
      <w:r>
        <w:rPr>
          <w:i/>
          <w:color w:val="231F20"/>
          <w:sz w:val="16"/>
        </w:rPr>
        <w:t>ová</w:t>
      </w:r>
      <w:r>
        <w:rPr>
          <w:color w:val="231F20"/>
          <w:sz w:val="16"/>
        </w:rPr>
        <w:t>, paras 32</w:t>
      </w:r>
      <w:r>
        <w:rPr>
          <w:rFonts w:ascii="Arial" w:hAnsi="Arial"/>
          <w:color w:val="231F20"/>
          <w:sz w:val="16"/>
        </w:rPr>
        <w:t>–</w:t>
      </w:r>
      <w:r>
        <w:rPr>
          <w:color w:val="231F20"/>
          <w:sz w:val="16"/>
        </w:rPr>
        <w:t>35; ECJ 3 Oct. 2019, ECLI:</w:t>
      </w:r>
      <w:r>
        <w:rPr>
          <w:color w:val="231F20"/>
          <w:spacing w:val="40"/>
          <w:sz w:val="16"/>
        </w:rPr>
        <w:t> </w:t>
      </w:r>
      <w:r>
        <w:rPr>
          <w:color w:val="231F20"/>
          <w:sz w:val="16"/>
        </w:rPr>
        <w:t>EU:C:2019:819, </w:t>
      </w:r>
      <w:r>
        <w:rPr>
          <w:i/>
          <w:color w:val="231F20"/>
          <w:sz w:val="16"/>
        </w:rPr>
        <w:t>Dziubak</w:t>
      </w:r>
      <w:r>
        <w:rPr>
          <w:color w:val="231F20"/>
          <w:sz w:val="16"/>
        </w:rPr>
        <w:t>, para. 41; ECJ 29 Apr. 2021, ECLI:EU:C:2021:341, </w:t>
      </w:r>
      <w:r>
        <w:rPr>
          <w:i/>
          <w:color w:val="231F20"/>
          <w:sz w:val="16"/>
        </w:rPr>
        <w:t>I.W. and R.W.</w:t>
      </w:r>
    </w:p>
    <w:p>
      <w:pPr>
        <w:pStyle w:val="ListParagraph"/>
        <w:numPr>
          <w:ilvl w:val="1"/>
          <w:numId w:val="3"/>
        </w:numPr>
        <w:tabs>
          <w:tab w:pos="1031" w:val="left" w:leader="none"/>
        </w:tabs>
        <w:spacing w:line="240" w:lineRule="auto" w:before="0" w:after="0"/>
        <w:ind w:left="1031" w:right="0" w:hanging="165"/>
        <w:jc w:val="left"/>
        <w:rPr>
          <w:sz w:val="16"/>
        </w:rPr>
      </w:pPr>
      <w:r>
        <w:rPr>
          <w:i/>
          <w:color w:val="231F20"/>
          <w:sz w:val="16"/>
        </w:rPr>
        <w:t>Bank</w:t>
      </w:r>
      <w:r>
        <w:rPr>
          <w:i/>
          <w:color w:val="231F20"/>
          <w:spacing w:val="5"/>
          <w:sz w:val="16"/>
        </w:rPr>
        <w:t> </w:t>
      </w:r>
      <w:r>
        <w:rPr>
          <w:i/>
          <w:color w:val="231F20"/>
          <w:sz w:val="16"/>
        </w:rPr>
        <w:t>BPH</w:t>
      </w:r>
      <w:r>
        <w:rPr>
          <w:i/>
          <w:color w:val="231F20"/>
          <w:spacing w:val="6"/>
          <w:sz w:val="16"/>
        </w:rPr>
        <w:t> </w:t>
      </w:r>
      <w:r>
        <w:rPr>
          <w:i/>
          <w:color w:val="231F20"/>
          <w:sz w:val="16"/>
        </w:rPr>
        <w:t>S.A.</w:t>
      </w:r>
      <w:r>
        <w:rPr>
          <w:color w:val="231F20"/>
          <w:sz w:val="16"/>
        </w:rPr>
        <w:t>,</w:t>
      </w:r>
      <w:r>
        <w:rPr>
          <w:color w:val="231F20"/>
          <w:spacing w:val="5"/>
          <w:sz w:val="16"/>
        </w:rPr>
        <w:t> </w:t>
      </w:r>
      <w:r>
        <w:rPr>
          <w:color w:val="231F20"/>
          <w:sz w:val="16"/>
        </w:rPr>
        <w:t>para.</w:t>
      </w:r>
      <w:r>
        <w:rPr>
          <w:color w:val="231F20"/>
          <w:spacing w:val="5"/>
          <w:sz w:val="16"/>
        </w:rPr>
        <w:t> </w:t>
      </w:r>
      <w:r>
        <w:rPr>
          <w:color w:val="231F20"/>
          <w:spacing w:val="-5"/>
          <w:sz w:val="16"/>
        </w:rPr>
        <w:t>57.</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3" w:lineRule="auto"/>
        <w:ind w:left="871" w:right="866"/>
        <w:jc w:val="both"/>
      </w:pPr>
      <w:r>
        <w:rPr>
          <w:color w:val="231F20"/>
        </w:rPr>
        <w:t>The objective approach to the possibility of the contract continuing in existence has</w:t>
      </w:r>
      <w:r>
        <w:rPr>
          <w:color w:val="231F20"/>
          <w:spacing w:val="32"/>
        </w:rPr>
        <w:t> </w:t>
      </w:r>
      <w:r>
        <w:rPr>
          <w:color w:val="231F20"/>
        </w:rPr>
        <w:t>been</w:t>
      </w:r>
      <w:r>
        <w:rPr>
          <w:color w:val="231F20"/>
          <w:spacing w:val="32"/>
        </w:rPr>
        <w:t> </w:t>
      </w:r>
      <w:r>
        <w:rPr>
          <w:color w:val="231F20"/>
        </w:rPr>
        <w:t>justified</w:t>
      </w:r>
      <w:r>
        <w:rPr>
          <w:color w:val="231F20"/>
          <w:spacing w:val="33"/>
        </w:rPr>
        <w:t> </w:t>
      </w:r>
      <w:r>
        <w:rPr>
          <w:color w:val="231F20"/>
        </w:rPr>
        <w:t>on</w:t>
      </w:r>
      <w:r>
        <w:rPr>
          <w:color w:val="231F20"/>
          <w:spacing w:val="34"/>
        </w:rPr>
        <w:t> </w:t>
      </w:r>
      <w:r>
        <w:rPr>
          <w:color w:val="231F20"/>
        </w:rPr>
        <w:t>the</w:t>
      </w:r>
      <w:r>
        <w:rPr>
          <w:color w:val="231F20"/>
          <w:spacing w:val="33"/>
        </w:rPr>
        <w:t> </w:t>
      </w:r>
      <w:r>
        <w:rPr>
          <w:color w:val="231F20"/>
        </w:rPr>
        <w:t>basis</w:t>
      </w:r>
      <w:r>
        <w:rPr>
          <w:color w:val="231F20"/>
          <w:spacing w:val="33"/>
        </w:rPr>
        <w:t> </w:t>
      </w:r>
      <w:r>
        <w:rPr>
          <w:color w:val="231F20"/>
        </w:rPr>
        <w:t>of</w:t>
      </w:r>
      <w:r>
        <w:rPr>
          <w:color w:val="231F20"/>
          <w:spacing w:val="36"/>
        </w:rPr>
        <w:t> </w:t>
      </w:r>
      <w:r>
        <w:rPr>
          <w:color w:val="231F20"/>
        </w:rPr>
        <w:t>the</w:t>
      </w:r>
      <w:r>
        <w:rPr>
          <w:color w:val="231F20"/>
          <w:spacing w:val="33"/>
        </w:rPr>
        <w:t> </w:t>
      </w:r>
      <w:r>
        <w:rPr>
          <w:rFonts w:ascii="Arial" w:hAnsi="Arial"/>
          <w:color w:val="231F20"/>
        </w:rPr>
        <w:t>‘</w:t>
      </w:r>
      <w:r>
        <w:rPr>
          <w:color w:val="231F20"/>
        </w:rPr>
        <w:t>legal</w:t>
      </w:r>
      <w:r>
        <w:rPr>
          <w:color w:val="231F20"/>
          <w:spacing w:val="33"/>
        </w:rPr>
        <w:t> </w:t>
      </w:r>
      <w:r>
        <w:rPr>
          <w:color w:val="231F20"/>
        </w:rPr>
        <w:t>certainty</w:t>
      </w:r>
      <w:r>
        <w:rPr>
          <w:color w:val="231F20"/>
          <w:spacing w:val="32"/>
        </w:rPr>
        <w:t> </w:t>
      </w:r>
      <w:r>
        <w:rPr>
          <w:color w:val="231F20"/>
        </w:rPr>
        <w:t>of</w:t>
      </w:r>
      <w:r>
        <w:rPr>
          <w:color w:val="231F20"/>
          <w:spacing w:val="31"/>
        </w:rPr>
        <w:t> </w:t>
      </w:r>
      <w:r>
        <w:rPr>
          <w:color w:val="231F20"/>
        </w:rPr>
        <w:t>economic</w:t>
      </w:r>
      <w:r>
        <w:rPr>
          <w:color w:val="231F20"/>
          <w:spacing w:val="32"/>
        </w:rPr>
        <w:t> </w:t>
      </w:r>
      <w:r>
        <w:rPr>
          <w:color w:val="231F20"/>
        </w:rPr>
        <w:t>activities</w:t>
      </w:r>
      <w:r>
        <w:rPr>
          <w:rFonts w:ascii="Arial" w:hAnsi="Arial"/>
          <w:color w:val="231F20"/>
        </w:rPr>
        <w:t>’</w:t>
      </w:r>
      <w:r>
        <w:rPr>
          <w:color w:val="231F20"/>
        </w:rPr>
        <w:t>.</w:t>
      </w:r>
      <w:r>
        <w:rPr>
          <w:color w:val="231F20"/>
          <w:vertAlign w:val="superscript"/>
        </w:rPr>
        <w:t>81</w:t>
      </w:r>
    </w:p>
    <w:p>
      <w:pPr>
        <w:pStyle w:val="ListParagraph"/>
        <w:numPr>
          <w:ilvl w:val="0"/>
          <w:numId w:val="4"/>
        </w:numPr>
        <w:tabs>
          <w:tab w:pos="1324" w:val="left" w:leader="none"/>
        </w:tabs>
        <w:spacing w:line="288" w:lineRule="auto" w:before="123" w:after="0"/>
        <w:ind w:left="871" w:right="868" w:firstLine="0"/>
        <w:jc w:val="both"/>
        <w:rPr>
          <w:sz w:val="19"/>
        </w:rPr>
      </w:pPr>
      <w:r>
        <w:rPr>
          <w:color w:val="231F20"/>
          <w:sz w:val="19"/>
        </w:rPr>
        <w:t>Legal</w:t>
      </w:r>
      <w:r>
        <w:rPr>
          <w:color w:val="231F20"/>
          <w:spacing w:val="-10"/>
          <w:sz w:val="19"/>
        </w:rPr>
        <w:t> </w:t>
      </w:r>
      <w:r>
        <w:rPr>
          <w:color w:val="231F20"/>
          <w:sz w:val="19"/>
        </w:rPr>
        <w:t>certainty</w:t>
      </w:r>
      <w:r>
        <w:rPr>
          <w:color w:val="231F20"/>
          <w:spacing w:val="-11"/>
          <w:sz w:val="19"/>
        </w:rPr>
        <w:t> </w:t>
      </w:r>
      <w:r>
        <w:rPr>
          <w:color w:val="231F20"/>
          <w:sz w:val="19"/>
        </w:rPr>
        <w:t>is</w:t>
      </w:r>
      <w:r>
        <w:rPr>
          <w:color w:val="231F20"/>
          <w:spacing w:val="-11"/>
          <w:sz w:val="19"/>
        </w:rPr>
        <w:t> </w:t>
      </w:r>
      <w:r>
        <w:rPr>
          <w:color w:val="231F20"/>
          <w:sz w:val="19"/>
        </w:rPr>
        <w:t>a</w:t>
      </w:r>
      <w:r>
        <w:rPr>
          <w:color w:val="231F20"/>
          <w:spacing w:val="-11"/>
          <w:sz w:val="19"/>
        </w:rPr>
        <w:t> </w:t>
      </w:r>
      <w:r>
        <w:rPr>
          <w:color w:val="231F20"/>
          <w:sz w:val="19"/>
        </w:rPr>
        <w:t>general</w:t>
      </w:r>
      <w:r>
        <w:rPr>
          <w:color w:val="231F20"/>
          <w:spacing w:val="-10"/>
          <w:sz w:val="19"/>
        </w:rPr>
        <w:t> </w:t>
      </w:r>
      <w:r>
        <w:rPr>
          <w:color w:val="231F20"/>
          <w:sz w:val="19"/>
        </w:rPr>
        <w:t>principle</w:t>
      </w:r>
      <w:r>
        <w:rPr>
          <w:color w:val="231F20"/>
          <w:spacing w:val="-12"/>
          <w:sz w:val="19"/>
        </w:rPr>
        <w:t> </w:t>
      </w:r>
      <w:r>
        <w:rPr>
          <w:color w:val="231F20"/>
          <w:sz w:val="19"/>
        </w:rPr>
        <w:t>of</w:t>
      </w:r>
      <w:r>
        <w:rPr>
          <w:color w:val="231F20"/>
          <w:spacing w:val="-9"/>
          <w:sz w:val="19"/>
        </w:rPr>
        <w:t> </w:t>
      </w:r>
      <w:r>
        <w:rPr>
          <w:color w:val="231F20"/>
          <w:sz w:val="19"/>
        </w:rPr>
        <w:t>EU</w:t>
      </w:r>
      <w:r>
        <w:rPr>
          <w:color w:val="231F20"/>
          <w:spacing w:val="-11"/>
          <w:sz w:val="19"/>
        </w:rPr>
        <w:t> </w:t>
      </w:r>
      <w:r>
        <w:rPr>
          <w:color w:val="231F20"/>
          <w:sz w:val="19"/>
        </w:rPr>
        <w:t>law</w:t>
      </w:r>
      <w:r>
        <w:rPr>
          <w:color w:val="231F20"/>
          <w:sz w:val="19"/>
          <w:vertAlign w:val="superscript"/>
        </w:rPr>
        <w:t>82</w:t>
      </w:r>
      <w:r>
        <w:rPr>
          <w:color w:val="231F20"/>
          <w:spacing w:val="-10"/>
          <w:sz w:val="19"/>
          <w:vertAlign w:val="baseline"/>
        </w:rPr>
        <w:t> </w:t>
      </w:r>
      <w:r>
        <w:rPr>
          <w:color w:val="231F20"/>
          <w:sz w:val="19"/>
          <w:vertAlign w:val="baseline"/>
        </w:rPr>
        <w:t>that,</w:t>
      </w:r>
      <w:r>
        <w:rPr>
          <w:color w:val="231F20"/>
          <w:spacing w:val="-11"/>
          <w:sz w:val="19"/>
          <w:vertAlign w:val="baseline"/>
        </w:rPr>
        <w:t> </w:t>
      </w:r>
      <w:r>
        <w:rPr>
          <w:color w:val="231F20"/>
          <w:sz w:val="19"/>
          <w:vertAlign w:val="baseline"/>
        </w:rPr>
        <w:t>in</w:t>
      </w:r>
      <w:r>
        <w:rPr>
          <w:color w:val="231F20"/>
          <w:spacing w:val="-10"/>
          <w:sz w:val="19"/>
          <w:vertAlign w:val="baseline"/>
        </w:rPr>
        <w:t> </w:t>
      </w:r>
      <w:r>
        <w:rPr>
          <w:color w:val="231F20"/>
          <w:sz w:val="19"/>
          <w:vertAlign w:val="baseline"/>
        </w:rPr>
        <w:t>turn,</w:t>
      </w:r>
      <w:r>
        <w:rPr>
          <w:color w:val="231F20"/>
          <w:spacing w:val="-11"/>
          <w:sz w:val="19"/>
          <w:vertAlign w:val="baseline"/>
        </w:rPr>
        <w:t> </w:t>
      </w:r>
      <w:r>
        <w:rPr>
          <w:color w:val="231F20"/>
          <w:sz w:val="19"/>
          <w:vertAlign w:val="baseline"/>
        </w:rPr>
        <w:t>can</w:t>
      </w:r>
      <w:r>
        <w:rPr>
          <w:color w:val="231F20"/>
          <w:spacing w:val="-11"/>
          <w:sz w:val="19"/>
          <w:vertAlign w:val="baseline"/>
        </w:rPr>
        <w:t> </w:t>
      </w:r>
      <w:r>
        <w:rPr>
          <w:color w:val="231F20"/>
          <w:sz w:val="19"/>
          <w:vertAlign w:val="baseline"/>
        </w:rPr>
        <w:t>be</w:t>
      </w:r>
      <w:r>
        <w:rPr>
          <w:color w:val="231F20"/>
          <w:spacing w:val="-10"/>
          <w:sz w:val="19"/>
          <w:vertAlign w:val="baseline"/>
        </w:rPr>
        <w:t> </w:t>
      </w:r>
      <w:r>
        <w:rPr>
          <w:color w:val="231F20"/>
          <w:sz w:val="19"/>
          <w:vertAlign w:val="baseline"/>
        </w:rPr>
        <w:t>directed to</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principles</w:t>
      </w:r>
      <w:r>
        <w:rPr>
          <w:color w:val="231F20"/>
          <w:spacing w:val="-5"/>
          <w:sz w:val="19"/>
          <w:vertAlign w:val="baseline"/>
        </w:rPr>
        <w:t> </w:t>
      </w:r>
      <w:r>
        <w:rPr>
          <w:color w:val="231F20"/>
          <w:sz w:val="19"/>
          <w:vertAlign w:val="baseline"/>
        </w:rPr>
        <w:t>of</w:t>
      </w:r>
      <w:r>
        <w:rPr>
          <w:color w:val="231F20"/>
          <w:spacing w:val="-1"/>
          <w:sz w:val="19"/>
          <w:vertAlign w:val="baseline"/>
        </w:rPr>
        <w:t> </w:t>
      </w:r>
      <w:r>
        <w:rPr>
          <w:color w:val="231F20"/>
          <w:sz w:val="19"/>
          <w:vertAlign w:val="baseline"/>
        </w:rPr>
        <w:t>framed</w:t>
      </w:r>
      <w:r>
        <w:rPr>
          <w:color w:val="231F20"/>
          <w:spacing w:val="-5"/>
          <w:sz w:val="19"/>
          <w:vertAlign w:val="baseline"/>
        </w:rPr>
        <w:t> </w:t>
      </w:r>
      <w:r>
        <w:rPr>
          <w:color w:val="231F20"/>
          <w:sz w:val="19"/>
          <w:vertAlign w:val="baseline"/>
        </w:rPr>
        <w:t>autonomy</w:t>
      </w:r>
      <w:r>
        <w:rPr>
          <w:color w:val="231F20"/>
          <w:spacing w:val="-5"/>
          <w:sz w:val="19"/>
          <w:vertAlign w:val="baseline"/>
        </w:rPr>
        <w:t> </w:t>
      </w:r>
      <w:r>
        <w:rPr>
          <w:color w:val="231F20"/>
          <w:sz w:val="19"/>
          <w:vertAlign w:val="baseline"/>
        </w:rPr>
        <w:t>and</w:t>
      </w:r>
      <w:r>
        <w:rPr>
          <w:color w:val="231F20"/>
          <w:spacing w:val="-5"/>
          <w:sz w:val="19"/>
          <w:vertAlign w:val="baseline"/>
        </w:rPr>
        <w:t> </w:t>
      </w:r>
      <w:r>
        <w:rPr>
          <w:color w:val="231F20"/>
          <w:sz w:val="19"/>
          <w:vertAlign w:val="baseline"/>
        </w:rPr>
        <w:t>weaker</w:t>
      </w:r>
      <w:r>
        <w:rPr>
          <w:color w:val="231F20"/>
          <w:spacing w:val="-5"/>
          <w:sz w:val="19"/>
          <w:vertAlign w:val="baseline"/>
        </w:rPr>
        <w:t> </w:t>
      </w:r>
      <w:r>
        <w:rPr>
          <w:color w:val="231F20"/>
          <w:sz w:val="19"/>
          <w:vertAlign w:val="baseline"/>
        </w:rPr>
        <w:t>party</w:t>
      </w:r>
      <w:r>
        <w:rPr>
          <w:color w:val="231F20"/>
          <w:spacing w:val="-5"/>
          <w:sz w:val="19"/>
          <w:vertAlign w:val="baseline"/>
        </w:rPr>
        <w:t> </w:t>
      </w:r>
      <w:r>
        <w:rPr>
          <w:color w:val="231F20"/>
          <w:sz w:val="19"/>
          <w:vertAlign w:val="baseline"/>
        </w:rPr>
        <w:t>protection.</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validity</w:t>
      </w:r>
      <w:r>
        <w:rPr>
          <w:color w:val="231F20"/>
          <w:spacing w:val="-7"/>
          <w:sz w:val="19"/>
          <w:vertAlign w:val="baseline"/>
        </w:rPr>
        <w:t> </w:t>
      </w:r>
      <w:r>
        <w:rPr>
          <w:color w:val="231F20"/>
          <w:sz w:val="19"/>
          <w:vertAlign w:val="baseline"/>
        </w:rPr>
        <w:t>of the contract is not left to the discretion of one of the parties, which would go against</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seriousness</w:t>
      </w:r>
      <w:r>
        <w:rPr>
          <w:color w:val="231F20"/>
          <w:spacing w:val="-12"/>
          <w:sz w:val="19"/>
          <w:vertAlign w:val="baseline"/>
        </w:rPr>
        <w:t> </w:t>
      </w:r>
      <w:r>
        <w:rPr>
          <w:color w:val="231F20"/>
          <w:sz w:val="19"/>
          <w:vertAlign w:val="baseline"/>
        </w:rPr>
        <w:t>of</w:t>
      </w:r>
      <w:r>
        <w:rPr>
          <w:color w:val="231F20"/>
          <w:spacing w:val="-11"/>
          <w:sz w:val="19"/>
          <w:vertAlign w:val="baseline"/>
        </w:rPr>
        <w:t> </w:t>
      </w:r>
      <w:r>
        <w:rPr>
          <w:color w:val="231F20"/>
          <w:sz w:val="19"/>
          <w:vertAlign w:val="baseline"/>
        </w:rPr>
        <w:t>agreement</w:t>
      </w:r>
      <w:r>
        <w:rPr>
          <w:color w:val="231F20"/>
          <w:spacing w:val="-12"/>
          <w:sz w:val="19"/>
          <w:vertAlign w:val="baseline"/>
        </w:rPr>
        <w:t> </w:t>
      </w:r>
      <w:r>
        <w:rPr>
          <w:rFonts w:ascii="Arial" w:hAnsi="Arial"/>
          <w:color w:val="231F20"/>
          <w:sz w:val="19"/>
          <w:vertAlign w:val="baseline"/>
        </w:rPr>
        <w:t>–</w:t>
      </w:r>
      <w:r>
        <w:rPr>
          <w:rFonts w:ascii="Arial" w:hAnsi="Arial"/>
          <w:color w:val="231F20"/>
          <w:spacing w:val="-13"/>
          <w:sz w:val="19"/>
          <w:vertAlign w:val="baseline"/>
        </w:rPr>
        <w:t> </w:t>
      </w:r>
      <w:r>
        <w:rPr>
          <w:color w:val="231F20"/>
          <w:sz w:val="19"/>
          <w:vertAlign w:val="baseline"/>
        </w:rPr>
        <w:t>a</w:t>
      </w:r>
      <w:r>
        <w:rPr>
          <w:color w:val="231F20"/>
          <w:spacing w:val="-11"/>
          <w:sz w:val="19"/>
          <w:vertAlign w:val="baseline"/>
        </w:rPr>
        <w:t> </w:t>
      </w:r>
      <w:r>
        <w:rPr>
          <w:color w:val="231F20"/>
          <w:sz w:val="19"/>
          <w:vertAlign w:val="baseline"/>
        </w:rPr>
        <w:t>core</w:t>
      </w:r>
      <w:r>
        <w:rPr>
          <w:color w:val="231F20"/>
          <w:spacing w:val="-12"/>
          <w:sz w:val="19"/>
          <w:vertAlign w:val="baseline"/>
        </w:rPr>
        <w:t> </w:t>
      </w:r>
      <w:r>
        <w:rPr>
          <w:color w:val="231F20"/>
          <w:sz w:val="19"/>
          <w:vertAlign w:val="baseline"/>
        </w:rPr>
        <w:t>rule</w:t>
      </w:r>
      <w:r>
        <w:rPr>
          <w:color w:val="231F20"/>
          <w:spacing w:val="-11"/>
          <w:sz w:val="19"/>
          <w:vertAlign w:val="baseline"/>
        </w:rPr>
        <w:t> </w:t>
      </w:r>
      <w:r>
        <w:rPr>
          <w:color w:val="231F20"/>
          <w:sz w:val="19"/>
          <w:vertAlign w:val="baseline"/>
        </w:rPr>
        <w:t>in</w:t>
      </w:r>
      <w:r>
        <w:rPr>
          <w:color w:val="231F20"/>
          <w:spacing w:val="-12"/>
          <w:sz w:val="19"/>
          <w:vertAlign w:val="baseline"/>
        </w:rPr>
        <w:t> </w:t>
      </w:r>
      <w:r>
        <w:rPr>
          <w:color w:val="231F20"/>
          <w:sz w:val="19"/>
          <w:vertAlign w:val="baseline"/>
        </w:rPr>
        <w:t>contract</w:t>
      </w:r>
      <w:r>
        <w:rPr>
          <w:color w:val="231F20"/>
          <w:spacing w:val="-11"/>
          <w:sz w:val="19"/>
          <w:vertAlign w:val="baseline"/>
        </w:rPr>
        <w:t> </w:t>
      </w:r>
      <w:r>
        <w:rPr>
          <w:color w:val="231F20"/>
          <w:sz w:val="19"/>
          <w:vertAlign w:val="baseline"/>
        </w:rPr>
        <w:t>law.</w:t>
      </w:r>
      <w:r>
        <w:rPr>
          <w:color w:val="231F20"/>
          <w:sz w:val="19"/>
          <w:vertAlign w:val="superscript"/>
        </w:rPr>
        <w:t>83</w:t>
      </w:r>
      <w:r>
        <w:rPr>
          <w:color w:val="231F20"/>
          <w:spacing w:val="-12"/>
          <w:sz w:val="19"/>
          <w:vertAlign w:val="baseline"/>
        </w:rPr>
        <w:t> </w:t>
      </w:r>
      <w:r>
        <w:rPr>
          <w:color w:val="231F20"/>
          <w:sz w:val="19"/>
          <w:vertAlign w:val="baseline"/>
        </w:rPr>
        <w:t>Consumers</w:t>
      </w:r>
      <w:r>
        <w:rPr>
          <w:color w:val="231F20"/>
          <w:spacing w:val="-11"/>
          <w:sz w:val="19"/>
          <w:vertAlign w:val="baseline"/>
        </w:rPr>
        <w:t> </w:t>
      </w:r>
      <w:r>
        <w:rPr>
          <w:color w:val="231F20"/>
          <w:sz w:val="19"/>
          <w:vertAlign w:val="baseline"/>
        </w:rPr>
        <w:t>are protected</w:t>
      </w:r>
      <w:r>
        <w:rPr>
          <w:color w:val="231F20"/>
          <w:spacing w:val="-12"/>
          <w:sz w:val="19"/>
          <w:vertAlign w:val="baseline"/>
        </w:rPr>
        <w:t> </w:t>
      </w:r>
      <w:r>
        <w:rPr>
          <w:color w:val="231F20"/>
          <w:sz w:val="19"/>
          <w:vertAlign w:val="baseline"/>
        </w:rPr>
        <w:t>by</w:t>
      </w:r>
      <w:r>
        <w:rPr>
          <w:color w:val="231F20"/>
          <w:spacing w:val="-11"/>
          <w:sz w:val="19"/>
          <w:vertAlign w:val="baseline"/>
        </w:rPr>
        <w:t> </w:t>
      </w:r>
      <w:r>
        <w:rPr>
          <w:color w:val="231F20"/>
          <w:sz w:val="19"/>
          <w:vertAlign w:val="baseline"/>
        </w:rPr>
        <w:t>being</w:t>
      </w:r>
      <w:r>
        <w:rPr>
          <w:color w:val="231F20"/>
          <w:spacing w:val="-7"/>
          <w:sz w:val="19"/>
          <w:vertAlign w:val="baseline"/>
        </w:rPr>
        <w:t> </w:t>
      </w:r>
      <w:r>
        <w:rPr>
          <w:color w:val="231F20"/>
          <w:sz w:val="19"/>
          <w:vertAlign w:val="baseline"/>
        </w:rPr>
        <w:t>restored</w:t>
      </w:r>
      <w:r>
        <w:rPr>
          <w:color w:val="231F20"/>
          <w:spacing w:val="-12"/>
          <w:sz w:val="19"/>
          <w:vertAlign w:val="baseline"/>
        </w:rPr>
        <w:t> </w:t>
      </w:r>
      <w:r>
        <w:rPr>
          <w:color w:val="231F20"/>
          <w:sz w:val="19"/>
          <w:vertAlign w:val="baseline"/>
        </w:rPr>
        <w:t>to</w:t>
      </w:r>
      <w:r>
        <w:rPr>
          <w:color w:val="231F20"/>
          <w:spacing w:val="-11"/>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situation</w:t>
      </w:r>
      <w:r>
        <w:rPr>
          <w:color w:val="231F20"/>
          <w:spacing w:val="-12"/>
          <w:sz w:val="19"/>
          <w:vertAlign w:val="baseline"/>
        </w:rPr>
        <w:t> </w:t>
      </w:r>
      <w:r>
        <w:rPr>
          <w:color w:val="231F20"/>
          <w:sz w:val="19"/>
          <w:vertAlign w:val="baseline"/>
        </w:rPr>
        <w:t>they</w:t>
      </w:r>
      <w:r>
        <w:rPr>
          <w:color w:val="231F20"/>
          <w:spacing w:val="-11"/>
          <w:sz w:val="19"/>
          <w:vertAlign w:val="baseline"/>
        </w:rPr>
        <w:t> </w:t>
      </w:r>
      <w:r>
        <w:rPr>
          <w:color w:val="231F20"/>
          <w:sz w:val="19"/>
          <w:vertAlign w:val="baseline"/>
        </w:rPr>
        <w:t>would</w:t>
      </w:r>
      <w:r>
        <w:rPr>
          <w:color w:val="231F20"/>
          <w:spacing w:val="-11"/>
          <w:sz w:val="19"/>
          <w:vertAlign w:val="baseline"/>
        </w:rPr>
        <w:t> </w:t>
      </w:r>
      <w:r>
        <w:rPr>
          <w:color w:val="231F20"/>
          <w:sz w:val="19"/>
          <w:vertAlign w:val="baseline"/>
        </w:rPr>
        <w:t>have</w:t>
      </w:r>
      <w:r>
        <w:rPr>
          <w:color w:val="231F20"/>
          <w:spacing w:val="-12"/>
          <w:sz w:val="19"/>
          <w:vertAlign w:val="baseline"/>
        </w:rPr>
        <w:t> </w:t>
      </w:r>
      <w:r>
        <w:rPr>
          <w:color w:val="231F20"/>
          <w:sz w:val="19"/>
          <w:vertAlign w:val="baseline"/>
        </w:rPr>
        <w:t>been</w:t>
      </w:r>
      <w:r>
        <w:rPr>
          <w:color w:val="231F20"/>
          <w:spacing w:val="-11"/>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absence</w:t>
      </w:r>
      <w:r>
        <w:rPr>
          <w:color w:val="231F20"/>
          <w:spacing w:val="-11"/>
          <w:sz w:val="19"/>
          <w:vertAlign w:val="baseline"/>
        </w:rPr>
        <w:t> </w:t>
      </w:r>
      <w:r>
        <w:rPr>
          <w:color w:val="231F20"/>
          <w:sz w:val="19"/>
          <w:vertAlign w:val="baseline"/>
        </w:rPr>
        <w:t>of the unfair term, not by discretionally deciding not to be bound by the contract.</w:t>
      </w:r>
    </w:p>
    <w:p>
      <w:pPr>
        <w:pStyle w:val="BodyText"/>
        <w:spacing w:before="52"/>
      </w:pPr>
    </w:p>
    <w:p>
      <w:pPr>
        <w:pStyle w:val="Heading1"/>
        <w:numPr>
          <w:ilvl w:val="0"/>
          <w:numId w:val="1"/>
        </w:numPr>
        <w:tabs>
          <w:tab w:pos="865" w:val="left" w:leader="none"/>
        </w:tabs>
        <w:spacing w:line="240" w:lineRule="auto" w:before="0" w:after="0"/>
        <w:ind w:left="865" w:right="0" w:hanging="353"/>
        <w:jc w:val="left"/>
      </w:pPr>
      <w:r>
        <w:rPr>
          <w:color w:val="231F20"/>
          <w:w w:val="105"/>
        </w:rPr>
        <w:t>Gap-</w:t>
      </w:r>
      <w:r>
        <w:rPr>
          <w:color w:val="231F20"/>
          <w:spacing w:val="-2"/>
          <w:w w:val="105"/>
        </w:rPr>
        <w:t>Filling</w:t>
      </w:r>
    </w:p>
    <w:p>
      <w:pPr>
        <w:pStyle w:val="ListParagraph"/>
        <w:numPr>
          <w:ilvl w:val="0"/>
          <w:numId w:val="4"/>
        </w:numPr>
        <w:tabs>
          <w:tab w:pos="1324" w:val="left" w:leader="none"/>
        </w:tabs>
        <w:spacing w:line="288" w:lineRule="auto" w:before="165" w:after="0"/>
        <w:ind w:left="871" w:right="868" w:firstLine="0"/>
        <w:jc w:val="both"/>
        <w:rPr>
          <w:sz w:val="19"/>
        </w:rPr>
      </w:pPr>
      <w:r>
        <w:rPr>
          <w:color w:val="231F20"/>
          <w:sz w:val="19"/>
        </w:rPr>
        <w:t>As stated above,</w:t>
      </w:r>
      <w:r>
        <w:rPr>
          <w:color w:val="231F20"/>
          <w:sz w:val="19"/>
          <w:vertAlign w:val="superscript"/>
        </w:rPr>
        <w:t>84</w:t>
      </w:r>
      <w:r>
        <w:rPr>
          <w:color w:val="231F20"/>
          <w:sz w:val="19"/>
          <w:vertAlign w:val="baseline"/>
        </w:rPr>
        <w:t> Article 6(1) UCTD mandates that unfair terms are </w:t>
      </w:r>
      <w:r>
        <w:rPr>
          <w:color w:val="231F20"/>
          <w:sz w:val="19"/>
          <w:vertAlign w:val="baseline"/>
        </w:rPr>
        <w:t>not binding</w:t>
      </w:r>
      <w:r>
        <w:rPr>
          <w:color w:val="231F20"/>
          <w:spacing w:val="-1"/>
          <w:sz w:val="19"/>
          <w:vertAlign w:val="baseline"/>
        </w:rPr>
        <w:t> </w:t>
      </w:r>
      <w:r>
        <w:rPr>
          <w:color w:val="231F20"/>
          <w:sz w:val="19"/>
          <w:vertAlign w:val="baseline"/>
        </w:rPr>
        <w:t>on</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consumer.</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contract</w:t>
      </w:r>
      <w:r>
        <w:rPr>
          <w:color w:val="231F20"/>
          <w:spacing w:val="-1"/>
          <w:sz w:val="19"/>
          <w:vertAlign w:val="baseline"/>
        </w:rPr>
        <w:t> </w:t>
      </w:r>
      <w:r>
        <w:rPr>
          <w:color w:val="231F20"/>
          <w:sz w:val="19"/>
          <w:vertAlign w:val="baseline"/>
        </w:rPr>
        <w:t>continues to</w:t>
      </w:r>
      <w:r>
        <w:rPr>
          <w:color w:val="231F20"/>
          <w:spacing w:val="-1"/>
          <w:sz w:val="19"/>
          <w:vertAlign w:val="baseline"/>
        </w:rPr>
        <w:t> </w:t>
      </w:r>
      <w:r>
        <w:rPr>
          <w:color w:val="231F20"/>
          <w:sz w:val="19"/>
          <w:vertAlign w:val="baseline"/>
        </w:rPr>
        <w:t>bind</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parties</w:t>
      </w:r>
      <w:r>
        <w:rPr>
          <w:color w:val="231F20"/>
          <w:spacing w:val="-1"/>
          <w:sz w:val="19"/>
          <w:vertAlign w:val="baseline"/>
        </w:rPr>
        <w:t> </w:t>
      </w:r>
      <w:r>
        <w:rPr>
          <w:color w:val="231F20"/>
          <w:sz w:val="19"/>
          <w:vertAlign w:val="baseline"/>
        </w:rPr>
        <w:t>if,</w:t>
      </w:r>
      <w:r>
        <w:rPr>
          <w:color w:val="231F20"/>
          <w:spacing w:val="-1"/>
          <w:sz w:val="19"/>
          <w:vertAlign w:val="baseline"/>
        </w:rPr>
        <w:t> </w:t>
      </w:r>
      <w:r>
        <w:rPr>
          <w:color w:val="231F20"/>
          <w:sz w:val="19"/>
          <w:vertAlign w:val="baseline"/>
        </w:rPr>
        <w:t>according to the rules laid down in national law,</w:t>
      </w:r>
      <w:r>
        <w:rPr>
          <w:color w:val="231F20"/>
          <w:sz w:val="19"/>
          <w:vertAlign w:val="superscript"/>
        </w:rPr>
        <w:t>85</w:t>
      </w:r>
      <w:r>
        <w:rPr>
          <w:color w:val="231F20"/>
          <w:sz w:val="19"/>
          <w:vertAlign w:val="baseline"/>
        </w:rPr>
        <w:t> it can continue in existence without the unfair</w:t>
      </w:r>
      <w:r>
        <w:rPr>
          <w:color w:val="231F20"/>
          <w:spacing w:val="-10"/>
          <w:sz w:val="19"/>
          <w:vertAlign w:val="baseline"/>
        </w:rPr>
        <w:t> </w:t>
      </w:r>
      <w:r>
        <w:rPr>
          <w:color w:val="231F20"/>
          <w:sz w:val="19"/>
          <w:vertAlign w:val="baseline"/>
        </w:rPr>
        <w:t>terms.</w:t>
      </w:r>
      <w:r>
        <w:rPr>
          <w:color w:val="231F20"/>
          <w:spacing w:val="-10"/>
          <w:sz w:val="19"/>
          <w:vertAlign w:val="baseline"/>
        </w:rPr>
        <w:t> </w:t>
      </w:r>
      <w:r>
        <w:rPr>
          <w:color w:val="231F20"/>
          <w:sz w:val="19"/>
          <w:vertAlign w:val="baseline"/>
        </w:rPr>
        <w:t>However,</w:t>
      </w:r>
      <w:r>
        <w:rPr>
          <w:color w:val="231F20"/>
          <w:spacing w:val="-11"/>
          <w:sz w:val="19"/>
          <w:vertAlign w:val="baseline"/>
        </w:rPr>
        <w:t> </w:t>
      </w:r>
      <w:r>
        <w:rPr>
          <w:color w:val="231F20"/>
          <w:sz w:val="19"/>
          <w:vertAlign w:val="baseline"/>
        </w:rPr>
        <w:t>Article</w:t>
      </w:r>
      <w:r>
        <w:rPr>
          <w:color w:val="231F20"/>
          <w:spacing w:val="-9"/>
          <w:sz w:val="19"/>
          <w:vertAlign w:val="baseline"/>
        </w:rPr>
        <w:t> </w:t>
      </w:r>
      <w:r>
        <w:rPr>
          <w:color w:val="231F20"/>
          <w:sz w:val="19"/>
          <w:vertAlign w:val="baseline"/>
        </w:rPr>
        <w:t>6(1)</w:t>
      </w:r>
      <w:r>
        <w:rPr>
          <w:color w:val="231F20"/>
          <w:spacing w:val="-10"/>
          <w:sz w:val="19"/>
          <w:vertAlign w:val="baseline"/>
        </w:rPr>
        <w:t> </w:t>
      </w:r>
      <w:r>
        <w:rPr>
          <w:color w:val="231F20"/>
          <w:sz w:val="19"/>
          <w:vertAlign w:val="baseline"/>
        </w:rPr>
        <w:t>UCTD</w:t>
      </w:r>
      <w:r>
        <w:rPr>
          <w:color w:val="231F20"/>
          <w:spacing w:val="-11"/>
          <w:sz w:val="19"/>
          <w:vertAlign w:val="baseline"/>
        </w:rPr>
        <w:t> </w:t>
      </w:r>
      <w:r>
        <w:rPr>
          <w:color w:val="231F20"/>
          <w:sz w:val="19"/>
          <w:vertAlign w:val="baseline"/>
        </w:rPr>
        <w:t>did</w:t>
      </w:r>
      <w:r>
        <w:rPr>
          <w:color w:val="231F20"/>
          <w:spacing w:val="-10"/>
          <w:sz w:val="19"/>
          <w:vertAlign w:val="baseline"/>
        </w:rPr>
        <w:t> </w:t>
      </w:r>
      <w:r>
        <w:rPr>
          <w:color w:val="231F20"/>
          <w:sz w:val="19"/>
          <w:vertAlign w:val="baseline"/>
        </w:rPr>
        <w:t>not</w:t>
      </w:r>
      <w:r>
        <w:rPr>
          <w:color w:val="231F20"/>
          <w:spacing w:val="-10"/>
          <w:sz w:val="19"/>
          <w:vertAlign w:val="baseline"/>
        </w:rPr>
        <w:t> </w:t>
      </w:r>
      <w:r>
        <w:rPr>
          <w:color w:val="231F20"/>
          <w:sz w:val="19"/>
          <w:vertAlign w:val="baseline"/>
        </w:rPr>
        <w:t>expressly</w:t>
      </w:r>
      <w:r>
        <w:rPr>
          <w:color w:val="231F20"/>
          <w:spacing w:val="-10"/>
          <w:sz w:val="19"/>
          <w:vertAlign w:val="baseline"/>
        </w:rPr>
        <w:t> </w:t>
      </w:r>
      <w:r>
        <w:rPr>
          <w:color w:val="231F20"/>
          <w:sz w:val="19"/>
          <w:vertAlign w:val="baseline"/>
        </w:rPr>
        <w:t>provide</w:t>
      </w:r>
      <w:r>
        <w:rPr>
          <w:color w:val="231F20"/>
          <w:spacing w:val="-10"/>
          <w:sz w:val="19"/>
          <w:vertAlign w:val="baseline"/>
        </w:rPr>
        <w:t> </w:t>
      </w:r>
      <w:r>
        <w:rPr>
          <w:color w:val="231F20"/>
          <w:sz w:val="19"/>
          <w:vertAlign w:val="baseline"/>
        </w:rPr>
        <w:t>for</w:t>
      </w:r>
      <w:r>
        <w:rPr>
          <w:color w:val="231F20"/>
          <w:spacing w:val="-11"/>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follow- on consequences of the unfair term not being binding.</w:t>
      </w:r>
      <w:r>
        <w:rPr>
          <w:color w:val="231F20"/>
          <w:sz w:val="19"/>
          <w:vertAlign w:val="superscript"/>
        </w:rPr>
        <w:t>86</w:t>
      </w:r>
      <w:r>
        <w:rPr>
          <w:color w:val="231F20"/>
          <w:sz w:val="19"/>
          <w:vertAlign w:val="baseline"/>
        </w:rPr>
        <w:t> In particular, it left unaddressed the issue of how to deal with the gap that the unfair term leaves in the contract.</w:t>
      </w:r>
    </w:p>
    <w:p>
      <w:pPr>
        <w:pStyle w:val="ListParagraph"/>
        <w:numPr>
          <w:ilvl w:val="0"/>
          <w:numId w:val="4"/>
        </w:numPr>
        <w:tabs>
          <w:tab w:pos="1324" w:val="left" w:leader="none"/>
        </w:tabs>
        <w:spacing w:line="288" w:lineRule="auto" w:before="120" w:after="0"/>
        <w:ind w:left="871" w:right="866" w:firstLine="0"/>
        <w:jc w:val="both"/>
        <w:rPr>
          <w:sz w:val="19"/>
        </w:rPr>
      </w:pPr>
      <w:r>
        <w:rPr>
          <w:color w:val="231F20"/>
          <w:sz w:val="19"/>
        </w:rPr>
        <w:t>In national law, contracts can be supplemented with default rules that fill</w:t>
      </w:r>
      <w:r>
        <w:rPr>
          <w:color w:val="231F20"/>
          <w:spacing w:val="80"/>
          <w:sz w:val="19"/>
        </w:rPr>
        <w:t> </w:t>
      </w:r>
      <w:r>
        <w:rPr>
          <w:color w:val="231F20"/>
          <w:sz w:val="19"/>
        </w:rPr>
        <w:t>in the lacunae that the parties left ab initio, as well as those arising ex-post, following a declaration of partial invalidity.</w:t>
      </w:r>
      <w:r>
        <w:rPr>
          <w:color w:val="231F20"/>
          <w:sz w:val="19"/>
          <w:vertAlign w:val="superscript"/>
        </w:rPr>
        <w:t>87</w:t>
      </w:r>
      <w:r>
        <w:rPr>
          <w:color w:val="231F20"/>
          <w:sz w:val="19"/>
          <w:vertAlign w:val="baseline"/>
        </w:rPr>
        <w:t> A teleological approach to default rules perceives them as a fair arrangement for the parties, as provided for by legislation.</w:t>
      </w:r>
      <w:r>
        <w:rPr>
          <w:color w:val="231F20"/>
          <w:sz w:val="19"/>
          <w:vertAlign w:val="superscript"/>
        </w:rPr>
        <w:t>88</w:t>
      </w:r>
      <w:r>
        <w:rPr>
          <w:color w:val="231F20"/>
          <w:sz w:val="19"/>
          <w:vertAlign w:val="baseline"/>
        </w:rPr>
        <w:t> Therefore, default rules supplement the contents of the contract to ensure fairness in those aspects not regulated by agreement and mandatory</w:t>
      </w:r>
      <w:r>
        <w:rPr>
          <w:color w:val="231F20"/>
          <w:spacing w:val="40"/>
          <w:sz w:val="19"/>
          <w:vertAlign w:val="baseline"/>
        </w:rPr>
        <w:t> </w:t>
      </w:r>
      <w:r>
        <w:rPr>
          <w:color w:val="231F20"/>
          <w:spacing w:val="-2"/>
          <w:sz w:val="19"/>
          <w:vertAlign w:val="baseline"/>
        </w:rPr>
        <w:t>law.</w:t>
      </w:r>
      <w:r>
        <w:rPr>
          <w:color w:val="231F20"/>
          <w:spacing w:val="-2"/>
          <w:sz w:val="19"/>
          <w:vertAlign w:val="superscript"/>
        </w:rPr>
        <w:t>89</w:t>
      </w:r>
    </w:p>
    <w:p>
      <w:pPr>
        <w:pStyle w:val="ListParagraph"/>
        <w:numPr>
          <w:ilvl w:val="0"/>
          <w:numId w:val="4"/>
        </w:numPr>
        <w:tabs>
          <w:tab w:pos="1324" w:val="left" w:leader="none"/>
        </w:tabs>
        <w:spacing w:line="288" w:lineRule="auto" w:before="120" w:after="0"/>
        <w:ind w:left="871" w:right="869" w:firstLine="0"/>
        <w:jc w:val="both"/>
        <w:rPr>
          <w:sz w:val="19"/>
        </w:rPr>
      </w:pPr>
      <w:r>
        <w:rPr>
          <w:color w:val="231F20"/>
          <w:sz w:val="19"/>
        </w:rPr>
        <w:t>On this, it should be recalled that one of the aims of Article 6(1) UCTD is to re-establish</w:t>
      </w:r>
      <w:r>
        <w:rPr>
          <w:color w:val="231F20"/>
          <w:spacing w:val="-11"/>
          <w:sz w:val="19"/>
        </w:rPr>
        <w:t> </w:t>
      </w:r>
      <w:r>
        <w:rPr>
          <w:color w:val="231F20"/>
          <w:sz w:val="19"/>
        </w:rPr>
        <w:t>equality</w:t>
      </w:r>
      <w:r>
        <w:rPr>
          <w:color w:val="231F20"/>
          <w:spacing w:val="-11"/>
          <w:sz w:val="19"/>
        </w:rPr>
        <w:t> </w:t>
      </w:r>
      <w:r>
        <w:rPr>
          <w:color w:val="231F20"/>
          <w:sz w:val="19"/>
        </w:rPr>
        <w:t>between</w:t>
      </w:r>
      <w:r>
        <w:rPr>
          <w:color w:val="231F20"/>
          <w:spacing w:val="-11"/>
          <w:sz w:val="19"/>
        </w:rPr>
        <w:t> </w:t>
      </w:r>
      <w:r>
        <w:rPr>
          <w:color w:val="231F20"/>
          <w:sz w:val="19"/>
        </w:rPr>
        <w:t>the</w:t>
      </w:r>
      <w:r>
        <w:rPr>
          <w:color w:val="231F20"/>
          <w:spacing w:val="-11"/>
          <w:sz w:val="19"/>
        </w:rPr>
        <w:t> </w:t>
      </w:r>
      <w:r>
        <w:rPr>
          <w:color w:val="231F20"/>
          <w:sz w:val="19"/>
        </w:rPr>
        <w:t>parties.</w:t>
      </w:r>
      <w:r>
        <w:rPr>
          <w:color w:val="231F20"/>
          <w:sz w:val="19"/>
          <w:vertAlign w:val="superscript"/>
        </w:rPr>
        <w:t>90</w:t>
      </w:r>
      <w:r>
        <w:rPr>
          <w:color w:val="231F20"/>
          <w:spacing w:val="-11"/>
          <w:sz w:val="19"/>
          <w:vertAlign w:val="baseline"/>
        </w:rPr>
        <w:t> </w:t>
      </w:r>
      <w:r>
        <w:rPr>
          <w:color w:val="231F20"/>
          <w:sz w:val="19"/>
          <w:vertAlign w:val="baseline"/>
        </w:rPr>
        <w:t>To</w:t>
      </w:r>
      <w:r>
        <w:rPr>
          <w:color w:val="231F20"/>
          <w:spacing w:val="-11"/>
          <w:sz w:val="19"/>
          <w:vertAlign w:val="baseline"/>
        </w:rPr>
        <w:t> </w:t>
      </w:r>
      <w:r>
        <w:rPr>
          <w:color w:val="231F20"/>
          <w:sz w:val="19"/>
          <w:vertAlign w:val="baseline"/>
        </w:rPr>
        <w:t>achieve</w:t>
      </w:r>
      <w:r>
        <w:rPr>
          <w:color w:val="231F20"/>
          <w:spacing w:val="-11"/>
          <w:sz w:val="19"/>
          <w:vertAlign w:val="baseline"/>
        </w:rPr>
        <w:t> </w:t>
      </w:r>
      <w:r>
        <w:rPr>
          <w:color w:val="231F20"/>
          <w:sz w:val="19"/>
          <w:vertAlign w:val="baseline"/>
        </w:rPr>
        <w:t>this</w:t>
      </w:r>
      <w:r>
        <w:rPr>
          <w:color w:val="231F20"/>
          <w:spacing w:val="-11"/>
          <w:sz w:val="19"/>
          <w:vertAlign w:val="baseline"/>
        </w:rPr>
        <w:t> </w:t>
      </w:r>
      <w:r>
        <w:rPr>
          <w:color w:val="231F20"/>
          <w:sz w:val="19"/>
          <w:vertAlign w:val="baseline"/>
        </w:rPr>
        <w:t>goal,</w:t>
      </w:r>
      <w:r>
        <w:rPr>
          <w:color w:val="231F20"/>
          <w:spacing w:val="-11"/>
          <w:sz w:val="19"/>
          <w:vertAlign w:val="baseline"/>
        </w:rPr>
        <w:t> </w:t>
      </w:r>
      <w:r>
        <w:rPr>
          <w:color w:val="231F20"/>
          <w:sz w:val="19"/>
          <w:vertAlign w:val="baseline"/>
        </w:rPr>
        <w:t>in</w:t>
      </w:r>
      <w:r>
        <w:rPr>
          <w:color w:val="231F20"/>
          <w:spacing w:val="-10"/>
          <w:sz w:val="19"/>
          <w:vertAlign w:val="baseline"/>
        </w:rPr>
        <w:t> </w:t>
      </w:r>
      <w:r>
        <w:rPr>
          <w:color w:val="231F20"/>
          <w:sz w:val="19"/>
          <w:vertAlign w:val="baseline"/>
        </w:rPr>
        <w:t>theory,</w:t>
      </w:r>
      <w:r>
        <w:rPr>
          <w:color w:val="231F20"/>
          <w:spacing w:val="-10"/>
          <w:sz w:val="19"/>
          <w:vertAlign w:val="baseline"/>
        </w:rPr>
        <w:t> </w:t>
      </w:r>
      <w:r>
        <w:rPr>
          <w:color w:val="231F20"/>
          <w:spacing w:val="-2"/>
          <w:sz w:val="19"/>
          <w:vertAlign w:val="baseline"/>
        </w:rPr>
        <w:t>national</w:t>
      </w:r>
    </w:p>
    <w:p>
      <w:pPr>
        <w:pStyle w:val="BodyText"/>
        <w:rPr>
          <w:sz w:val="20"/>
        </w:rPr>
      </w:pPr>
    </w:p>
    <w:p>
      <w:pPr>
        <w:pStyle w:val="BodyText"/>
        <w:spacing w:before="115"/>
        <w:rPr>
          <w:sz w:val="20"/>
        </w:rPr>
      </w:pPr>
      <w:r>
        <w:rPr/>
        <mc:AlternateContent>
          <mc:Choice Requires="wps">
            <w:drawing>
              <wp:anchor distT="0" distB="0" distL="0" distR="0" allowOverlap="1" layoutInCell="1" locked="0" behindDoc="1" simplePos="0" relativeHeight="487596032">
                <wp:simplePos x="0" y="0"/>
                <wp:positionH relativeFrom="page">
                  <wp:posOffset>1979993</wp:posOffset>
                </wp:positionH>
                <wp:positionV relativeFrom="paragraph">
                  <wp:posOffset>232730</wp:posOffset>
                </wp:positionV>
                <wp:extent cx="1656080" cy="4445"/>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8.325272pt;width:130.394pt;height:.34015pt;mso-position-horizontal-relative:page;mso-position-vertical-relative:paragraph;z-index:-15720448;mso-wrap-distance-left:0;mso-wrap-distance-right:0" id="docshape19" filled="true" fillcolor="#000000" stroked="false">
                <v:fill type="solid"/>
                <w10:wrap type="topAndBottom"/>
              </v:rect>
            </w:pict>
          </mc:Fallback>
        </mc:AlternateContent>
      </w:r>
    </w:p>
    <w:p>
      <w:pPr>
        <w:pStyle w:val="BodyText"/>
        <w:spacing w:before="71"/>
        <w:rPr>
          <w:sz w:val="16"/>
        </w:rPr>
      </w:pPr>
    </w:p>
    <w:p>
      <w:pPr>
        <w:pStyle w:val="ListParagraph"/>
        <w:numPr>
          <w:ilvl w:val="0"/>
          <w:numId w:val="3"/>
        </w:numPr>
        <w:tabs>
          <w:tab w:pos="866" w:val="left" w:leader="none"/>
        </w:tabs>
        <w:spacing w:line="288" w:lineRule="auto" w:before="0" w:after="0"/>
        <w:ind w:left="866" w:right="868" w:hanging="354"/>
        <w:jc w:val="left"/>
        <w:rPr>
          <w:sz w:val="16"/>
        </w:rPr>
      </w:pPr>
      <w:r>
        <w:rPr>
          <w:color w:val="231F20"/>
          <w:sz w:val="16"/>
        </w:rPr>
        <w:t>ECJ</w:t>
      </w:r>
      <w:r>
        <w:rPr>
          <w:color w:val="231F20"/>
          <w:spacing w:val="-7"/>
          <w:sz w:val="16"/>
        </w:rPr>
        <w:t> </w:t>
      </w:r>
      <w:r>
        <w:rPr>
          <w:color w:val="231F20"/>
          <w:sz w:val="16"/>
        </w:rPr>
        <w:t>15</w:t>
      </w:r>
      <w:r>
        <w:rPr>
          <w:color w:val="231F20"/>
          <w:spacing w:val="-6"/>
          <w:sz w:val="16"/>
        </w:rPr>
        <w:t> </w:t>
      </w:r>
      <w:r>
        <w:rPr>
          <w:color w:val="231F20"/>
          <w:sz w:val="16"/>
        </w:rPr>
        <w:t>Mar.</w:t>
      </w:r>
      <w:r>
        <w:rPr>
          <w:color w:val="231F20"/>
          <w:spacing w:val="-8"/>
          <w:sz w:val="16"/>
        </w:rPr>
        <w:t> </w:t>
      </w:r>
      <w:r>
        <w:rPr>
          <w:color w:val="231F20"/>
          <w:sz w:val="16"/>
        </w:rPr>
        <w:t>2012,</w:t>
      </w:r>
      <w:r>
        <w:rPr>
          <w:color w:val="231F20"/>
          <w:spacing w:val="-6"/>
          <w:sz w:val="16"/>
        </w:rPr>
        <w:t> </w:t>
      </w:r>
      <w:r>
        <w:rPr>
          <w:color w:val="231F20"/>
          <w:sz w:val="16"/>
        </w:rPr>
        <w:t>ECLI:EU:C:2012:144,</w:t>
      </w:r>
      <w:r>
        <w:rPr>
          <w:color w:val="231F20"/>
          <w:spacing w:val="-7"/>
          <w:sz w:val="16"/>
        </w:rPr>
        <w:t> </w:t>
      </w:r>
      <w:r>
        <w:rPr>
          <w:i/>
          <w:color w:val="231F20"/>
          <w:sz w:val="16"/>
        </w:rPr>
        <w:t>Jana</w:t>
      </w:r>
      <w:r>
        <w:rPr>
          <w:i/>
          <w:color w:val="231F20"/>
          <w:spacing w:val="-7"/>
          <w:sz w:val="16"/>
        </w:rPr>
        <w:t> </w:t>
      </w:r>
      <w:r>
        <w:rPr>
          <w:i/>
          <w:color w:val="231F20"/>
          <w:sz w:val="16"/>
        </w:rPr>
        <w:t>Pereni</w:t>
      </w:r>
      <w:r>
        <w:rPr>
          <w:rFonts w:ascii="Trebuchet MS" w:hAnsi="Trebuchet MS"/>
          <w:color w:val="231F20"/>
          <w:sz w:val="16"/>
        </w:rPr>
        <w:t>č</w:t>
      </w:r>
      <w:r>
        <w:rPr>
          <w:i/>
          <w:color w:val="231F20"/>
          <w:sz w:val="16"/>
        </w:rPr>
        <w:t>ová</w:t>
      </w:r>
      <w:r>
        <w:rPr>
          <w:color w:val="231F20"/>
          <w:sz w:val="16"/>
        </w:rPr>
        <w:t>,</w:t>
      </w:r>
      <w:r>
        <w:rPr>
          <w:color w:val="231F20"/>
          <w:spacing w:val="-6"/>
          <w:sz w:val="16"/>
        </w:rPr>
        <w:t> </w:t>
      </w:r>
      <w:r>
        <w:rPr>
          <w:color w:val="231F20"/>
          <w:sz w:val="16"/>
        </w:rPr>
        <w:t>para.</w:t>
      </w:r>
      <w:r>
        <w:rPr>
          <w:color w:val="231F20"/>
          <w:spacing w:val="-7"/>
          <w:sz w:val="16"/>
        </w:rPr>
        <w:t> </w:t>
      </w:r>
      <w:r>
        <w:rPr>
          <w:color w:val="231F20"/>
          <w:sz w:val="16"/>
        </w:rPr>
        <w:t>32.</w:t>
      </w:r>
      <w:r>
        <w:rPr>
          <w:color w:val="231F20"/>
          <w:spacing w:val="-7"/>
          <w:sz w:val="16"/>
        </w:rPr>
        <w:t> </w:t>
      </w:r>
      <w:r>
        <w:rPr>
          <w:color w:val="231F20"/>
          <w:sz w:val="16"/>
        </w:rPr>
        <w:t>ECJ</w:t>
      </w:r>
      <w:r>
        <w:rPr>
          <w:color w:val="231F20"/>
          <w:spacing w:val="-7"/>
          <w:sz w:val="16"/>
        </w:rPr>
        <w:t> </w:t>
      </w:r>
      <w:r>
        <w:rPr>
          <w:color w:val="231F20"/>
          <w:sz w:val="16"/>
        </w:rPr>
        <w:t>29</w:t>
      </w:r>
      <w:r>
        <w:rPr>
          <w:color w:val="231F20"/>
          <w:spacing w:val="-6"/>
          <w:sz w:val="16"/>
        </w:rPr>
        <w:t> </w:t>
      </w:r>
      <w:r>
        <w:rPr>
          <w:color w:val="231F20"/>
          <w:sz w:val="16"/>
        </w:rPr>
        <w:t>Apr.</w:t>
      </w:r>
      <w:r>
        <w:rPr>
          <w:color w:val="231F20"/>
          <w:spacing w:val="-7"/>
          <w:sz w:val="16"/>
        </w:rPr>
        <w:t> </w:t>
      </w:r>
      <w:r>
        <w:rPr>
          <w:color w:val="231F20"/>
          <w:sz w:val="16"/>
        </w:rPr>
        <w:t>2021,</w:t>
      </w:r>
      <w:r>
        <w:rPr>
          <w:color w:val="231F20"/>
          <w:spacing w:val="-6"/>
          <w:sz w:val="16"/>
        </w:rPr>
        <w:t> </w:t>
      </w:r>
      <w:r>
        <w:rPr>
          <w:color w:val="231F20"/>
          <w:sz w:val="16"/>
        </w:rPr>
        <w:t>ECLI:EU:</w:t>
      </w:r>
      <w:r>
        <w:rPr>
          <w:color w:val="231F20"/>
          <w:spacing w:val="40"/>
          <w:sz w:val="16"/>
        </w:rPr>
        <w:t> </w:t>
      </w:r>
      <w:r>
        <w:rPr>
          <w:color w:val="231F20"/>
          <w:sz w:val="16"/>
        </w:rPr>
        <w:t>C:2021:341, </w:t>
      </w:r>
      <w:r>
        <w:rPr>
          <w:i/>
          <w:color w:val="231F20"/>
          <w:sz w:val="16"/>
        </w:rPr>
        <w:t>I.W. and R.W. </w:t>
      </w:r>
      <w:r>
        <w:rPr>
          <w:color w:val="231F20"/>
          <w:sz w:val="16"/>
        </w:rPr>
        <w:t>v. </w:t>
      </w:r>
      <w:r>
        <w:rPr>
          <w:i/>
          <w:color w:val="231F20"/>
          <w:sz w:val="16"/>
        </w:rPr>
        <w:t>Bank BPH S.A.</w:t>
      </w:r>
      <w:r>
        <w:rPr>
          <w:color w:val="231F20"/>
          <w:sz w:val="16"/>
        </w:rPr>
        <w:t>, para. 56.</w:t>
      </w:r>
    </w:p>
    <w:p>
      <w:pPr>
        <w:pStyle w:val="ListParagraph"/>
        <w:numPr>
          <w:ilvl w:val="0"/>
          <w:numId w:val="3"/>
        </w:numPr>
        <w:tabs>
          <w:tab w:pos="865" w:val="left" w:leader="none"/>
        </w:tabs>
        <w:spacing w:line="183" w:lineRule="exact" w:before="0" w:after="0"/>
        <w:ind w:left="865" w:right="0" w:hanging="353"/>
        <w:jc w:val="left"/>
        <w:rPr>
          <w:sz w:val="16"/>
        </w:rPr>
      </w:pPr>
      <w:r>
        <w:rPr>
          <w:color w:val="231F20"/>
          <w:sz w:val="16"/>
        </w:rPr>
        <w:t>R.</w:t>
      </w:r>
      <w:r>
        <w:rPr>
          <w:color w:val="231F20"/>
          <w:spacing w:val="5"/>
          <w:sz w:val="16"/>
        </w:rPr>
        <w:t> </w:t>
      </w:r>
      <w:r>
        <w:rPr>
          <w:color w:val="231F20"/>
          <w:sz w:val="11"/>
        </w:rPr>
        <w:t>VAN</w:t>
      </w:r>
      <w:r>
        <w:rPr>
          <w:color w:val="231F20"/>
          <w:spacing w:val="18"/>
          <w:sz w:val="11"/>
        </w:rPr>
        <w:t> </w:t>
      </w:r>
      <w:r>
        <w:rPr>
          <w:color w:val="231F20"/>
          <w:sz w:val="16"/>
        </w:rPr>
        <w:t>L</w:t>
      </w:r>
      <w:r>
        <w:rPr>
          <w:color w:val="231F20"/>
          <w:sz w:val="11"/>
        </w:rPr>
        <w:t>EUKEN</w:t>
      </w:r>
      <w:r>
        <w:rPr>
          <w:color w:val="231F20"/>
          <w:spacing w:val="18"/>
          <w:sz w:val="11"/>
        </w:rPr>
        <w:t> </w:t>
      </w:r>
      <w:r>
        <w:rPr>
          <w:color w:val="231F20"/>
          <w:sz w:val="16"/>
        </w:rPr>
        <w:t>&amp;</w:t>
      </w:r>
      <w:r>
        <w:rPr>
          <w:color w:val="231F20"/>
          <w:spacing w:val="6"/>
          <w:sz w:val="16"/>
        </w:rPr>
        <w:t> </w:t>
      </w:r>
      <w:r>
        <w:rPr>
          <w:color w:val="231F20"/>
          <w:sz w:val="16"/>
        </w:rPr>
        <w:t>J.C.</w:t>
      </w:r>
      <w:r>
        <w:rPr>
          <w:color w:val="231F20"/>
          <w:spacing w:val="6"/>
          <w:sz w:val="16"/>
        </w:rPr>
        <w:t> </w:t>
      </w:r>
      <w:r>
        <w:rPr>
          <w:color w:val="231F20"/>
          <w:sz w:val="16"/>
        </w:rPr>
        <w:t>G</w:t>
      </w:r>
      <w:r>
        <w:rPr>
          <w:color w:val="231F20"/>
          <w:sz w:val="11"/>
        </w:rPr>
        <w:t>OMES</w:t>
      </w:r>
      <w:r>
        <w:rPr>
          <w:color w:val="231F20"/>
          <w:sz w:val="16"/>
        </w:rPr>
        <w:t>,</w:t>
      </w:r>
      <w:r>
        <w:rPr>
          <w:color w:val="231F20"/>
          <w:spacing w:val="6"/>
          <w:sz w:val="16"/>
        </w:rPr>
        <w:t> </w:t>
      </w:r>
      <w:r>
        <w:rPr>
          <w:rFonts w:ascii="Arial" w:hAnsi="Arial"/>
          <w:color w:val="231F20"/>
          <w:sz w:val="16"/>
        </w:rPr>
        <w:t>‘</w:t>
      </w:r>
      <w:r>
        <w:rPr>
          <w:color w:val="231F20"/>
          <w:sz w:val="16"/>
        </w:rPr>
        <w:t>General</w:t>
      </w:r>
      <w:r>
        <w:rPr>
          <w:color w:val="231F20"/>
          <w:spacing w:val="5"/>
          <w:sz w:val="16"/>
        </w:rPr>
        <w:t> </w:t>
      </w:r>
      <w:r>
        <w:rPr>
          <w:color w:val="231F20"/>
          <w:sz w:val="16"/>
        </w:rPr>
        <w:t>Principles</w:t>
      </w:r>
      <w:r>
        <w:rPr>
          <w:color w:val="231F20"/>
          <w:spacing w:val="7"/>
          <w:sz w:val="16"/>
        </w:rPr>
        <w:t> </w:t>
      </w:r>
      <w:r>
        <w:rPr>
          <w:color w:val="231F20"/>
          <w:sz w:val="16"/>
        </w:rPr>
        <w:t>of</w:t>
      </w:r>
      <w:r>
        <w:rPr>
          <w:color w:val="231F20"/>
          <w:spacing w:val="7"/>
          <w:sz w:val="16"/>
        </w:rPr>
        <w:t> </w:t>
      </w:r>
      <w:r>
        <w:rPr>
          <w:color w:val="231F20"/>
          <w:sz w:val="16"/>
        </w:rPr>
        <w:t>a</w:t>
      </w:r>
      <w:r>
        <w:rPr>
          <w:color w:val="231F20"/>
          <w:spacing w:val="5"/>
          <w:sz w:val="16"/>
        </w:rPr>
        <w:t> </w:t>
      </w:r>
      <w:r>
        <w:rPr>
          <w:color w:val="231F20"/>
          <w:sz w:val="16"/>
        </w:rPr>
        <w:t>Public</w:t>
      </w:r>
      <w:r>
        <w:rPr>
          <w:color w:val="231F20"/>
          <w:spacing w:val="7"/>
          <w:sz w:val="16"/>
        </w:rPr>
        <w:t> </w:t>
      </w:r>
      <w:r>
        <w:rPr>
          <w:color w:val="231F20"/>
          <w:sz w:val="16"/>
        </w:rPr>
        <w:t>Law</w:t>
      </w:r>
      <w:r>
        <w:rPr>
          <w:color w:val="231F20"/>
          <w:spacing w:val="7"/>
          <w:sz w:val="16"/>
        </w:rPr>
        <w:t> </w:t>
      </w:r>
      <w:r>
        <w:rPr>
          <w:color w:val="231F20"/>
          <w:sz w:val="16"/>
        </w:rPr>
        <w:t>Nature</w:t>
      </w:r>
      <w:r>
        <w:rPr>
          <w:rFonts w:ascii="Arial" w:hAnsi="Arial"/>
          <w:color w:val="231F20"/>
          <w:sz w:val="16"/>
        </w:rPr>
        <w:t>’</w:t>
      </w:r>
      <w:r>
        <w:rPr>
          <w:color w:val="231F20"/>
          <w:sz w:val="16"/>
        </w:rPr>
        <w:t>,</w:t>
      </w:r>
      <w:r>
        <w:rPr>
          <w:color w:val="231F20"/>
          <w:spacing w:val="5"/>
          <w:sz w:val="16"/>
        </w:rPr>
        <w:t> </w:t>
      </w:r>
      <w:r>
        <w:rPr>
          <w:color w:val="231F20"/>
          <w:sz w:val="16"/>
        </w:rPr>
        <w:t>in</w:t>
      </w:r>
      <w:r>
        <w:rPr>
          <w:color w:val="231F20"/>
          <w:spacing w:val="7"/>
          <w:sz w:val="16"/>
        </w:rPr>
        <w:t> </w:t>
      </w:r>
      <w:r>
        <w:rPr>
          <w:color w:val="231F20"/>
          <w:sz w:val="16"/>
        </w:rPr>
        <w:t>A.</w:t>
      </w:r>
      <w:r>
        <w:rPr>
          <w:color w:val="231F20"/>
          <w:spacing w:val="6"/>
          <w:sz w:val="16"/>
        </w:rPr>
        <w:t> </w:t>
      </w:r>
      <w:r>
        <w:rPr>
          <w:color w:val="231F20"/>
          <w:spacing w:val="-2"/>
          <w:sz w:val="16"/>
        </w:rPr>
        <w:t>Hartkamp,</w:t>
      </w:r>
    </w:p>
    <w:p>
      <w:pPr>
        <w:spacing w:before="37"/>
        <w:ind w:left="866" w:right="0" w:firstLine="0"/>
        <w:jc w:val="left"/>
        <w:rPr>
          <w:i/>
          <w:sz w:val="16"/>
        </w:rPr>
      </w:pPr>
      <w:r>
        <w:rPr>
          <w:color w:val="231F20"/>
          <w:sz w:val="16"/>
        </w:rPr>
        <w:t>C.</w:t>
      </w:r>
      <w:r>
        <w:rPr>
          <w:color w:val="231F20"/>
          <w:spacing w:val="7"/>
          <w:sz w:val="16"/>
        </w:rPr>
        <w:t> </w:t>
      </w:r>
      <w:r>
        <w:rPr>
          <w:color w:val="231F20"/>
          <w:sz w:val="16"/>
        </w:rPr>
        <w:t>Sieburgh</w:t>
      </w:r>
      <w:r>
        <w:rPr>
          <w:color w:val="231F20"/>
          <w:spacing w:val="7"/>
          <w:sz w:val="16"/>
        </w:rPr>
        <w:t> </w:t>
      </w:r>
      <w:r>
        <w:rPr>
          <w:color w:val="231F20"/>
          <w:sz w:val="16"/>
        </w:rPr>
        <w:t>&amp;</w:t>
      </w:r>
      <w:r>
        <w:rPr>
          <w:color w:val="231F20"/>
          <w:spacing w:val="7"/>
          <w:sz w:val="16"/>
        </w:rPr>
        <w:t> </w:t>
      </w:r>
      <w:r>
        <w:rPr>
          <w:color w:val="231F20"/>
          <w:sz w:val="16"/>
        </w:rPr>
        <w:t>W.</w:t>
      </w:r>
      <w:r>
        <w:rPr>
          <w:color w:val="231F20"/>
          <w:spacing w:val="7"/>
          <w:sz w:val="16"/>
        </w:rPr>
        <w:t> </w:t>
      </w:r>
      <w:r>
        <w:rPr>
          <w:color w:val="231F20"/>
          <w:sz w:val="16"/>
        </w:rPr>
        <w:t>Devroe</w:t>
      </w:r>
      <w:r>
        <w:rPr>
          <w:color w:val="231F20"/>
          <w:spacing w:val="8"/>
          <w:sz w:val="16"/>
        </w:rPr>
        <w:t> </w:t>
      </w:r>
      <w:r>
        <w:rPr>
          <w:color w:val="231F20"/>
          <w:sz w:val="16"/>
        </w:rPr>
        <w:t>(eds),</w:t>
      </w:r>
      <w:r>
        <w:rPr>
          <w:color w:val="231F20"/>
          <w:spacing w:val="8"/>
          <w:sz w:val="16"/>
        </w:rPr>
        <w:t> </w:t>
      </w:r>
      <w:r>
        <w:rPr>
          <w:i/>
          <w:color w:val="231F20"/>
          <w:sz w:val="16"/>
        </w:rPr>
        <w:t>Cases,</w:t>
      </w:r>
      <w:r>
        <w:rPr>
          <w:i/>
          <w:color w:val="231F20"/>
          <w:spacing w:val="7"/>
          <w:sz w:val="16"/>
        </w:rPr>
        <w:t> </w:t>
      </w:r>
      <w:r>
        <w:rPr>
          <w:i/>
          <w:color w:val="231F20"/>
          <w:sz w:val="16"/>
        </w:rPr>
        <w:t>Materials</w:t>
      </w:r>
      <w:r>
        <w:rPr>
          <w:i/>
          <w:color w:val="231F20"/>
          <w:spacing w:val="7"/>
          <w:sz w:val="16"/>
        </w:rPr>
        <w:t> </w:t>
      </w:r>
      <w:r>
        <w:rPr>
          <w:i/>
          <w:color w:val="231F20"/>
          <w:sz w:val="16"/>
        </w:rPr>
        <w:t>and</w:t>
      </w:r>
      <w:r>
        <w:rPr>
          <w:i/>
          <w:color w:val="231F20"/>
          <w:spacing w:val="7"/>
          <w:sz w:val="16"/>
        </w:rPr>
        <w:t> </w:t>
      </w:r>
      <w:r>
        <w:rPr>
          <w:i/>
          <w:color w:val="231F20"/>
          <w:sz w:val="16"/>
        </w:rPr>
        <w:t>Text</w:t>
      </w:r>
      <w:r>
        <w:rPr>
          <w:i/>
          <w:color w:val="231F20"/>
          <w:spacing w:val="7"/>
          <w:sz w:val="16"/>
        </w:rPr>
        <w:t> </w:t>
      </w:r>
      <w:r>
        <w:rPr>
          <w:i/>
          <w:color w:val="231F20"/>
          <w:sz w:val="16"/>
        </w:rPr>
        <w:t>on</w:t>
      </w:r>
      <w:r>
        <w:rPr>
          <w:i/>
          <w:color w:val="231F20"/>
          <w:spacing w:val="7"/>
          <w:sz w:val="16"/>
        </w:rPr>
        <w:t> </w:t>
      </w:r>
      <w:r>
        <w:rPr>
          <w:i/>
          <w:color w:val="231F20"/>
          <w:sz w:val="16"/>
        </w:rPr>
        <w:t>European</w:t>
      </w:r>
      <w:r>
        <w:rPr>
          <w:i/>
          <w:color w:val="231F20"/>
          <w:spacing w:val="8"/>
          <w:sz w:val="16"/>
        </w:rPr>
        <w:t> </w:t>
      </w:r>
      <w:r>
        <w:rPr>
          <w:i/>
          <w:color w:val="231F20"/>
          <w:sz w:val="16"/>
        </w:rPr>
        <w:t>Law</w:t>
      </w:r>
      <w:r>
        <w:rPr>
          <w:i/>
          <w:color w:val="231F20"/>
          <w:spacing w:val="8"/>
          <w:sz w:val="16"/>
        </w:rPr>
        <w:t> </w:t>
      </w:r>
      <w:r>
        <w:rPr>
          <w:i/>
          <w:color w:val="231F20"/>
          <w:sz w:val="16"/>
        </w:rPr>
        <w:t>and</w:t>
      </w:r>
      <w:r>
        <w:rPr>
          <w:i/>
          <w:color w:val="231F20"/>
          <w:spacing w:val="7"/>
          <w:sz w:val="16"/>
        </w:rPr>
        <w:t> </w:t>
      </w:r>
      <w:r>
        <w:rPr>
          <w:i/>
          <w:color w:val="231F20"/>
          <w:sz w:val="16"/>
        </w:rPr>
        <w:t>Private</w:t>
      </w:r>
      <w:r>
        <w:rPr>
          <w:i/>
          <w:color w:val="231F20"/>
          <w:spacing w:val="8"/>
          <w:sz w:val="16"/>
        </w:rPr>
        <w:t> </w:t>
      </w:r>
      <w:r>
        <w:rPr>
          <w:i/>
          <w:color w:val="231F20"/>
          <w:spacing w:val="-5"/>
          <w:sz w:val="16"/>
        </w:rPr>
        <w:t>Law</w:t>
      </w:r>
    </w:p>
    <w:p>
      <w:pPr>
        <w:spacing w:before="34"/>
        <w:ind w:left="866" w:right="0" w:firstLine="0"/>
        <w:jc w:val="left"/>
        <w:rPr>
          <w:sz w:val="16"/>
        </w:rPr>
      </w:pPr>
      <w:r>
        <w:rPr>
          <w:color w:val="231F20"/>
          <w:sz w:val="16"/>
        </w:rPr>
        <w:t>(Oxford:</w:t>
      </w:r>
      <w:r>
        <w:rPr>
          <w:color w:val="231F20"/>
          <w:spacing w:val="-1"/>
          <w:sz w:val="16"/>
        </w:rPr>
        <w:t> </w:t>
      </w:r>
      <w:r>
        <w:rPr>
          <w:color w:val="231F20"/>
          <w:sz w:val="16"/>
        </w:rPr>
        <w:t>Hart</w:t>
      </w:r>
      <w:r>
        <w:rPr>
          <w:color w:val="231F20"/>
          <w:spacing w:val="2"/>
          <w:sz w:val="16"/>
        </w:rPr>
        <w:t> </w:t>
      </w:r>
      <w:r>
        <w:rPr>
          <w:color w:val="231F20"/>
          <w:sz w:val="16"/>
        </w:rPr>
        <w:t>2018),</w:t>
      </w:r>
      <w:r>
        <w:rPr>
          <w:color w:val="231F20"/>
          <w:spacing w:val="2"/>
          <w:sz w:val="16"/>
        </w:rPr>
        <w:t> </w:t>
      </w:r>
      <w:r>
        <w:rPr>
          <w:color w:val="231F20"/>
          <w:sz w:val="16"/>
        </w:rPr>
        <w:t>pp</w:t>
      </w:r>
      <w:r>
        <w:rPr>
          <w:color w:val="231F20"/>
          <w:spacing w:val="1"/>
          <w:sz w:val="16"/>
        </w:rPr>
        <w:t> </w:t>
      </w:r>
      <w:r>
        <w:rPr>
          <w:color w:val="231F20"/>
          <w:sz w:val="16"/>
        </w:rPr>
        <w:t>(279)</w:t>
      </w:r>
      <w:r>
        <w:rPr>
          <w:color w:val="231F20"/>
          <w:spacing w:val="2"/>
          <w:sz w:val="16"/>
        </w:rPr>
        <w:t> </w:t>
      </w:r>
      <w:r>
        <w:rPr>
          <w:color w:val="231F20"/>
          <w:sz w:val="16"/>
        </w:rPr>
        <w:t>at</w:t>
      </w:r>
      <w:r>
        <w:rPr>
          <w:color w:val="231F20"/>
          <w:spacing w:val="2"/>
          <w:sz w:val="16"/>
        </w:rPr>
        <w:t> </w:t>
      </w:r>
      <w:r>
        <w:rPr>
          <w:color w:val="231F20"/>
          <w:spacing w:val="-2"/>
          <w:sz w:val="16"/>
        </w:rPr>
        <w:t>282</w:t>
      </w:r>
      <w:r>
        <w:rPr>
          <w:rFonts w:ascii="Arial" w:hAnsi="Arial"/>
          <w:color w:val="231F20"/>
          <w:spacing w:val="-2"/>
          <w:sz w:val="16"/>
        </w:rPr>
        <w:t>–</w:t>
      </w:r>
      <w:r>
        <w:rPr>
          <w:color w:val="231F20"/>
          <w:spacing w:val="-2"/>
          <w:sz w:val="16"/>
        </w:rPr>
        <w:t>286.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As</w:t>
      </w:r>
      <w:r>
        <w:rPr>
          <w:color w:val="231F20"/>
          <w:spacing w:val="6"/>
          <w:sz w:val="16"/>
        </w:rPr>
        <w:t> </w:t>
      </w:r>
      <w:r>
        <w:rPr>
          <w:color w:val="231F20"/>
          <w:sz w:val="16"/>
        </w:rPr>
        <w:t>required,</w:t>
      </w:r>
      <w:r>
        <w:rPr>
          <w:color w:val="231F20"/>
          <w:spacing w:val="7"/>
          <w:sz w:val="16"/>
        </w:rPr>
        <w:t> </w:t>
      </w:r>
      <w:r>
        <w:rPr>
          <w:color w:val="231F20"/>
          <w:sz w:val="16"/>
        </w:rPr>
        <w:t>e.g.,</w:t>
      </w:r>
      <w:r>
        <w:rPr>
          <w:color w:val="231F20"/>
          <w:spacing w:val="7"/>
          <w:sz w:val="16"/>
        </w:rPr>
        <w:t> </w:t>
      </w:r>
      <w:r>
        <w:rPr>
          <w:color w:val="231F20"/>
          <w:sz w:val="16"/>
        </w:rPr>
        <w:t>under</w:t>
      </w:r>
      <w:r>
        <w:rPr>
          <w:color w:val="231F20"/>
          <w:spacing w:val="7"/>
          <w:sz w:val="16"/>
        </w:rPr>
        <w:t> </w:t>
      </w:r>
      <w:r>
        <w:rPr>
          <w:color w:val="231F20"/>
          <w:sz w:val="16"/>
        </w:rPr>
        <w:t>Art.</w:t>
      </w:r>
      <w:r>
        <w:rPr>
          <w:color w:val="231F20"/>
          <w:spacing w:val="8"/>
          <w:sz w:val="16"/>
        </w:rPr>
        <w:t> </w:t>
      </w:r>
      <w:r>
        <w:rPr>
          <w:color w:val="231F20"/>
          <w:sz w:val="16"/>
        </w:rPr>
        <w:t>1256</w:t>
      </w:r>
      <w:r>
        <w:rPr>
          <w:color w:val="231F20"/>
          <w:spacing w:val="6"/>
          <w:sz w:val="16"/>
        </w:rPr>
        <w:t> </w:t>
      </w:r>
      <w:r>
        <w:rPr>
          <w:color w:val="231F20"/>
          <w:sz w:val="16"/>
        </w:rPr>
        <w:t>of</w:t>
      </w:r>
      <w:r>
        <w:rPr>
          <w:color w:val="231F20"/>
          <w:spacing w:val="10"/>
          <w:sz w:val="16"/>
        </w:rPr>
        <w:t> </w:t>
      </w:r>
      <w:r>
        <w:rPr>
          <w:color w:val="231F20"/>
          <w:sz w:val="16"/>
        </w:rPr>
        <w:t>the</w:t>
      </w:r>
      <w:r>
        <w:rPr>
          <w:color w:val="231F20"/>
          <w:spacing w:val="7"/>
          <w:sz w:val="16"/>
        </w:rPr>
        <w:t> </w:t>
      </w:r>
      <w:r>
        <w:rPr>
          <w:color w:val="231F20"/>
          <w:sz w:val="16"/>
        </w:rPr>
        <w:t>Spanish</w:t>
      </w:r>
      <w:r>
        <w:rPr>
          <w:color w:val="231F20"/>
          <w:spacing w:val="8"/>
          <w:sz w:val="16"/>
        </w:rPr>
        <w:t> </w:t>
      </w:r>
      <w:r>
        <w:rPr>
          <w:color w:val="231F20"/>
          <w:sz w:val="16"/>
        </w:rPr>
        <w:t>Civil</w:t>
      </w:r>
      <w:r>
        <w:rPr>
          <w:color w:val="231F20"/>
          <w:spacing w:val="8"/>
          <w:sz w:val="16"/>
        </w:rPr>
        <w:t> </w:t>
      </w:r>
      <w:r>
        <w:rPr>
          <w:color w:val="231F20"/>
          <w:sz w:val="16"/>
        </w:rPr>
        <w:t>Code</w:t>
      </w:r>
      <w:r>
        <w:rPr>
          <w:color w:val="231F20"/>
          <w:spacing w:val="7"/>
          <w:sz w:val="16"/>
        </w:rPr>
        <w:t> </w:t>
      </w:r>
      <w:r>
        <w:rPr>
          <w:color w:val="231F20"/>
          <w:sz w:val="16"/>
        </w:rPr>
        <w:t>and</w:t>
      </w:r>
      <w:r>
        <w:rPr>
          <w:color w:val="231F20"/>
          <w:spacing w:val="6"/>
          <w:sz w:val="16"/>
        </w:rPr>
        <w:t> </w:t>
      </w:r>
      <w:r>
        <w:rPr>
          <w:color w:val="231F20"/>
          <w:sz w:val="16"/>
        </w:rPr>
        <w:t>§118</w:t>
      </w:r>
      <w:r>
        <w:rPr>
          <w:color w:val="231F20"/>
          <w:spacing w:val="7"/>
          <w:sz w:val="16"/>
        </w:rPr>
        <w:t> </w:t>
      </w:r>
      <w:r>
        <w:rPr>
          <w:color w:val="231F20"/>
          <w:sz w:val="16"/>
        </w:rPr>
        <w:t>of</w:t>
      </w:r>
      <w:r>
        <w:rPr>
          <w:color w:val="231F20"/>
          <w:spacing w:val="11"/>
          <w:sz w:val="16"/>
        </w:rPr>
        <w:t> </w:t>
      </w:r>
      <w:r>
        <w:rPr>
          <w:color w:val="231F20"/>
          <w:sz w:val="16"/>
        </w:rPr>
        <w:t>the</w:t>
      </w:r>
      <w:r>
        <w:rPr>
          <w:color w:val="231F20"/>
          <w:spacing w:val="8"/>
          <w:sz w:val="16"/>
        </w:rPr>
        <w:t> </w:t>
      </w:r>
      <w:r>
        <w:rPr>
          <w:color w:val="231F20"/>
          <w:sz w:val="16"/>
        </w:rPr>
        <w:t>German</w:t>
      </w:r>
      <w:r>
        <w:rPr>
          <w:color w:val="231F20"/>
          <w:spacing w:val="7"/>
          <w:sz w:val="16"/>
        </w:rPr>
        <w:t> </w:t>
      </w:r>
      <w:r>
        <w:rPr>
          <w:color w:val="231F20"/>
          <w:sz w:val="16"/>
        </w:rPr>
        <w:t>Civil</w:t>
      </w:r>
      <w:r>
        <w:rPr>
          <w:color w:val="231F20"/>
          <w:spacing w:val="7"/>
          <w:sz w:val="16"/>
        </w:rPr>
        <w:t> </w:t>
      </w:r>
      <w:r>
        <w:rPr>
          <w:color w:val="231F20"/>
          <w:spacing w:val="-2"/>
          <w:sz w:val="16"/>
        </w:rPr>
        <w:t>Code.</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5"/>
          <w:sz w:val="16"/>
        </w:rPr>
        <w:t>4.</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5"/>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5"/>
          <w:sz w:val="16"/>
        </w:rPr>
        <w:t> </w:t>
      </w:r>
      <w:r>
        <w:rPr>
          <w:color w:val="231F20"/>
          <w:sz w:val="16"/>
        </w:rPr>
        <w:t>43,</w:t>
      </w:r>
      <w:r>
        <w:rPr>
          <w:color w:val="231F20"/>
          <w:spacing w:val="7"/>
          <w:sz w:val="16"/>
        </w:rPr>
        <w:t> </w:t>
      </w:r>
      <w:r>
        <w:rPr>
          <w:color w:val="231F20"/>
          <w:sz w:val="16"/>
        </w:rPr>
        <w:t>among</w:t>
      </w:r>
      <w:r>
        <w:rPr>
          <w:color w:val="231F20"/>
          <w:spacing w:val="6"/>
          <w:sz w:val="16"/>
        </w:rPr>
        <w:t> </w:t>
      </w:r>
      <w:r>
        <w:rPr>
          <w:color w:val="231F20"/>
          <w:spacing w:val="-2"/>
          <w:sz w:val="16"/>
        </w:rPr>
        <w:t>many.</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64.</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7"/>
          <w:sz w:val="16"/>
        </w:rPr>
        <w:t> </w:t>
      </w:r>
      <w:r>
        <w:rPr>
          <w:color w:val="231F20"/>
          <w:sz w:val="16"/>
        </w:rPr>
        <w:t>e.g.,</w:t>
      </w:r>
      <w:r>
        <w:rPr>
          <w:color w:val="231F20"/>
          <w:spacing w:val="7"/>
          <w:sz w:val="16"/>
        </w:rPr>
        <w:t> </w:t>
      </w:r>
      <w:r>
        <w:rPr>
          <w:color w:val="231F20"/>
          <w:sz w:val="16"/>
        </w:rPr>
        <w:t>§306(2)</w:t>
      </w:r>
      <w:r>
        <w:rPr>
          <w:color w:val="231F20"/>
          <w:spacing w:val="7"/>
          <w:sz w:val="16"/>
        </w:rPr>
        <w:t> </w:t>
      </w:r>
      <w:r>
        <w:rPr>
          <w:color w:val="231F20"/>
          <w:sz w:val="16"/>
        </w:rPr>
        <w:t>of</w:t>
      </w:r>
      <w:r>
        <w:rPr>
          <w:color w:val="231F20"/>
          <w:spacing w:val="10"/>
          <w:sz w:val="16"/>
        </w:rPr>
        <w:t> </w:t>
      </w:r>
      <w:r>
        <w:rPr>
          <w:color w:val="231F20"/>
          <w:sz w:val="16"/>
        </w:rPr>
        <w:t>the</w:t>
      </w:r>
      <w:r>
        <w:rPr>
          <w:color w:val="231F20"/>
          <w:spacing w:val="8"/>
          <w:sz w:val="16"/>
        </w:rPr>
        <w:t> </w:t>
      </w:r>
      <w:r>
        <w:rPr>
          <w:color w:val="231F20"/>
          <w:sz w:val="16"/>
        </w:rPr>
        <w:t>German</w:t>
      </w:r>
      <w:r>
        <w:rPr>
          <w:color w:val="231F20"/>
          <w:spacing w:val="6"/>
          <w:sz w:val="16"/>
        </w:rPr>
        <w:t> </w:t>
      </w:r>
      <w:r>
        <w:rPr>
          <w:color w:val="231F20"/>
          <w:sz w:val="16"/>
        </w:rPr>
        <w:t>Civil</w:t>
      </w:r>
      <w:r>
        <w:rPr>
          <w:color w:val="231F20"/>
          <w:spacing w:val="8"/>
          <w:sz w:val="16"/>
        </w:rPr>
        <w:t> </w:t>
      </w:r>
      <w:r>
        <w:rPr>
          <w:color w:val="231F20"/>
          <w:spacing w:val="-2"/>
          <w:sz w:val="16"/>
        </w:rPr>
        <w:t>Code.</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60.</w:t>
      </w:r>
    </w:p>
    <w:p>
      <w:pPr>
        <w:pStyle w:val="ListParagraph"/>
        <w:numPr>
          <w:ilvl w:val="0"/>
          <w:numId w:val="3"/>
        </w:numPr>
        <w:tabs>
          <w:tab w:pos="866" w:val="left" w:leader="none"/>
        </w:tabs>
        <w:spacing w:line="288" w:lineRule="auto" w:before="37" w:after="0"/>
        <w:ind w:left="866" w:right="869" w:hanging="354"/>
        <w:jc w:val="left"/>
        <w:rPr>
          <w:sz w:val="16"/>
        </w:rPr>
      </w:pPr>
      <w:r>
        <w:rPr>
          <w:color w:val="231F20"/>
          <w:spacing w:val="-2"/>
          <w:sz w:val="16"/>
        </w:rPr>
        <w:t>On</w:t>
      </w:r>
      <w:r>
        <w:rPr>
          <w:color w:val="231F20"/>
          <w:spacing w:val="-5"/>
          <w:sz w:val="16"/>
        </w:rPr>
        <w:t> </w:t>
      </w:r>
      <w:r>
        <w:rPr>
          <w:color w:val="231F20"/>
          <w:spacing w:val="-2"/>
          <w:sz w:val="16"/>
        </w:rPr>
        <w:t>default</w:t>
      </w:r>
      <w:r>
        <w:rPr>
          <w:color w:val="231F20"/>
          <w:spacing w:val="-4"/>
          <w:sz w:val="16"/>
        </w:rPr>
        <w:t> </w:t>
      </w:r>
      <w:r>
        <w:rPr>
          <w:color w:val="231F20"/>
          <w:spacing w:val="-2"/>
          <w:sz w:val="16"/>
        </w:rPr>
        <w:t>rules</w:t>
      </w:r>
      <w:r>
        <w:rPr>
          <w:color w:val="231F20"/>
          <w:spacing w:val="-4"/>
          <w:sz w:val="16"/>
        </w:rPr>
        <w:t> </w:t>
      </w:r>
      <w:r>
        <w:rPr>
          <w:color w:val="231F20"/>
          <w:spacing w:val="-2"/>
          <w:sz w:val="16"/>
        </w:rPr>
        <w:t>from</w:t>
      </w:r>
      <w:r>
        <w:rPr>
          <w:color w:val="231F20"/>
          <w:spacing w:val="-4"/>
          <w:sz w:val="16"/>
        </w:rPr>
        <w:t> </w:t>
      </w:r>
      <w:r>
        <w:rPr>
          <w:color w:val="231F20"/>
          <w:spacing w:val="-2"/>
          <w:sz w:val="16"/>
        </w:rPr>
        <w:t>a</w:t>
      </w:r>
      <w:r>
        <w:rPr>
          <w:color w:val="231F20"/>
          <w:spacing w:val="-4"/>
          <w:sz w:val="16"/>
        </w:rPr>
        <w:t> </w:t>
      </w:r>
      <w:r>
        <w:rPr>
          <w:color w:val="231F20"/>
          <w:spacing w:val="-2"/>
          <w:sz w:val="16"/>
        </w:rPr>
        <w:t>comparative</w:t>
      </w:r>
      <w:r>
        <w:rPr>
          <w:color w:val="231F20"/>
          <w:spacing w:val="-5"/>
          <w:sz w:val="16"/>
        </w:rPr>
        <w:t> </w:t>
      </w:r>
      <w:r>
        <w:rPr>
          <w:color w:val="231F20"/>
          <w:spacing w:val="-2"/>
          <w:sz w:val="16"/>
        </w:rPr>
        <w:t>perspective,</w:t>
      </w:r>
      <w:r>
        <w:rPr>
          <w:color w:val="231F20"/>
          <w:spacing w:val="-4"/>
          <w:sz w:val="16"/>
        </w:rPr>
        <w:t> </w:t>
      </w:r>
      <w:r>
        <w:rPr>
          <w:color w:val="231F20"/>
          <w:spacing w:val="-2"/>
          <w:sz w:val="16"/>
        </w:rPr>
        <w:t>see</w:t>
      </w:r>
      <w:r>
        <w:rPr>
          <w:color w:val="231F20"/>
          <w:spacing w:val="-4"/>
          <w:sz w:val="16"/>
        </w:rPr>
        <w:t> </w:t>
      </w:r>
      <w:r>
        <w:rPr>
          <w:color w:val="231F20"/>
          <w:spacing w:val="-2"/>
          <w:sz w:val="16"/>
        </w:rPr>
        <w:t>F.</w:t>
      </w:r>
      <w:r>
        <w:rPr>
          <w:color w:val="231F20"/>
          <w:spacing w:val="-2"/>
          <w:sz w:val="11"/>
        </w:rPr>
        <w:t>DE</w:t>
      </w:r>
      <w:r>
        <w:rPr>
          <w:color w:val="231F20"/>
          <w:spacing w:val="8"/>
          <w:sz w:val="11"/>
        </w:rPr>
        <w:t> </w:t>
      </w:r>
      <w:r>
        <w:rPr>
          <w:color w:val="231F20"/>
          <w:spacing w:val="-2"/>
          <w:sz w:val="16"/>
        </w:rPr>
        <w:t>E</w:t>
      </w:r>
      <w:r>
        <w:rPr>
          <w:color w:val="231F20"/>
          <w:spacing w:val="-2"/>
          <w:sz w:val="11"/>
        </w:rPr>
        <w:t>LIZALDE</w:t>
      </w:r>
      <w:r>
        <w:rPr>
          <w:color w:val="231F20"/>
          <w:spacing w:val="-2"/>
          <w:sz w:val="16"/>
        </w:rPr>
        <w:t>,</w:t>
      </w:r>
      <w:r>
        <w:rPr>
          <w:color w:val="231F20"/>
          <w:spacing w:val="-4"/>
          <w:sz w:val="16"/>
        </w:rPr>
        <w:t> </w:t>
      </w:r>
      <w:r>
        <w:rPr>
          <w:i/>
          <w:color w:val="231F20"/>
          <w:spacing w:val="-2"/>
          <w:sz w:val="16"/>
        </w:rPr>
        <w:t>El</w:t>
      </w:r>
      <w:r>
        <w:rPr>
          <w:i/>
          <w:color w:val="231F20"/>
          <w:spacing w:val="-4"/>
          <w:sz w:val="16"/>
        </w:rPr>
        <w:t> </w:t>
      </w:r>
      <w:r>
        <w:rPr>
          <w:i/>
          <w:color w:val="231F20"/>
          <w:spacing w:val="-2"/>
          <w:sz w:val="16"/>
        </w:rPr>
        <w:t>contenido</w:t>
      </w:r>
      <w:r>
        <w:rPr>
          <w:i/>
          <w:color w:val="231F20"/>
          <w:spacing w:val="-4"/>
          <w:sz w:val="16"/>
        </w:rPr>
        <w:t> </w:t>
      </w:r>
      <w:r>
        <w:rPr>
          <w:i/>
          <w:color w:val="231F20"/>
          <w:spacing w:val="-2"/>
          <w:sz w:val="16"/>
        </w:rPr>
        <w:t>del</w:t>
      </w:r>
      <w:r>
        <w:rPr>
          <w:i/>
          <w:color w:val="231F20"/>
          <w:spacing w:val="-4"/>
          <w:sz w:val="16"/>
        </w:rPr>
        <w:t> </w:t>
      </w:r>
      <w:r>
        <w:rPr>
          <w:i/>
          <w:color w:val="231F20"/>
          <w:spacing w:val="-2"/>
          <w:sz w:val="16"/>
        </w:rPr>
        <w:t>contrato</w:t>
      </w:r>
      <w:r>
        <w:rPr>
          <w:i/>
          <w:color w:val="231F20"/>
          <w:spacing w:val="-5"/>
          <w:sz w:val="16"/>
        </w:rPr>
        <w:t> </w:t>
      </w:r>
      <w:r>
        <w:rPr>
          <w:color w:val="231F20"/>
          <w:spacing w:val="-2"/>
          <w:sz w:val="16"/>
        </w:rPr>
        <w:t>(Cizur</w:t>
      </w:r>
      <w:r>
        <w:rPr>
          <w:color w:val="231F20"/>
          <w:spacing w:val="40"/>
          <w:sz w:val="16"/>
        </w:rPr>
        <w:t> </w:t>
      </w:r>
      <w:r>
        <w:rPr>
          <w:color w:val="231F20"/>
          <w:sz w:val="16"/>
        </w:rPr>
        <w:t>Menor: Thomson Reuters Aranzadi 2015).</w:t>
      </w:r>
    </w:p>
    <w:p>
      <w:pPr>
        <w:pStyle w:val="ListParagraph"/>
        <w:numPr>
          <w:ilvl w:val="0"/>
          <w:numId w:val="3"/>
        </w:numPr>
        <w:tabs>
          <w:tab w:pos="865" w:val="left" w:leader="none"/>
        </w:tabs>
        <w:spacing w:line="240" w:lineRule="auto" w:before="2"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5"/>
          <w:sz w:val="16"/>
        </w:rPr>
        <w:t>2.</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law could fill in the gaps that non-binding unfair terms leave in the contract. The incorporation of default rules, which the legislator designed as a fair </w:t>
      </w:r>
      <w:r>
        <w:rPr>
          <w:color w:val="231F20"/>
        </w:rPr>
        <w:t>balance between the parties, would serve the purpose of re-establishing equality.</w:t>
      </w:r>
    </w:p>
    <w:p>
      <w:pPr>
        <w:pStyle w:val="ListParagraph"/>
        <w:numPr>
          <w:ilvl w:val="0"/>
          <w:numId w:val="4"/>
        </w:numPr>
        <w:tabs>
          <w:tab w:pos="1324" w:val="left" w:leader="none"/>
        </w:tabs>
        <w:spacing w:line="288" w:lineRule="auto" w:before="120" w:after="0"/>
        <w:ind w:left="871" w:right="868" w:firstLine="0"/>
        <w:jc w:val="both"/>
        <w:rPr>
          <w:sz w:val="19"/>
        </w:rPr>
      </w:pPr>
      <w:r>
        <w:rPr>
          <w:color w:val="231F20"/>
          <w:sz w:val="19"/>
        </w:rPr>
        <w:t>However, Article 6(1) UCTD, read in combination with Article 7(1) UCTD pursues an additional aim that is alien to national contract law: </w:t>
      </w:r>
      <w:r>
        <w:rPr>
          <w:color w:val="231F20"/>
          <w:sz w:val="19"/>
        </w:rPr>
        <w:t>dissuasiveness.</w:t>
      </w:r>
      <w:r>
        <w:rPr>
          <w:color w:val="231F20"/>
          <w:sz w:val="19"/>
          <w:vertAlign w:val="superscript"/>
        </w:rPr>
        <w:t>91</w:t>
      </w:r>
      <w:r>
        <w:rPr>
          <w:color w:val="231F20"/>
          <w:sz w:val="19"/>
          <w:vertAlign w:val="baseline"/>
        </w:rPr>
        <w:t> The remedy for unfair terms should dissuade businesses from using them.</w:t>
      </w:r>
      <w:r>
        <w:rPr>
          <w:color w:val="231F20"/>
          <w:sz w:val="19"/>
          <w:vertAlign w:val="superscript"/>
        </w:rPr>
        <w:t>92</w:t>
      </w:r>
      <w:r>
        <w:rPr>
          <w:color w:val="231F20"/>
          <w:sz w:val="19"/>
          <w:vertAlign w:val="baseline"/>
        </w:rPr>
        <w:t> This goal of Articles 6(1) and 7(1) UCTD has driven the judgments of the ECJ, trigger- </w:t>
      </w:r>
      <w:r>
        <w:rPr>
          <w:color w:val="231F20"/>
          <w:spacing w:val="-2"/>
          <w:sz w:val="19"/>
          <w:vertAlign w:val="baseline"/>
        </w:rPr>
        <w:t>ing</w:t>
      </w:r>
      <w:r>
        <w:rPr>
          <w:color w:val="231F20"/>
          <w:spacing w:val="-6"/>
          <w:sz w:val="19"/>
          <w:vertAlign w:val="baseline"/>
        </w:rPr>
        <w:t> </w:t>
      </w:r>
      <w:r>
        <w:rPr>
          <w:color w:val="231F20"/>
          <w:spacing w:val="-2"/>
          <w:sz w:val="19"/>
          <w:vertAlign w:val="baseline"/>
        </w:rPr>
        <w:t>an</w:t>
      </w:r>
      <w:r>
        <w:rPr>
          <w:color w:val="231F20"/>
          <w:spacing w:val="-7"/>
          <w:sz w:val="19"/>
          <w:vertAlign w:val="baseline"/>
        </w:rPr>
        <w:t> </w:t>
      </w:r>
      <w:r>
        <w:rPr>
          <w:color w:val="231F20"/>
          <w:spacing w:val="-2"/>
          <w:sz w:val="19"/>
          <w:vertAlign w:val="baseline"/>
        </w:rPr>
        <w:t>autonomous,</w:t>
      </w:r>
      <w:r>
        <w:rPr>
          <w:color w:val="231F20"/>
          <w:spacing w:val="-7"/>
          <w:sz w:val="19"/>
          <w:vertAlign w:val="baseline"/>
        </w:rPr>
        <w:t> </w:t>
      </w:r>
      <w:r>
        <w:rPr>
          <w:color w:val="231F20"/>
          <w:spacing w:val="-2"/>
          <w:sz w:val="19"/>
          <w:vertAlign w:val="baseline"/>
        </w:rPr>
        <w:t>EU,</w:t>
      </w:r>
      <w:r>
        <w:rPr>
          <w:color w:val="231F20"/>
          <w:spacing w:val="-8"/>
          <w:sz w:val="19"/>
          <w:vertAlign w:val="baseline"/>
        </w:rPr>
        <w:t> </w:t>
      </w:r>
      <w:r>
        <w:rPr>
          <w:color w:val="231F20"/>
          <w:spacing w:val="-2"/>
          <w:sz w:val="19"/>
          <w:vertAlign w:val="baseline"/>
        </w:rPr>
        <w:t>development</w:t>
      </w:r>
      <w:r>
        <w:rPr>
          <w:color w:val="231F20"/>
          <w:spacing w:val="-7"/>
          <w:sz w:val="19"/>
          <w:vertAlign w:val="baseline"/>
        </w:rPr>
        <w:t> </w:t>
      </w:r>
      <w:r>
        <w:rPr>
          <w:color w:val="231F20"/>
          <w:spacing w:val="-2"/>
          <w:sz w:val="19"/>
          <w:vertAlign w:val="baseline"/>
        </w:rPr>
        <w:t>of</w:t>
      </w:r>
      <w:r>
        <w:rPr>
          <w:color w:val="231F20"/>
          <w:spacing w:val="-4"/>
          <w:sz w:val="19"/>
          <w:vertAlign w:val="baseline"/>
        </w:rPr>
        <w:t> </w:t>
      </w:r>
      <w:r>
        <w:rPr>
          <w:color w:val="231F20"/>
          <w:spacing w:val="-2"/>
          <w:sz w:val="19"/>
          <w:vertAlign w:val="baseline"/>
        </w:rPr>
        <w:t>the</w:t>
      </w:r>
      <w:r>
        <w:rPr>
          <w:color w:val="231F20"/>
          <w:spacing w:val="-7"/>
          <w:sz w:val="19"/>
          <w:vertAlign w:val="baseline"/>
        </w:rPr>
        <w:t> </w:t>
      </w:r>
      <w:r>
        <w:rPr>
          <w:color w:val="231F20"/>
          <w:spacing w:val="-2"/>
          <w:sz w:val="19"/>
          <w:vertAlign w:val="baseline"/>
        </w:rPr>
        <w:t>remedy</w:t>
      </w:r>
      <w:r>
        <w:rPr>
          <w:color w:val="231F20"/>
          <w:spacing w:val="-7"/>
          <w:sz w:val="19"/>
          <w:vertAlign w:val="baseline"/>
        </w:rPr>
        <w:t> </w:t>
      </w:r>
      <w:r>
        <w:rPr>
          <w:color w:val="231F20"/>
          <w:spacing w:val="-2"/>
          <w:sz w:val="19"/>
          <w:vertAlign w:val="baseline"/>
        </w:rPr>
        <w:t>for</w:t>
      </w:r>
      <w:r>
        <w:rPr>
          <w:color w:val="231F20"/>
          <w:spacing w:val="-9"/>
          <w:sz w:val="19"/>
          <w:vertAlign w:val="baseline"/>
        </w:rPr>
        <w:t> </w:t>
      </w:r>
      <w:r>
        <w:rPr>
          <w:color w:val="231F20"/>
          <w:spacing w:val="-2"/>
          <w:sz w:val="19"/>
          <w:vertAlign w:val="baseline"/>
        </w:rPr>
        <w:t>unfair</w:t>
      </w:r>
      <w:r>
        <w:rPr>
          <w:color w:val="231F20"/>
          <w:spacing w:val="-7"/>
          <w:sz w:val="19"/>
          <w:vertAlign w:val="baseline"/>
        </w:rPr>
        <w:t> </w:t>
      </w:r>
      <w:r>
        <w:rPr>
          <w:color w:val="231F20"/>
          <w:spacing w:val="-2"/>
          <w:sz w:val="19"/>
          <w:vertAlign w:val="baseline"/>
        </w:rPr>
        <w:t>terms.</w:t>
      </w:r>
      <w:r>
        <w:rPr>
          <w:color w:val="231F20"/>
          <w:spacing w:val="-8"/>
          <w:sz w:val="19"/>
          <w:vertAlign w:val="baseline"/>
        </w:rPr>
        <w:t> </w:t>
      </w:r>
      <w:r>
        <w:rPr>
          <w:color w:val="231F20"/>
          <w:spacing w:val="-2"/>
          <w:sz w:val="19"/>
          <w:vertAlign w:val="baseline"/>
        </w:rPr>
        <w:t>The</w:t>
      </w:r>
      <w:r>
        <w:rPr>
          <w:color w:val="231F20"/>
          <w:spacing w:val="-7"/>
          <w:sz w:val="19"/>
          <w:vertAlign w:val="baseline"/>
        </w:rPr>
        <w:t> </w:t>
      </w:r>
      <w:r>
        <w:rPr>
          <w:color w:val="231F20"/>
          <w:spacing w:val="-2"/>
          <w:sz w:val="19"/>
          <w:vertAlign w:val="baseline"/>
        </w:rPr>
        <w:t>deviation </w:t>
      </w:r>
      <w:r>
        <w:rPr>
          <w:color w:val="231F20"/>
          <w:sz w:val="19"/>
          <w:vertAlign w:val="baseline"/>
        </w:rPr>
        <w:t>of the UCTD from national contract law on this aspect provoked several requests for</w:t>
      </w:r>
      <w:r>
        <w:rPr>
          <w:color w:val="231F20"/>
          <w:spacing w:val="-5"/>
          <w:sz w:val="19"/>
          <w:vertAlign w:val="baseline"/>
        </w:rPr>
        <w:t> </w:t>
      </w:r>
      <w:r>
        <w:rPr>
          <w:color w:val="231F20"/>
          <w:sz w:val="19"/>
          <w:vertAlign w:val="baseline"/>
        </w:rPr>
        <w:t>preliminary</w:t>
      </w:r>
      <w:r>
        <w:rPr>
          <w:color w:val="231F20"/>
          <w:spacing w:val="-3"/>
          <w:sz w:val="19"/>
          <w:vertAlign w:val="baseline"/>
        </w:rPr>
        <w:t> </w:t>
      </w:r>
      <w:r>
        <w:rPr>
          <w:color w:val="231F20"/>
          <w:sz w:val="19"/>
          <w:vertAlign w:val="baseline"/>
        </w:rPr>
        <w:t>rulings</w:t>
      </w:r>
      <w:r>
        <w:rPr>
          <w:color w:val="231F20"/>
          <w:spacing w:val="-3"/>
          <w:sz w:val="19"/>
          <w:vertAlign w:val="baseline"/>
        </w:rPr>
        <w:t> </w:t>
      </w:r>
      <w:r>
        <w:rPr>
          <w:color w:val="231F20"/>
          <w:sz w:val="19"/>
          <w:vertAlign w:val="baseline"/>
        </w:rPr>
        <w:t>to</w:t>
      </w:r>
      <w:r>
        <w:rPr>
          <w:color w:val="231F20"/>
          <w:spacing w:val="-3"/>
          <w:sz w:val="19"/>
          <w:vertAlign w:val="baseline"/>
        </w:rPr>
        <w:t> </w:t>
      </w:r>
      <w:r>
        <w:rPr>
          <w:color w:val="231F20"/>
          <w:sz w:val="19"/>
          <w:vertAlign w:val="baseline"/>
        </w:rPr>
        <w:t>the</w:t>
      </w:r>
      <w:r>
        <w:rPr>
          <w:color w:val="231F20"/>
          <w:spacing w:val="-4"/>
          <w:sz w:val="19"/>
          <w:vertAlign w:val="baseline"/>
        </w:rPr>
        <w:t> </w:t>
      </w:r>
      <w:r>
        <w:rPr>
          <w:color w:val="231F20"/>
          <w:sz w:val="19"/>
          <w:vertAlign w:val="baseline"/>
        </w:rPr>
        <w:t>ECJ</w:t>
      </w:r>
      <w:r>
        <w:rPr>
          <w:color w:val="231F20"/>
          <w:spacing w:val="-3"/>
          <w:sz w:val="19"/>
          <w:vertAlign w:val="baseline"/>
        </w:rPr>
        <w:t> </w:t>
      </w:r>
      <w:r>
        <w:rPr>
          <w:color w:val="231F20"/>
          <w:sz w:val="19"/>
          <w:vertAlign w:val="baseline"/>
        </w:rPr>
        <w:t>that</w:t>
      </w:r>
      <w:r>
        <w:rPr>
          <w:color w:val="231F20"/>
          <w:spacing w:val="-2"/>
          <w:sz w:val="19"/>
          <w:vertAlign w:val="baseline"/>
        </w:rPr>
        <w:t> </w:t>
      </w:r>
      <w:r>
        <w:rPr>
          <w:color w:val="231F20"/>
          <w:sz w:val="19"/>
          <w:vertAlign w:val="baseline"/>
        </w:rPr>
        <w:t>have</w:t>
      </w:r>
      <w:r>
        <w:rPr>
          <w:color w:val="231F20"/>
          <w:spacing w:val="-5"/>
          <w:sz w:val="19"/>
          <w:vertAlign w:val="baseline"/>
        </w:rPr>
        <w:t> </w:t>
      </w:r>
      <w:r>
        <w:rPr>
          <w:color w:val="231F20"/>
          <w:sz w:val="19"/>
          <w:vertAlign w:val="baseline"/>
        </w:rPr>
        <w:t>shaped</w:t>
      </w:r>
      <w:r>
        <w:rPr>
          <w:color w:val="231F20"/>
          <w:spacing w:val="-4"/>
          <w:sz w:val="19"/>
          <w:vertAlign w:val="baseline"/>
        </w:rPr>
        <w:t> </w:t>
      </w:r>
      <w:r>
        <w:rPr>
          <w:color w:val="231F20"/>
          <w:sz w:val="19"/>
          <w:vertAlign w:val="baseline"/>
        </w:rPr>
        <w:t>gap-filling rules</w:t>
      </w:r>
      <w:r>
        <w:rPr>
          <w:color w:val="231F20"/>
          <w:spacing w:val="-4"/>
          <w:sz w:val="19"/>
          <w:vertAlign w:val="baseline"/>
        </w:rPr>
        <w:t> </w:t>
      </w:r>
      <w:r>
        <w:rPr>
          <w:color w:val="231F20"/>
          <w:sz w:val="19"/>
          <w:vertAlign w:val="baseline"/>
        </w:rPr>
        <w:t>following</w:t>
      </w:r>
      <w:r>
        <w:rPr>
          <w:color w:val="231F20"/>
          <w:spacing w:val="-3"/>
          <w:sz w:val="19"/>
          <w:vertAlign w:val="baseline"/>
        </w:rPr>
        <w:t> </w:t>
      </w:r>
      <w:r>
        <w:rPr>
          <w:color w:val="231F20"/>
          <w:sz w:val="19"/>
          <w:vertAlign w:val="baseline"/>
        </w:rPr>
        <w:t>the finding of unfair terms.</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The ECJ has advanced the interpretation of Articles 6(1) and 7(1) UCTD on the regulation of gaps that unfair terms leave in the contract. The principle of dissuasiveness</w:t>
      </w:r>
      <w:r>
        <w:rPr>
          <w:color w:val="231F20"/>
          <w:spacing w:val="-8"/>
          <w:sz w:val="19"/>
        </w:rPr>
        <w:t> </w:t>
      </w:r>
      <w:r>
        <w:rPr>
          <w:color w:val="231F20"/>
          <w:sz w:val="19"/>
        </w:rPr>
        <w:t>explicitly</w:t>
      </w:r>
      <w:r>
        <w:rPr>
          <w:color w:val="231F20"/>
          <w:spacing w:val="-8"/>
          <w:sz w:val="19"/>
        </w:rPr>
        <w:t> </w:t>
      </w:r>
      <w:r>
        <w:rPr>
          <w:color w:val="231F20"/>
          <w:sz w:val="19"/>
        </w:rPr>
        <w:t>guides</w:t>
      </w:r>
      <w:r>
        <w:rPr>
          <w:color w:val="231F20"/>
          <w:spacing w:val="-8"/>
          <w:sz w:val="19"/>
        </w:rPr>
        <w:t> </w:t>
      </w:r>
      <w:r>
        <w:rPr>
          <w:color w:val="231F20"/>
          <w:sz w:val="19"/>
        </w:rPr>
        <w:t>the</w:t>
      </w:r>
      <w:r>
        <w:rPr>
          <w:color w:val="231F20"/>
          <w:spacing w:val="-8"/>
          <w:sz w:val="19"/>
        </w:rPr>
        <w:t> </w:t>
      </w:r>
      <w:r>
        <w:rPr>
          <w:color w:val="231F20"/>
          <w:sz w:val="19"/>
        </w:rPr>
        <w:t>Court.</w:t>
      </w:r>
      <w:r>
        <w:rPr>
          <w:color w:val="231F20"/>
          <w:spacing w:val="-8"/>
          <w:sz w:val="19"/>
        </w:rPr>
        <w:t> </w:t>
      </w:r>
      <w:r>
        <w:rPr>
          <w:color w:val="231F20"/>
          <w:sz w:val="19"/>
        </w:rPr>
        <w:t>However,</w:t>
      </w:r>
      <w:r>
        <w:rPr>
          <w:color w:val="231F20"/>
          <w:spacing w:val="-8"/>
          <w:sz w:val="19"/>
        </w:rPr>
        <w:t> </w:t>
      </w:r>
      <w:r>
        <w:rPr>
          <w:color w:val="231F20"/>
          <w:sz w:val="19"/>
        </w:rPr>
        <w:t>that</w:t>
      </w:r>
      <w:r>
        <w:rPr>
          <w:color w:val="231F20"/>
          <w:spacing w:val="-5"/>
          <w:sz w:val="19"/>
        </w:rPr>
        <w:t> </w:t>
      </w:r>
      <w:r>
        <w:rPr>
          <w:color w:val="231F20"/>
          <w:sz w:val="19"/>
        </w:rPr>
        <w:t>alone</w:t>
      </w:r>
      <w:r>
        <w:rPr>
          <w:color w:val="231F20"/>
          <w:spacing w:val="-8"/>
          <w:sz w:val="19"/>
        </w:rPr>
        <w:t> </w:t>
      </w:r>
      <w:r>
        <w:rPr>
          <w:color w:val="231F20"/>
          <w:sz w:val="19"/>
        </w:rPr>
        <w:t>cannot</w:t>
      </w:r>
      <w:r>
        <w:rPr>
          <w:color w:val="231F20"/>
          <w:spacing w:val="-8"/>
          <w:sz w:val="19"/>
        </w:rPr>
        <w:t> </w:t>
      </w:r>
      <w:r>
        <w:rPr>
          <w:color w:val="231F20"/>
          <w:sz w:val="19"/>
        </w:rPr>
        <w:t>explain</w:t>
      </w:r>
      <w:r>
        <w:rPr>
          <w:color w:val="231F20"/>
          <w:spacing w:val="-8"/>
          <w:sz w:val="19"/>
        </w:rPr>
        <w:t> </w:t>
      </w:r>
      <w:r>
        <w:rPr>
          <w:color w:val="231F20"/>
          <w:sz w:val="19"/>
        </w:rPr>
        <w:t>the evolution of its case law. The following subsections will present the rules that the Court has clearly stated. They will also explore the embedded justifications that could explain the development of the ECJ</w:t>
      </w:r>
      <w:r>
        <w:rPr>
          <w:rFonts w:ascii="Arial" w:hAnsi="Arial"/>
          <w:color w:val="231F20"/>
          <w:sz w:val="19"/>
        </w:rPr>
        <w:t>’</w:t>
      </w:r>
      <w:r>
        <w:rPr>
          <w:color w:val="231F20"/>
          <w:sz w:val="19"/>
        </w:rPr>
        <w:t>s case law.</w:t>
      </w:r>
    </w:p>
    <w:p>
      <w:pPr>
        <w:pStyle w:val="BodyText"/>
        <w:spacing w:before="70"/>
      </w:pPr>
    </w:p>
    <w:p>
      <w:pPr>
        <w:pStyle w:val="Heading2"/>
        <w:numPr>
          <w:ilvl w:val="1"/>
          <w:numId w:val="1"/>
        </w:numPr>
        <w:tabs>
          <w:tab w:pos="846" w:val="left" w:leader="none"/>
        </w:tabs>
        <w:spacing w:line="240" w:lineRule="auto" w:before="1" w:after="0"/>
        <w:ind w:left="846" w:right="0" w:hanging="543"/>
        <w:jc w:val="left"/>
        <w:rPr>
          <w:i/>
        </w:rPr>
      </w:pPr>
      <w:r>
        <w:rPr>
          <w:i/>
          <w:color w:val="231F20"/>
          <w:w w:val="105"/>
        </w:rPr>
        <w:t>The</w:t>
      </w:r>
      <w:r>
        <w:rPr>
          <w:i/>
          <w:color w:val="231F20"/>
          <w:spacing w:val="18"/>
          <w:w w:val="105"/>
        </w:rPr>
        <w:t> </w:t>
      </w:r>
      <w:r>
        <w:rPr>
          <w:i/>
          <w:color w:val="231F20"/>
          <w:w w:val="105"/>
        </w:rPr>
        <w:t>Rule</w:t>
      </w:r>
      <w:r>
        <w:rPr>
          <w:i/>
          <w:color w:val="231F20"/>
          <w:spacing w:val="18"/>
          <w:w w:val="105"/>
        </w:rPr>
        <w:t> </w:t>
      </w:r>
      <w:r>
        <w:rPr>
          <w:i/>
          <w:color w:val="231F20"/>
          <w:w w:val="105"/>
        </w:rPr>
        <w:t>in</w:t>
      </w:r>
      <w:r>
        <w:rPr>
          <w:i/>
          <w:color w:val="231F20"/>
          <w:spacing w:val="19"/>
          <w:w w:val="105"/>
        </w:rPr>
        <w:t> </w:t>
      </w:r>
      <w:r>
        <w:rPr>
          <w:i/>
          <w:color w:val="231F20"/>
          <w:w w:val="105"/>
        </w:rPr>
        <w:t>Banco</w:t>
      </w:r>
      <w:r>
        <w:rPr>
          <w:i/>
          <w:color w:val="231F20"/>
          <w:spacing w:val="19"/>
          <w:w w:val="105"/>
        </w:rPr>
        <w:t> </w:t>
      </w:r>
      <w:r>
        <w:rPr>
          <w:i/>
          <w:color w:val="231F20"/>
          <w:spacing w:val="-2"/>
          <w:w w:val="105"/>
        </w:rPr>
        <w:t>Español</w:t>
      </w:r>
    </w:p>
    <w:p>
      <w:pPr>
        <w:pStyle w:val="ListParagraph"/>
        <w:numPr>
          <w:ilvl w:val="0"/>
          <w:numId w:val="4"/>
        </w:numPr>
        <w:tabs>
          <w:tab w:pos="1324" w:val="left" w:leader="none"/>
        </w:tabs>
        <w:spacing w:line="288" w:lineRule="auto" w:before="165" w:after="0"/>
        <w:ind w:left="871" w:right="868" w:firstLine="0"/>
        <w:jc w:val="both"/>
        <w:rPr>
          <w:sz w:val="19"/>
        </w:rPr>
      </w:pPr>
      <w:r>
        <w:rPr>
          <w:color w:val="231F20"/>
          <w:sz w:val="19"/>
        </w:rPr>
        <w:t>In Case C-618/10, </w:t>
      </w:r>
      <w:r>
        <w:rPr>
          <w:i/>
          <w:color w:val="231F20"/>
          <w:sz w:val="19"/>
        </w:rPr>
        <w:t>Banco Español</w:t>
      </w:r>
      <w:r>
        <w:rPr>
          <w:color w:val="231F20"/>
          <w:sz w:val="19"/>
        </w:rPr>
        <w:t>, the ECJ had its first opportunity to interpret</w:t>
      </w:r>
      <w:r>
        <w:rPr>
          <w:color w:val="231F20"/>
          <w:spacing w:val="-1"/>
          <w:sz w:val="19"/>
        </w:rPr>
        <w:t> </w:t>
      </w:r>
      <w:r>
        <w:rPr>
          <w:color w:val="231F20"/>
          <w:sz w:val="19"/>
        </w:rPr>
        <w:t>the extent of the</w:t>
      </w:r>
      <w:r>
        <w:rPr>
          <w:color w:val="231F20"/>
          <w:spacing w:val="-1"/>
          <w:sz w:val="19"/>
        </w:rPr>
        <w:t> </w:t>
      </w:r>
      <w:r>
        <w:rPr>
          <w:color w:val="231F20"/>
          <w:sz w:val="19"/>
        </w:rPr>
        <w:t>requirement, under Article</w:t>
      </w:r>
      <w:r>
        <w:rPr>
          <w:color w:val="231F20"/>
          <w:spacing w:val="-1"/>
          <w:sz w:val="19"/>
        </w:rPr>
        <w:t> </w:t>
      </w:r>
      <w:r>
        <w:rPr>
          <w:color w:val="231F20"/>
          <w:sz w:val="19"/>
        </w:rPr>
        <w:t>6(1) UCTD,</w:t>
      </w:r>
      <w:r>
        <w:rPr>
          <w:color w:val="231F20"/>
          <w:spacing w:val="-1"/>
          <w:sz w:val="19"/>
        </w:rPr>
        <w:t> </w:t>
      </w:r>
      <w:r>
        <w:rPr>
          <w:color w:val="231F20"/>
          <w:sz w:val="19"/>
        </w:rPr>
        <w:t>whereby unfair terms should not be binding on the consumer. The case concerned a loan agree- ment</w:t>
      </w:r>
      <w:r>
        <w:rPr>
          <w:color w:val="231F20"/>
          <w:spacing w:val="-9"/>
          <w:sz w:val="19"/>
        </w:rPr>
        <w:t> </w:t>
      </w:r>
      <w:r>
        <w:rPr>
          <w:color w:val="231F20"/>
          <w:sz w:val="19"/>
        </w:rPr>
        <w:t>that</w:t>
      </w:r>
      <w:r>
        <w:rPr>
          <w:color w:val="231F20"/>
          <w:spacing w:val="-9"/>
          <w:sz w:val="19"/>
        </w:rPr>
        <w:t> </w:t>
      </w:r>
      <w:r>
        <w:rPr>
          <w:color w:val="231F20"/>
          <w:sz w:val="19"/>
        </w:rPr>
        <w:t>was</w:t>
      </w:r>
      <w:r>
        <w:rPr>
          <w:color w:val="231F20"/>
          <w:spacing w:val="-10"/>
          <w:sz w:val="19"/>
        </w:rPr>
        <w:t> </w:t>
      </w:r>
      <w:r>
        <w:rPr>
          <w:color w:val="231F20"/>
          <w:sz w:val="19"/>
        </w:rPr>
        <w:t>used</w:t>
      </w:r>
      <w:r>
        <w:rPr>
          <w:color w:val="231F20"/>
          <w:spacing w:val="-9"/>
          <w:sz w:val="19"/>
        </w:rPr>
        <w:t> </w:t>
      </w:r>
      <w:r>
        <w:rPr>
          <w:color w:val="231F20"/>
          <w:sz w:val="19"/>
        </w:rPr>
        <w:t>to</w:t>
      </w:r>
      <w:r>
        <w:rPr>
          <w:color w:val="231F20"/>
          <w:spacing w:val="-10"/>
          <w:sz w:val="19"/>
        </w:rPr>
        <w:t> </w:t>
      </w:r>
      <w:r>
        <w:rPr>
          <w:color w:val="231F20"/>
          <w:sz w:val="19"/>
        </w:rPr>
        <w:t>purchase</w:t>
      </w:r>
      <w:r>
        <w:rPr>
          <w:color w:val="231F20"/>
          <w:spacing w:val="-9"/>
          <w:sz w:val="19"/>
        </w:rPr>
        <w:t> </w:t>
      </w:r>
      <w:r>
        <w:rPr>
          <w:color w:val="231F20"/>
          <w:sz w:val="19"/>
        </w:rPr>
        <w:t>a</w:t>
      </w:r>
      <w:r>
        <w:rPr>
          <w:color w:val="231F20"/>
          <w:spacing w:val="-10"/>
          <w:sz w:val="19"/>
        </w:rPr>
        <w:t> </w:t>
      </w:r>
      <w:r>
        <w:rPr>
          <w:color w:val="231F20"/>
          <w:sz w:val="19"/>
        </w:rPr>
        <w:t>vehicle.</w:t>
      </w:r>
      <w:r>
        <w:rPr>
          <w:color w:val="231F20"/>
          <w:spacing w:val="-11"/>
          <w:sz w:val="19"/>
        </w:rPr>
        <w:t> </w:t>
      </w:r>
      <w:r>
        <w:rPr>
          <w:color w:val="231F20"/>
          <w:sz w:val="19"/>
        </w:rPr>
        <w:t>The</w:t>
      </w:r>
      <w:r>
        <w:rPr>
          <w:color w:val="231F20"/>
          <w:spacing w:val="-10"/>
          <w:sz w:val="19"/>
        </w:rPr>
        <w:t> </w:t>
      </w:r>
      <w:r>
        <w:rPr>
          <w:color w:val="231F20"/>
          <w:sz w:val="19"/>
        </w:rPr>
        <w:t>contract</w:t>
      </w:r>
      <w:r>
        <w:rPr>
          <w:color w:val="231F20"/>
          <w:spacing w:val="-9"/>
          <w:sz w:val="19"/>
        </w:rPr>
        <w:t> </w:t>
      </w:r>
      <w:r>
        <w:rPr>
          <w:color w:val="231F20"/>
          <w:sz w:val="19"/>
        </w:rPr>
        <w:t>set</w:t>
      </w:r>
      <w:r>
        <w:rPr>
          <w:color w:val="231F20"/>
          <w:spacing w:val="-9"/>
          <w:sz w:val="19"/>
        </w:rPr>
        <w:t> </w:t>
      </w:r>
      <w:r>
        <w:rPr>
          <w:color w:val="231F20"/>
          <w:sz w:val="19"/>
        </w:rPr>
        <w:t>out</w:t>
      </w:r>
      <w:r>
        <w:rPr>
          <w:color w:val="231F20"/>
          <w:spacing w:val="-7"/>
          <w:sz w:val="19"/>
        </w:rPr>
        <w:t> </w:t>
      </w:r>
      <w:r>
        <w:rPr>
          <w:color w:val="231F20"/>
          <w:sz w:val="19"/>
        </w:rPr>
        <w:t>an</w:t>
      </w:r>
      <w:r>
        <w:rPr>
          <w:color w:val="231F20"/>
          <w:spacing w:val="-9"/>
          <w:sz w:val="19"/>
        </w:rPr>
        <w:t> </w:t>
      </w:r>
      <w:r>
        <w:rPr>
          <w:color w:val="231F20"/>
          <w:sz w:val="19"/>
        </w:rPr>
        <w:t>ordinary</w:t>
      </w:r>
      <w:r>
        <w:rPr>
          <w:color w:val="231F20"/>
          <w:spacing w:val="-9"/>
          <w:sz w:val="19"/>
        </w:rPr>
        <w:t> </w:t>
      </w:r>
      <w:r>
        <w:rPr>
          <w:color w:val="231F20"/>
          <w:sz w:val="19"/>
        </w:rPr>
        <w:t>interest rate of 7.95% and a default interest rate of 29%. Article 83 of the Spanish Consumer Protection Act (SCPA)</w:t>
      </w:r>
      <w:r>
        <w:rPr>
          <w:color w:val="231F20"/>
          <w:sz w:val="19"/>
          <w:vertAlign w:val="superscript"/>
        </w:rPr>
        <w:t>93</w:t>
      </w:r>
      <w:r>
        <w:rPr>
          <w:color w:val="231F20"/>
          <w:sz w:val="19"/>
          <w:vertAlign w:val="baseline"/>
        </w:rPr>
        <w:t> allowed courts to revise and integrate </w:t>
      </w:r>
      <w:r>
        <w:rPr>
          <w:color w:val="231F20"/>
          <w:sz w:val="19"/>
          <w:vertAlign w:val="baseline"/>
        </w:rPr>
        <w:t>the contract to fill in the gaps that the finding of an unfair term left.</w:t>
      </w:r>
      <w:r>
        <w:rPr>
          <w:color w:val="231F20"/>
          <w:sz w:val="19"/>
          <w:vertAlign w:val="superscript"/>
        </w:rPr>
        <w:t>94</w:t>
      </w:r>
      <w:r>
        <w:rPr>
          <w:color w:val="231F20"/>
          <w:sz w:val="19"/>
          <w:vertAlign w:val="baseline"/>
        </w:rPr>
        <w:t> The national court</w:t>
      </w:r>
      <w:r>
        <w:rPr>
          <w:color w:val="231F20"/>
          <w:spacing w:val="-11"/>
          <w:sz w:val="19"/>
          <w:vertAlign w:val="baseline"/>
        </w:rPr>
        <w:t> </w:t>
      </w:r>
      <w:r>
        <w:rPr>
          <w:color w:val="231F20"/>
          <w:sz w:val="19"/>
          <w:vertAlign w:val="baseline"/>
        </w:rPr>
        <w:t>found</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default</w:t>
      </w:r>
      <w:r>
        <w:rPr>
          <w:color w:val="231F20"/>
          <w:spacing w:val="-10"/>
          <w:sz w:val="19"/>
          <w:vertAlign w:val="baseline"/>
        </w:rPr>
        <w:t> </w:t>
      </w:r>
      <w:r>
        <w:rPr>
          <w:color w:val="231F20"/>
          <w:sz w:val="19"/>
          <w:vertAlign w:val="baseline"/>
        </w:rPr>
        <w:t>interest</w:t>
      </w:r>
      <w:r>
        <w:rPr>
          <w:color w:val="231F20"/>
          <w:spacing w:val="-11"/>
          <w:sz w:val="19"/>
          <w:vertAlign w:val="baseline"/>
        </w:rPr>
        <w:t> </w:t>
      </w:r>
      <w:r>
        <w:rPr>
          <w:color w:val="231F20"/>
          <w:sz w:val="19"/>
          <w:vertAlign w:val="baseline"/>
        </w:rPr>
        <w:t>rate</w:t>
      </w:r>
      <w:r>
        <w:rPr>
          <w:color w:val="231F20"/>
          <w:spacing w:val="-10"/>
          <w:sz w:val="19"/>
          <w:vertAlign w:val="baseline"/>
        </w:rPr>
        <w:t> </w:t>
      </w:r>
      <w:r>
        <w:rPr>
          <w:color w:val="231F20"/>
          <w:sz w:val="19"/>
          <w:vertAlign w:val="baseline"/>
        </w:rPr>
        <w:t>to</w:t>
      </w:r>
      <w:r>
        <w:rPr>
          <w:color w:val="231F20"/>
          <w:spacing w:val="-11"/>
          <w:sz w:val="19"/>
          <w:vertAlign w:val="baseline"/>
        </w:rPr>
        <w:t> </w:t>
      </w:r>
      <w:r>
        <w:rPr>
          <w:color w:val="231F20"/>
          <w:sz w:val="19"/>
          <w:vertAlign w:val="baseline"/>
        </w:rPr>
        <w:t>be</w:t>
      </w:r>
      <w:r>
        <w:rPr>
          <w:color w:val="231F20"/>
          <w:spacing w:val="-11"/>
          <w:sz w:val="19"/>
          <w:vertAlign w:val="baseline"/>
        </w:rPr>
        <w:t> </w:t>
      </w:r>
      <w:r>
        <w:rPr>
          <w:color w:val="231F20"/>
          <w:sz w:val="19"/>
          <w:vertAlign w:val="baseline"/>
        </w:rPr>
        <w:t>unfair</w:t>
      </w:r>
      <w:r>
        <w:rPr>
          <w:color w:val="231F20"/>
          <w:spacing w:val="-11"/>
          <w:sz w:val="19"/>
          <w:vertAlign w:val="baseline"/>
        </w:rPr>
        <w:t> </w:t>
      </w:r>
      <w:r>
        <w:rPr>
          <w:color w:val="231F20"/>
          <w:sz w:val="19"/>
          <w:vertAlign w:val="baseline"/>
        </w:rPr>
        <w:t>and</w:t>
      </w:r>
      <w:r>
        <w:rPr>
          <w:color w:val="231F20"/>
          <w:spacing w:val="-11"/>
          <w:sz w:val="19"/>
          <w:vertAlign w:val="baseline"/>
        </w:rPr>
        <w:t> </w:t>
      </w:r>
      <w:r>
        <w:rPr>
          <w:color w:val="231F20"/>
          <w:sz w:val="19"/>
          <w:vertAlign w:val="baseline"/>
        </w:rPr>
        <w:t>fixed</w:t>
      </w:r>
      <w:r>
        <w:rPr>
          <w:color w:val="231F20"/>
          <w:spacing w:val="-11"/>
          <w:sz w:val="19"/>
          <w:vertAlign w:val="baseline"/>
        </w:rPr>
        <w:t> </w:t>
      </w:r>
      <w:r>
        <w:rPr>
          <w:color w:val="231F20"/>
          <w:sz w:val="19"/>
          <w:vertAlign w:val="baseline"/>
        </w:rPr>
        <w:t>it</w:t>
      </w:r>
      <w:r>
        <w:rPr>
          <w:color w:val="231F20"/>
          <w:spacing w:val="-8"/>
          <w:sz w:val="19"/>
          <w:vertAlign w:val="baseline"/>
        </w:rPr>
        <w:t> </w:t>
      </w:r>
      <w:r>
        <w:rPr>
          <w:color w:val="231F20"/>
          <w:sz w:val="19"/>
          <w:vertAlign w:val="baseline"/>
        </w:rPr>
        <w:t>at</w:t>
      </w:r>
      <w:r>
        <w:rPr>
          <w:color w:val="231F20"/>
          <w:spacing w:val="-11"/>
          <w:sz w:val="19"/>
          <w:vertAlign w:val="baseline"/>
        </w:rPr>
        <w:t> </w:t>
      </w:r>
      <w:r>
        <w:rPr>
          <w:color w:val="231F20"/>
          <w:sz w:val="19"/>
          <w:vertAlign w:val="baseline"/>
        </w:rPr>
        <w:t>19%,</w:t>
      </w:r>
      <w:r>
        <w:rPr>
          <w:color w:val="231F20"/>
          <w:spacing w:val="-11"/>
          <w:sz w:val="19"/>
          <w:vertAlign w:val="baseline"/>
        </w:rPr>
        <w:t> </w:t>
      </w:r>
      <w:r>
        <w:rPr>
          <w:color w:val="231F20"/>
          <w:sz w:val="19"/>
          <w:vertAlign w:val="baseline"/>
        </w:rPr>
        <w:t>by</w:t>
      </w:r>
      <w:r>
        <w:rPr>
          <w:color w:val="231F20"/>
          <w:spacing w:val="-11"/>
          <w:sz w:val="19"/>
          <w:vertAlign w:val="baseline"/>
        </w:rPr>
        <w:t> </w:t>
      </w:r>
      <w:r>
        <w:rPr>
          <w:color w:val="231F20"/>
          <w:sz w:val="19"/>
          <w:vertAlign w:val="baseline"/>
        </w:rPr>
        <w:t>reference</w:t>
      </w:r>
      <w:r>
        <w:rPr>
          <w:color w:val="231F20"/>
          <w:spacing w:val="-12"/>
          <w:sz w:val="19"/>
          <w:vertAlign w:val="baseline"/>
        </w:rPr>
        <w:t> </w:t>
      </w:r>
      <w:r>
        <w:rPr>
          <w:color w:val="231F20"/>
          <w:sz w:val="19"/>
          <w:vertAlign w:val="baseline"/>
        </w:rPr>
        <w:t>to the statutory interest rate and to the interest rates for late payment included in national</w:t>
      </w:r>
      <w:r>
        <w:rPr>
          <w:color w:val="231F20"/>
          <w:spacing w:val="-11"/>
          <w:sz w:val="19"/>
          <w:vertAlign w:val="baseline"/>
        </w:rPr>
        <w:t> </w:t>
      </w:r>
      <w:r>
        <w:rPr>
          <w:color w:val="231F20"/>
          <w:sz w:val="19"/>
          <w:vertAlign w:val="baseline"/>
        </w:rPr>
        <w:t>budget</w:t>
      </w:r>
      <w:r>
        <w:rPr>
          <w:color w:val="231F20"/>
          <w:spacing w:val="-12"/>
          <w:sz w:val="19"/>
          <w:vertAlign w:val="baseline"/>
        </w:rPr>
        <w:t> </w:t>
      </w:r>
      <w:r>
        <w:rPr>
          <w:color w:val="231F20"/>
          <w:sz w:val="19"/>
          <w:vertAlign w:val="baseline"/>
        </w:rPr>
        <w:t>laws.</w:t>
      </w:r>
      <w:r>
        <w:rPr>
          <w:color w:val="231F20"/>
          <w:sz w:val="19"/>
          <w:vertAlign w:val="superscript"/>
        </w:rPr>
        <w:t>95</w:t>
      </w:r>
      <w:r>
        <w:rPr>
          <w:color w:val="231F20"/>
          <w:spacing w:val="-11"/>
          <w:sz w:val="19"/>
          <w:vertAlign w:val="baseline"/>
        </w:rPr>
        <w:t> </w:t>
      </w:r>
      <w:r>
        <w:rPr>
          <w:color w:val="231F20"/>
          <w:sz w:val="19"/>
          <w:vertAlign w:val="baseline"/>
        </w:rPr>
        <w:t>This</w:t>
      </w:r>
      <w:r>
        <w:rPr>
          <w:color w:val="231F20"/>
          <w:spacing w:val="-11"/>
          <w:sz w:val="19"/>
          <w:vertAlign w:val="baseline"/>
        </w:rPr>
        <w:t> </w:t>
      </w:r>
      <w:r>
        <w:rPr>
          <w:color w:val="231F20"/>
          <w:sz w:val="19"/>
          <w:vertAlign w:val="baseline"/>
        </w:rPr>
        <w:t>judgment</w:t>
      </w:r>
      <w:r>
        <w:rPr>
          <w:color w:val="231F20"/>
          <w:spacing w:val="-11"/>
          <w:sz w:val="19"/>
          <w:vertAlign w:val="baseline"/>
        </w:rPr>
        <w:t> </w:t>
      </w:r>
      <w:r>
        <w:rPr>
          <w:color w:val="231F20"/>
          <w:sz w:val="19"/>
          <w:vertAlign w:val="baseline"/>
        </w:rPr>
        <w:t>was</w:t>
      </w:r>
      <w:r>
        <w:rPr>
          <w:color w:val="231F20"/>
          <w:spacing w:val="-12"/>
          <w:sz w:val="19"/>
          <w:vertAlign w:val="baseline"/>
        </w:rPr>
        <w:t> </w:t>
      </w:r>
      <w:r>
        <w:rPr>
          <w:color w:val="231F20"/>
          <w:sz w:val="19"/>
          <w:vertAlign w:val="baseline"/>
        </w:rPr>
        <w:t>appealed,</w:t>
      </w:r>
      <w:r>
        <w:rPr>
          <w:color w:val="231F20"/>
          <w:spacing w:val="-11"/>
          <w:sz w:val="19"/>
          <w:vertAlign w:val="baseline"/>
        </w:rPr>
        <w:t> </w:t>
      </w:r>
      <w:r>
        <w:rPr>
          <w:color w:val="231F20"/>
          <w:sz w:val="19"/>
          <w:vertAlign w:val="baseline"/>
        </w:rPr>
        <w:t>and</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appeal</w:t>
      </w:r>
      <w:r>
        <w:rPr>
          <w:color w:val="231F20"/>
          <w:spacing w:val="-12"/>
          <w:sz w:val="19"/>
          <w:vertAlign w:val="baseline"/>
        </w:rPr>
        <w:t> </w:t>
      </w:r>
      <w:r>
        <w:rPr>
          <w:color w:val="231F20"/>
          <w:sz w:val="19"/>
          <w:vertAlign w:val="baseline"/>
        </w:rPr>
        <w:t>court</w:t>
      </w:r>
      <w:r>
        <w:rPr>
          <w:color w:val="231F20"/>
          <w:spacing w:val="-10"/>
          <w:sz w:val="19"/>
          <w:vertAlign w:val="baseline"/>
        </w:rPr>
        <w:t> </w:t>
      </w:r>
      <w:r>
        <w:rPr>
          <w:color w:val="231F20"/>
          <w:sz w:val="19"/>
          <w:vertAlign w:val="baseline"/>
        </w:rPr>
        <w:t>referred </w:t>
      </w:r>
      <w:r>
        <w:rPr>
          <w:color w:val="231F20"/>
          <w:spacing w:val="-2"/>
          <w:sz w:val="19"/>
          <w:vertAlign w:val="baseline"/>
        </w:rPr>
        <w:t>several</w:t>
      </w:r>
      <w:r>
        <w:rPr>
          <w:color w:val="231F20"/>
          <w:spacing w:val="-5"/>
          <w:sz w:val="19"/>
          <w:vertAlign w:val="baseline"/>
        </w:rPr>
        <w:t> </w:t>
      </w:r>
      <w:r>
        <w:rPr>
          <w:color w:val="231F20"/>
          <w:spacing w:val="-2"/>
          <w:sz w:val="19"/>
          <w:vertAlign w:val="baseline"/>
        </w:rPr>
        <w:t>questions</w:t>
      </w:r>
      <w:r>
        <w:rPr>
          <w:color w:val="231F20"/>
          <w:spacing w:val="-5"/>
          <w:sz w:val="19"/>
          <w:vertAlign w:val="baseline"/>
        </w:rPr>
        <w:t> </w:t>
      </w:r>
      <w:r>
        <w:rPr>
          <w:color w:val="231F20"/>
          <w:spacing w:val="-2"/>
          <w:sz w:val="19"/>
          <w:vertAlign w:val="baseline"/>
        </w:rPr>
        <w:t>to</w:t>
      </w:r>
      <w:r>
        <w:rPr>
          <w:color w:val="231F20"/>
          <w:spacing w:val="-6"/>
          <w:sz w:val="19"/>
          <w:vertAlign w:val="baseline"/>
        </w:rPr>
        <w:t> </w:t>
      </w:r>
      <w:r>
        <w:rPr>
          <w:color w:val="231F20"/>
          <w:spacing w:val="-2"/>
          <w:sz w:val="19"/>
          <w:vertAlign w:val="baseline"/>
        </w:rPr>
        <w:t>the</w:t>
      </w:r>
      <w:r>
        <w:rPr>
          <w:color w:val="231F20"/>
          <w:spacing w:val="-6"/>
          <w:sz w:val="19"/>
          <w:vertAlign w:val="baseline"/>
        </w:rPr>
        <w:t> </w:t>
      </w:r>
      <w:r>
        <w:rPr>
          <w:color w:val="231F20"/>
          <w:spacing w:val="-2"/>
          <w:sz w:val="19"/>
          <w:vertAlign w:val="baseline"/>
        </w:rPr>
        <w:t>ECJ.</w:t>
      </w:r>
      <w:r>
        <w:rPr>
          <w:color w:val="231F20"/>
          <w:spacing w:val="-6"/>
          <w:sz w:val="19"/>
          <w:vertAlign w:val="baseline"/>
        </w:rPr>
        <w:t> </w:t>
      </w:r>
      <w:r>
        <w:rPr>
          <w:color w:val="231F20"/>
          <w:spacing w:val="-2"/>
          <w:sz w:val="19"/>
          <w:vertAlign w:val="baseline"/>
        </w:rPr>
        <w:t>One</w:t>
      </w:r>
      <w:r>
        <w:rPr>
          <w:color w:val="231F20"/>
          <w:spacing w:val="-5"/>
          <w:sz w:val="19"/>
          <w:vertAlign w:val="baseline"/>
        </w:rPr>
        <w:t> </w:t>
      </w:r>
      <w:r>
        <w:rPr>
          <w:color w:val="231F20"/>
          <w:spacing w:val="-2"/>
          <w:sz w:val="19"/>
          <w:vertAlign w:val="baseline"/>
        </w:rPr>
        <w:t>of</w:t>
      </w:r>
      <w:r>
        <w:rPr>
          <w:color w:val="231F20"/>
          <w:spacing w:val="-3"/>
          <w:sz w:val="19"/>
          <w:vertAlign w:val="baseline"/>
        </w:rPr>
        <w:t> </w:t>
      </w:r>
      <w:r>
        <w:rPr>
          <w:color w:val="231F20"/>
          <w:spacing w:val="-2"/>
          <w:sz w:val="19"/>
          <w:vertAlign w:val="baseline"/>
        </w:rPr>
        <w:t>those</w:t>
      </w:r>
      <w:r>
        <w:rPr>
          <w:color w:val="231F20"/>
          <w:spacing w:val="-6"/>
          <w:sz w:val="19"/>
          <w:vertAlign w:val="baseline"/>
        </w:rPr>
        <w:t> </w:t>
      </w:r>
      <w:r>
        <w:rPr>
          <w:color w:val="231F20"/>
          <w:spacing w:val="-2"/>
          <w:sz w:val="19"/>
          <w:vertAlign w:val="baseline"/>
        </w:rPr>
        <w:t>concerned</w:t>
      </w:r>
      <w:r>
        <w:rPr>
          <w:color w:val="231F20"/>
          <w:spacing w:val="-5"/>
          <w:sz w:val="19"/>
          <w:vertAlign w:val="baseline"/>
        </w:rPr>
        <w:t> </w:t>
      </w:r>
      <w:r>
        <w:rPr>
          <w:color w:val="231F20"/>
          <w:spacing w:val="-2"/>
          <w:sz w:val="19"/>
          <w:vertAlign w:val="baseline"/>
        </w:rPr>
        <w:t>the</w:t>
      </w:r>
      <w:r>
        <w:rPr>
          <w:color w:val="231F20"/>
          <w:spacing w:val="-6"/>
          <w:sz w:val="19"/>
          <w:vertAlign w:val="baseline"/>
        </w:rPr>
        <w:t> </w:t>
      </w:r>
      <w:r>
        <w:rPr>
          <w:color w:val="231F20"/>
          <w:spacing w:val="-2"/>
          <w:sz w:val="19"/>
          <w:vertAlign w:val="baseline"/>
        </w:rPr>
        <w:t>compatibility</w:t>
      </w:r>
      <w:r>
        <w:rPr>
          <w:color w:val="231F20"/>
          <w:spacing w:val="-7"/>
          <w:sz w:val="19"/>
          <w:vertAlign w:val="baseline"/>
        </w:rPr>
        <w:t> </w:t>
      </w:r>
      <w:r>
        <w:rPr>
          <w:color w:val="231F20"/>
          <w:spacing w:val="-2"/>
          <w:sz w:val="19"/>
          <w:vertAlign w:val="baseline"/>
        </w:rPr>
        <w:t>of</w:t>
      </w:r>
      <w:r>
        <w:rPr>
          <w:color w:val="231F20"/>
          <w:spacing w:val="-5"/>
          <w:sz w:val="19"/>
          <w:vertAlign w:val="baseline"/>
        </w:rPr>
        <w:t> </w:t>
      </w:r>
      <w:r>
        <w:rPr>
          <w:color w:val="231F20"/>
          <w:spacing w:val="-2"/>
          <w:sz w:val="19"/>
          <w:vertAlign w:val="baseline"/>
        </w:rPr>
        <w:t>Article</w:t>
      </w:r>
      <w:r>
        <w:rPr>
          <w:color w:val="231F20"/>
          <w:spacing w:val="-6"/>
          <w:sz w:val="19"/>
          <w:vertAlign w:val="baseline"/>
        </w:rPr>
        <w:t> </w:t>
      </w:r>
      <w:r>
        <w:rPr>
          <w:color w:val="231F20"/>
          <w:spacing w:val="-2"/>
          <w:sz w:val="19"/>
          <w:vertAlign w:val="baseline"/>
        </w:rPr>
        <w:t>83 </w:t>
      </w:r>
      <w:r>
        <w:rPr>
          <w:color w:val="231F20"/>
          <w:sz w:val="19"/>
          <w:vertAlign w:val="baseline"/>
        </w:rPr>
        <w:t>SCPA with Article 6(1) UCTD.</w:t>
      </w:r>
    </w:p>
    <w:p>
      <w:pPr>
        <w:pStyle w:val="BodyText"/>
        <w:rPr>
          <w:sz w:val="20"/>
        </w:rPr>
      </w:pPr>
    </w:p>
    <w:p>
      <w:pPr>
        <w:pStyle w:val="BodyText"/>
        <w:rPr>
          <w:sz w:val="20"/>
        </w:rPr>
      </w:pPr>
    </w:p>
    <w:p>
      <w:pPr>
        <w:pStyle w:val="BodyText"/>
        <w:spacing w:before="225"/>
        <w:rPr>
          <w:sz w:val="20"/>
        </w:rPr>
      </w:pPr>
      <w:r>
        <w:rPr/>
        <mc:AlternateContent>
          <mc:Choice Requires="wps">
            <w:drawing>
              <wp:anchor distT="0" distB="0" distL="0" distR="0" allowOverlap="1" layoutInCell="1" locked="0" behindDoc="1" simplePos="0" relativeHeight="487596544">
                <wp:simplePos x="0" y="0"/>
                <wp:positionH relativeFrom="page">
                  <wp:posOffset>1979993</wp:posOffset>
                </wp:positionH>
                <wp:positionV relativeFrom="paragraph">
                  <wp:posOffset>302652</wp:posOffset>
                </wp:positionV>
                <wp:extent cx="1656080" cy="4445"/>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3.830904pt;width:130.394pt;height:.34015pt;mso-position-horizontal-relative:page;mso-position-vertical-relative:paragraph;z-index:-15719936;mso-wrap-distance-left:0;mso-wrap-distance-right:0" id="docshape20"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both"/>
        <w:rPr>
          <w:sz w:val="16"/>
        </w:rPr>
      </w:pPr>
      <w:r>
        <w:rPr>
          <w:color w:val="231F20"/>
          <w:sz w:val="16"/>
        </w:rPr>
        <w:t>ECJ</w:t>
      </w:r>
      <w:r>
        <w:rPr>
          <w:color w:val="231F20"/>
          <w:spacing w:val="-5"/>
          <w:sz w:val="16"/>
        </w:rPr>
        <w:t> </w:t>
      </w:r>
      <w:r>
        <w:rPr>
          <w:color w:val="231F20"/>
          <w:sz w:val="16"/>
        </w:rPr>
        <w:t>25</w:t>
      </w:r>
      <w:r>
        <w:rPr>
          <w:color w:val="231F20"/>
          <w:spacing w:val="-4"/>
          <w:sz w:val="16"/>
        </w:rPr>
        <w:t> </w:t>
      </w:r>
      <w:r>
        <w:rPr>
          <w:color w:val="231F20"/>
          <w:sz w:val="16"/>
        </w:rPr>
        <w:t>Nov.</w:t>
      </w:r>
      <w:r>
        <w:rPr>
          <w:color w:val="231F20"/>
          <w:spacing w:val="-3"/>
          <w:sz w:val="16"/>
        </w:rPr>
        <w:t> </w:t>
      </w:r>
      <w:r>
        <w:rPr>
          <w:color w:val="231F20"/>
          <w:sz w:val="16"/>
        </w:rPr>
        <w:t>2020,</w:t>
      </w:r>
      <w:r>
        <w:rPr>
          <w:color w:val="231F20"/>
          <w:spacing w:val="-3"/>
          <w:sz w:val="16"/>
        </w:rPr>
        <w:t> </w:t>
      </w:r>
      <w:r>
        <w:rPr>
          <w:color w:val="231F20"/>
          <w:sz w:val="16"/>
        </w:rPr>
        <w:t>ECLI:EU:C:2020:954,</w:t>
      </w:r>
      <w:r>
        <w:rPr>
          <w:color w:val="231F20"/>
          <w:spacing w:val="-5"/>
          <w:sz w:val="16"/>
        </w:rPr>
        <w:t> </w:t>
      </w:r>
      <w:r>
        <w:rPr>
          <w:i/>
          <w:color w:val="231F20"/>
          <w:sz w:val="16"/>
        </w:rPr>
        <w:t>Banca</w:t>
      </w:r>
      <w:r>
        <w:rPr>
          <w:i/>
          <w:color w:val="231F20"/>
          <w:spacing w:val="-3"/>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4"/>
          <w:sz w:val="16"/>
        </w:rPr>
        <w:t> </w:t>
      </w:r>
      <w:r>
        <w:rPr>
          <w:color w:val="231F20"/>
          <w:sz w:val="16"/>
        </w:rPr>
        <w:t>38,</w:t>
      </w:r>
      <w:r>
        <w:rPr>
          <w:color w:val="231F20"/>
          <w:spacing w:val="-3"/>
          <w:sz w:val="16"/>
        </w:rPr>
        <w:t> </w:t>
      </w:r>
      <w:r>
        <w:rPr>
          <w:color w:val="231F20"/>
          <w:sz w:val="16"/>
        </w:rPr>
        <w:t>restating</w:t>
      </w:r>
      <w:r>
        <w:rPr>
          <w:color w:val="231F20"/>
          <w:spacing w:val="-4"/>
          <w:sz w:val="16"/>
        </w:rPr>
        <w:t> </w:t>
      </w:r>
      <w:r>
        <w:rPr>
          <w:color w:val="231F20"/>
          <w:sz w:val="16"/>
        </w:rPr>
        <w:t>previous</w:t>
      </w:r>
      <w:r>
        <w:rPr>
          <w:color w:val="231F20"/>
          <w:spacing w:val="-4"/>
          <w:sz w:val="16"/>
        </w:rPr>
        <w:t> </w:t>
      </w:r>
      <w:r>
        <w:rPr>
          <w:color w:val="231F20"/>
          <w:spacing w:val="-2"/>
          <w:sz w:val="16"/>
        </w:rPr>
        <w:t>judgments.</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5"/>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4"/>
          <w:sz w:val="16"/>
        </w:rPr>
        <w:t> </w:t>
      </w:r>
      <w:r>
        <w:rPr>
          <w:color w:val="231F20"/>
          <w:sz w:val="16"/>
        </w:rPr>
        <w:t>para.</w:t>
      </w:r>
      <w:r>
        <w:rPr>
          <w:color w:val="231F20"/>
          <w:spacing w:val="-5"/>
          <w:sz w:val="16"/>
        </w:rPr>
        <w:t> 29.</w:t>
      </w:r>
    </w:p>
    <w:p>
      <w:pPr>
        <w:pStyle w:val="ListParagraph"/>
        <w:numPr>
          <w:ilvl w:val="0"/>
          <w:numId w:val="3"/>
        </w:numPr>
        <w:tabs>
          <w:tab w:pos="866" w:val="left" w:leader="none"/>
        </w:tabs>
        <w:spacing w:line="288" w:lineRule="auto" w:before="37" w:after="0"/>
        <w:ind w:left="866" w:right="868" w:hanging="354"/>
        <w:jc w:val="both"/>
        <w:rPr>
          <w:sz w:val="16"/>
        </w:rPr>
      </w:pPr>
      <w:r>
        <w:rPr>
          <w:color w:val="231F20"/>
          <w:sz w:val="16"/>
        </w:rPr>
        <w:t>Real</w:t>
      </w:r>
      <w:r>
        <w:rPr>
          <w:color w:val="231F20"/>
          <w:spacing w:val="-2"/>
          <w:sz w:val="16"/>
        </w:rPr>
        <w:t> </w:t>
      </w:r>
      <w:r>
        <w:rPr>
          <w:color w:val="231F20"/>
          <w:sz w:val="16"/>
        </w:rPr>
        <w:t>Decreto</w:t>
      </w:r>
      <w:r>
        <w:rPr>
          <w:color w:val="231F20"/>
          <w:spacing w:val="-2"/>
          <w:sz w:val="16"/>
        </w:rPr>
        <w:t> </w:t>
      </w:r>
      <w:r>
        <w:rPr>
          <w:color w:val="231F20"/>
          <w:sz w:val="16"/>
        </w:rPr>
        <w:t>Legislativo</w:t>
      </w:r>
      <w:r>
        <w:rPr>
          <w:color w:val="231F20"/>
          <w:spacing w:val="-2"/>
          <w:sz w:val="16"/>
        </w:rPr>
        <w:t> </w:t>
      </w:r>
      <w:r>
        <w:rPr>
          <w:color w:val="231F20"/>
          <w:sz w:val="16"/>
        </w:rPr>
        <w:t>1/2007,</w:t>
      </w:r>
      <w:r>
        <w:rPr>
          <w:color w:val="231F20"/>
          <w:spacing w:val="-2"/>
          <w:sz w:val="16"/>
        </w:rPr>
        <w:t> </w:t>
      </w:r>
      <w:r>
        <w:rPr>
          <w:color w:val="231F20"/>
          <w:sz w:val="16"/>
        </w:rPr>
        <w:t>de</w:t>
      </w:r>
      <w:r>
        <w:rPr>
          <w:color w:val="231F20"/>
          <w:spacing w:val="-2"/>
          <w:sz w:val="16"/>
        </w:rPr>
        <w:t> </w:t>
      </w:r>
      <w:r>
        <w:rPr>
          <w:color w:val="231F20"/>
          <w:sz w:val="16"/>
        </w:rPr>
        <w:t>16</w:t>
      </w:r>
      <w:r>
        <w:rPr>
          <w:color w:val="231F20"/>
          <w:spacing w:val="-2"/>
          <w:sz w:val="16"/>
        </w:rPr>
        <w:t> </w:t>
      </w:r>
      <w:r>
        <w:rPr>
          <w:color w:val="231F20"/>
          <w:sz w:val="16"/>
        </w:rPr>
        <w:t>de</w:t>
      </w:r>
      <w:r>
        <w:rPr>
          <w:color w:val="231F20"/>
          <w:spacing w:val="-2"/>
          <w:sz w:val="16"/>
        </w:rPr>
        <w:t> </w:t>
      </w:r>
      <w:r>
        <w:rPr>
          <w:color w:val="231F20"/>
          <w:sz w:val="16"/>
        </w:rPr>
        <w:t>noviembre,</w:t>
      </w:r>
      <w:r>
        <w:rPr>
          <w:color w:val="231F20"/>
          <w:spacing w:val="-2"/>
          <w:sz w:val="16"/>
        </w:rPr>
        <w:t> </w:t>
      </w:r>
      <w:r>
        <w:rPr>
          <w:color w:val="231F20"/>
          <w:sz w:val="16"/>
        </w:rPr>
        <w:t>por</w:t>
      </w:r>
      <w:r>
        <w:rPr>
          <w:color w:val="231F20"/>
          <w:spacing w:val="-2"/>
          <w:sz w:val="16"/>
        </w:rPr>
        <w:t> </w:t>
      </w:r>
      <w:r>
        <w:rPr>
          <w:color w:val="231F20"/>
          <w:sz w:val="16"/>
        </w:rPr>
        <w:t>el</w:t>
      </w:r>
      <w:r>
        <w:rPr>
          <w:color w:val="231F20"/>
          <w:spacing w:val="-2"/>
          <w:sz w:val="16"/>
        </w:rPr>
        <w:t> </w:t>
      </w:r>
      <w:r>
        <w:rPr>
          <w:color w:val="231F20"/>
          <w:sz w:val="16"/>
        </w:rPr>
        <w:t>que</w:t>
      </w:r>
      <w:r>
        <w:rPr>
          <w:color w:val="231F20"/>
          <w:spacing w:val="-2"/>
          <w:sz w:val="16"/>
        </w:rPr>
        <w:t> </w:t>
      </w:r>
      <w:r>
        <w:rPr>
          <w:color w:val="231F20"/>
          <w:sz w:val="16"/>
        </w:rPr>
        <w:t>se</w:t>
      </w:r>
      <w:r>
        <w:rPr>
          <w:color w:val="231F20"/>
          <w:spacing w:val="-2"/>
          <w:sz w:val="16"/>
        </w:rPr>
        <w:t> </w:t>
      </w:r>
      <w:r>
        <w:rPr>
          <w:color w:val="231F20"/>
          <w:sz w:val="16"/>
        </w:rPr>
        <w:t>aprueba</w:t>
      </w:r>
      <w:r>
        <w:rPr>
          <w:color w:val="231F20"/>
          <w:spacing w:val="-2"/>
          <w:sz w:val="16"/>
        </w:rPr>
        <w:t> </w:t>
      </w:r>
      <w:r>
        <w:rPr>
          <w:color w:val="231F20"/>
          <w:sz w:val="16"/>
        </w:rPr>
        <w:t>el</w:t>
      </w:r>
      <w:r>
        <w:rPr>
          <w:color w:val="231F20"/>
          <w:spacing w:val="-2"/>
          <w:sz w:val="16"/>
        </w:rPr>
        <w:t> </w:t>
      </w:r>
      <w:r>
        <w:rPr>
          <w:color w:val="231F20"/>
          <w:sz w:val="16"/>
        </w:rPr>
        <w:t>texto</w:t>
      </w:r>
      <w:r>
        <w:rPr>
          <w:color w:val="231F20"/>
          <w:spacing w:val="-2"/>
          <w:sz w:val="16"/>
        </w:rPr>
        <w:t> </w:t>
      </w:r>
      <w:r>
        <w:rPr>
          <w:color w:val="231F20"/>
          <w:sz w:val="16"/>
        </w:rPr>
        <w:t>refundido</w:t>
      </w:r>
      <w:r>
        <w:rPr>
          <w:color w:val="231F20"/>
          <w:spacing w:val="-2"/>
          <w:sz w:val="16"/>
        </w:rPr>
        <w:t> </w:t>
      </w:r>
      <w:r>
        <w:rPr>
          <w:color w:val="231F20"/>
          <w:sz w:val="16"/>
        </w:rPr>
        <w:t>de</w:t>
      </w:r>
      <w:r>
        <w:rPr>
          <w:color w:val="231F20"/>
          <w:spacing w:val="40"/>
          <w:sz w:val="16"/>
        </w:rPr>
        <w:t> </w:t>
      </w:r>
      <w:r>
        <w:rPr>
          <w:color w:val="231F20"/>
          <w:spacing w:val="-2"/>
          <w:sz w:val="16"/>
        </w:rPr>
        <w:t>la</w:t>
      </w:r>
      <w:r>
        <w:rPr>
          <w:color w:val="231F20"/>
          <w:spacing w:val="-3"/>
          <w:sz w:val="16"/>
        </w:rPr>
        <w:t> </w:t>
      </w:r>
      <w:r>
        <w:rPr>
          <w:color w:val="231F20"/>
          <w:spacing w:val="-2"/>
          <w:sz w:val="16"/>
        </w:rPr>
        <w:t>Ley</w:t>
      </w:r>
      <w:r>
        <w:rPr>
          <w:color w:val="231F20"/>
          <w:spacing w:val="-3"/>
          <w:sz w:val="16"/>
        </w:rPr>
        <w:t> </w:t>
      </w:r>
      <w:r>
        <w:rPr>
          <w:color w:val="231F20"/>
          <w:spacing w:val="-2"/>
          <w:sz w:val="16"/>
        </w:rPr>
        <w:t>General</w:t>
      </w:r>
      <w:r>
        <w:rPr>
          <w:color w:val="231F20"/>
          <w:spacing w:val="-3"/>
          <w:sz w:val="16"/>
        </w:rPr>
        <w:t> </w:t>
      </w:r>
      <w:r>
        <w:rPr>
          <w:color w:val="231F20"/>
          <w:spacing w:val="-2"/>
          <w:sz w:val="16"/>
        </w:rPr>
        <w:t>para</w:t>
      </w:r>
      <w:r>
        <w:rPr>
          <w:color w:val="231F20"/>
          <w:spacing w:val="-3"/>
          <w:sz w:val="16"/>
        </w:rPr>
        <w:t> </w:t>
      </w:r>
      <w:r>
        <w:rPr>
          <w:color w:val="231F20"/>
          <w:spacing w:val="-2"/>
          <w:sz w:val="16"/>
        </w:rPr>
        <w:t>la</w:t>
      </w:r>
      <w:r>
        <w:rPr>
          <w:color w:val="231F20"/>
          <w:spacing w:val="-3"/>
          <w:sz w:val="16"/>
        </w:rPr>
        <w:t> </w:t>
      </w:r>
      <w:r>
        <w:rPr>
          <w:color w:val="231F20"/>
          <w:spacing w:val="-2"/>
          <w:sz w:val="16"/>
        </w:rPr>
        <w:t>Defensa</w:t>
      </w:r>
      <w:r>
        <w:rPr>
          <w:color w:val="231F20"/>
          <w:spacing w:val="-4"/>
          <w:sz w:val="16"/>
        </w:rPr>
        <w:t> </w:t>
      </w:r>
      <w:r>
        <w:rPr>
          <w:color w:val="231F20"/>
          <w:spacing w:val="-2"/>
          <w:sz w:val="16"/>
        </w:rPr>
        <w:t>de</w:t>
      </w:r>
      <w:r>
        <w:rPr>
          <w:color w:val="231F20"/>
          <w:spacing w:val="-3"/>
          <w:sz w:val="16"/>
        </w:rPr>
        <w:t> </w:t>
      </w:r>
      <w:r>
        <w:rPr>
          <w:color w:val="231F20"/>
          <w:spacing w:val="-2"/>
          <w:sz w:val="16"/>
        </w:rPr>
        <w:t>los</w:t>
      </w:r>
      <w:r>
        <w:rPr>
          <w:color w:val="231F20"/>
          <w:spacing w:val="-3"/>
          <w:sz w:val="16"/>
        </w:rPr>
        <w:t> </w:t>
      </w:r>
      <w:r>
        <w:rPr>
          <w:color w:val="231F20"/>
          <w:spacing w:val="-2"/>
          <w:sz w:val="16"/>
        </w:rPr>
        <w:t>Consumidores</w:t>
      </w:r>
      <w:r>
        <w:rPr>
          <w:color w:val="231F20"/>
          <w:spacing w:val="-3"/>
          <w:sz w:val="16"/>
        </w:rPr>
        <w:t> </w:t>
      </w:r>
      <w:r>
        <w:rPr>
          <w:color w:val="231F20"/>
          <w:spacing w:val="-2"/>
          <w:sz w:val="16"/>
        </w:rPr>
        <w:t>y</w:t>
      </w:r>
      <w:r>
        <w:rPr>
          <w:color w:val="231F20"/>
          <w:spacing w:val="-3"/>
          <w:sz w:val="16"/>
        </w:rPr>
        <w:t> </w:t>
      </w:r>
      <w:r>
        <w:rPr>
          <w:color w:val="231F20"/>
          <w:spacing w:val="-2"/>
          <w:sz w:val="16"/>
        </w:rPr>
        <w:t>Usuarios</w:t>
      </w:r>
      <w:r>
        <w:rPr>
          <w:color w:val="231F20"/>
          <w:spacing w:val="-3"/>
          <w:sz w:val="16"/>
        </w:rPr>
        <w:t> </w:t>
      </w:r>
      <w:r>
        <w:rPr>
          <w:color w:val="231F20"/>
          <w:spacing w:val="-2"/>
          <w:sz w:val="16"/>
        </w:rPr>
        <w:t>y</w:t>
      </w:r>
      <w:r>
        <w:rPr>
          <w:color w:val="231F20"/>
          <w:spacing w:val="-5"/>
          <w:sz w:val="16"/>
        </w:rPr>
        <w:t> </w:t>
      </w:r>
      <w:r>
        <w:rPr>
          <w:color w:val="231F20"/>
          <w:spacing w:val="-2"/>
          <w:sz w:val="16"/>
        </w:rPr>
        <w:t>otras</w:t>
      </w:r>
      <w:r>
        <w:rPr>
          <w:color w:val="231F20"/>
          <w:spacing w:val="-3"/>
          <w:sz w:val="16"/>
        </w:rPr>
        <w:t> </w:t>
      </w:r>
      <w:r>
        <w:rPr>
          <w:color w:val="231F20"/>
          <w:spacing w:val="-2"/>
          <w:sz w:val="16"/>
        </w:rPr>
        <w:t>leyes</w:t>
      </w:r>
      <w:r>
        <w:rPr>
          <w:color w:val="231F20"/>
          <w:spacing w:val="-3"/>
          <w:sz w:val="16"/>
        </w:rPr>
        <w:t> </w:t>
      </w:r>
      <w:r>
        <w:rPr>
          <w:color w:val="231F20"/>
          <w:spacing w:val="-2"/>
          <w:sz w:val="16"/>
        </w:rPr>
        <w:t>complementarias,</w:t>
      </w:r>
      <w:r>
        <w:rPr>
          <w:color w:val="231F20"/>
          <w:spacing w:val="-3"/>
          <w:sz w:val="16"/>
        </w:rPr>
        <w:t> </w:t>
      </w:r>
      <w:r>
        <w:rPr>
          <w:color w:val="231F20"/>
          <w:spacing w:val="-2"/>
          <w:sz w:val="16"/>
        </w:rPr>
        <w:t>boe.</w:t>
      </w:r>
      <w:r>
        <w:rPr>
          <w:color w:val="231F20"/>
          <w:spacing w:val="40"/>
          <w:sz w:val="16"/>
        </w:rPr>
        <w:t> </w:t>
      </w:r>
      <w:r>
        <w:rPr>
          <w:color w:val="231F20"/>
          <w:spacing w:val="-2"/>
          <w:sz w:val="16"/>
        </w:rPr>
        <w:t>es/buscar/act.php?id=BOE-A-2007-20555.</w:t>
      </w:r>
    </w:p>
    <w:p>
      <w:pPr>
        <w:pStyle w:val="ListParagraph"/>
        <w:numPr>
          <w:ilvl w:val="0"/>
          <w:numId w:val="3"/>
        </w:numPr>
        <w:tabs>
          <w:tab w:pos="865" w:val="left" w:leader="none"/>
        </w:tabs>
        <w:spacing w:line="240" w:lineRule="auto" w:before="2" w:after="0"/>
        <w:ind w:left="865" w:right="0" w:hanging="353"/>
        <w:jc w:val="both"/>
        <w:rPr>
          <w:sz w:val="16"/>
        </w:rPr>
      </w:pPr>
      <w:r>
        <w:rPr>
          <w:color w:val="231F20"/>
          <w:sz w:val="16"/>
        </w:rPr>
        <w:t>Article</w:t>
      </w:r>
      <w:r>
        <w:rPr>
          <w:color w:val="231F20"/>
          <w:spacing w:val="3"/>
          <w:sz w:val="16"/>
        </w:rPr>
        <w:t> </w:t>
      </w:r>
      <w:r>
        <w:rPr>
          <w:color w:val="231F20"/>
          <w:sz w:val="16"/>
        </w:rPr>
        <w:t>83</w:t>
      </w:r>
      <w:r>
        <w:rPr>
          <w:color w:val="231F20"/>
          <w:spacing w:val="3"/>
          <w:sz w:val="16"/>
        </w:rPr>
        <w:t> </w:t>
      </w:r>
      <w:r>
        <w:rPr>
          <w:color w:val="231F20"/>
          <w:sz w:val="16"/>
        </w:rPr>
        <w:t>of</w:t>
      </w:r>
      <w:r>
        <w:rPr>
          <w:color w:val="231F20"/>
          <w:spacing w:val="4"/>
          <w:sz w:val="16"/>
        </w:rPr>
        <w:t> </w:t>
      </w:r>
      <w:r>
        <w:rPr>
          <w:color w:val="231F20"/>
          <w:sz w:val="16"/>
        </w:rPr>
        <w:t>Real</w:t>
      </w:r>
      <w:r>
        <w:rPr>
          <w:color w:val="231F20"/>
          <w:spacing w:val="3"/>
          <w:sz w:val="16"/>
        </w:rPr>
        <w:t> </w:t>
      </w:r>
      <w:r>
        <w:rPr>
          <w:color w:val="231F20"/>
          <w:sz w:val="16"/>
        </w:rPr>
        <w:t>Decreto</w:t>
      </w:r>
      <w:r>
        <w:rPr>
          <w:color w:val="231F20"/>
          <w:spacing w:val="3"/>
          <w:sz w:val="16"/>
        </w:rPr>
        <w:t> </w:t>
      </w:r>
      <w:r>
        <w:rPr>
          <w:color w:val="231F20"/>
          <w:sz w:val="16"/>
        </w:rPr>
        <w:t>Legislativo</w:t>
      </w:r>
      <w:r>
        <w:rPr>
          <w:color w:val="231F20"/>
          <w:spacing w:val="2"/>
          <w:sz w:val="16"/>
        </w:rPr>
        <w:t> </w:t>
      </w:r>
      <w:r>
        <w:rPr>
          <w:color w:val="231F20"/>
          <w:sz w:val="16"/>
        </w:rPr>
        <w:t>1/2007,</w:t>
      </w:r>
      <w:r>
        <w:rPr>
          <w:color w:val="231F20"/>
          <w:spacing w:val="3"/>
          <w:sz w:val="16"/>
        </w:rPr>
        <w:t> </w:t>
      </w:r>
      <w:r>
        <w:rPr>
          <w:color w:val="231F20"/>
          <w:sz w:val="16"/>
        </w:rPr>
        <w:t>as</w:t>
      </w:r>
      <w:r>
        <w:rPr>
          <w:color w:val="231F20"/>
          <w:spacing w:val="4"/>
          <w:sz w:val="16"/>
        </w:rPr>
        <w:t> </w:t>
      </w:r>
      <w:r>
        <w:rPr>
          <w:color w:val="231F20"/>
          <w:sz w:val="16"/>
        </w:rPr>
        <w:t>drafted</w:t>
      </w:r>
      <w:r>
        <w:rPr>
          <w:color w:val="231F20"/>
          <w:spacing w:val="4"/>
          <w:sz w:val="16"/>
        </w:rPr>
        <w:t> </w:t>
      </w:r>
      <w:r>
        <w:rPr>
          <w:color w:val="231F20"/>
          <w:sz w:val="16"/>
        </w:rPr>
        <w:t>at</w:t>
      </w:r>
      <w:r>
        <w:rPr>
          <w:color w:val="231F20"/>
          <w:spacing w:val="3"/>
          <w:sz w:val="16"/>
        </w:rPr>
        <w:t> </w:t>
      </w:r>
      <w:r>
        <w:rPr>
          <w:color w:val="231F20"/>
          <w:sz w:val="16"/>
        </w:rPr>
        <w:t>the</w:t>
      </w:r>
      <w:r>
        <w:rPr>
          <w:color w:val="231F20"/>
          <w:spacing w:val="3"/>
          <w:sz w:val="16"/>
        </w:rPr>
        <w:t> </w:t>
      </w:r>
      <w:r>
        <w:rPr>
          <w:color w:val="231F20"/>
          <w:spacing w:val="-2"/>
          <w:sz w:val="16"/>
        </w:rPr>
        <w:t>time.</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30.</w:t>
      </w:r>
    </w:p>
    <w:p>
      <w:pPr>
        <w:spacing w:after="0" w:line="240" w:lineRule="auto"/>
        <w:jc w:val="both"/>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324" w:val="left" w:leader="none"/>
        </w:tabs>
        <w:spacing w:line="288" w:lineRule="auto" w:before="0" w:after="0"/>
        <w:ind w:left="871" w:right="869" w:firstLine="0"/>
        <w:jc w:val="both"/>
        <w:rPr>
          <w:sz w:val="19"/>
        </w:rPr>
      </w:pPr>
      <w:r>
        <w:rPr>
          <w:color w:val="231F20"/>
          <w:sz w:val="19"/>
        </w:rPr>
        <w:t>The ECJ decided that Article 83 SCPA was not compliant with Article 6(1) UCTD.</w:t>
      </w:r>
      <w:r>
        <w:rPr>
          <w:color w:val="231F20"/>
          <w:spacing w:val="-12"/>
          <w:sz w:val="19"/>
        </w:rPr>
        <w:t> </w:t>
      </w:r>
      <w:r>
        <w:rPr>
          <w:color w:val="231F20"/>
          <w:sz w:val="19"/>
        </w:rPr>
        <w:t>Following</w:t>
      </w:r>
      <w:r>
        <w:rPr>
          <w:color w:val="231F20"/>
          <w:spacing w:val="-11"/>
          <w:sz w:val="19"/>
        </w:rPr>
        <w:t> </w:t>
      </w:r>
      <w:r>
        <w:rPr>
          <w:color w:val="231F20"/>
          <w:sz w:val="19"/>
        </w:rPr>
        <w:t>the</w:t>
      </w:r>
      <w:r>
        <w:rPr>
          <w:color w:val="231F20"/>
          <w:spacing w:val="-12"/>
          <w:sz w:val="19"/>
        </w:rPr>
        <w:t> </w:t>
      </w:r>
      <w:r>
        <w:rPr>
          <w:color w:val="231F20"/>
          <w:sz w:val="19"/>
        </w:rPr>
        <w:t>finding</w:t>
      </w:r>
      <w:r>
        <w:rPr>
          <w:color w:val="231F20"/>
          <w:spacing w:val="-11"/>
          <w:sz w:val="19"/>
        </w:rPr>
        <w:t> </w:t>
      </w:r>
      <w:r>
        <w:rPr>
          <w:color w:val="231F20"/>
          <w:sz w:val="19"/>
        </w:rPr>
        <w:t>of</w:t>
      </w:r>
      <w:r>
        <w:rPr>
          <w:color w:val="231F20"/>
          <w:spacing w:val="-12"/>
          <w:sz w:val="19"/>
        </w:rPr>
        <w:t> </w:t>
      </w:r>
      <w:r>
        <w:rPr>
          <w:color w:val="231F20"/>
          <w:sz w:val="19"/>
        </w:rPr>
        <w:t>an</w:t>
      </w:r>
      <w:r>
        <w:rPr>
          <w:color w:val="231F20"/>
          <w:spacing w:val="-11"/>
          <w:sz w:val="19"/>
        </w:rPr>
        <w:t> </w:t>
      </w:r>
      <w:r>
        <w:rPr>
          <w:color w:val="231F20"/>
          <w:sz w:val="19"/>
        </w:rPr>
        <w:t>unfair</w:t>
      </w:r>
      <w:r>
        <w:rPr>
          <w:color w:val="231F20"/>
          <w:spacing w:val="-12"/>
          <w:sz w:val="19"/>
        </w:rPr>
        <w:t> </w:t>
      </w:r>
      <w:r>
        <w:rPr>
          <w:color w:val="231F20"/>
          <w:sz w:val="19"/>
        </w:rPr>
        <w:t>term,</w:t>
      </w:r>
      <w:r>
        <w:rPr>
          <w:color w:val="231F20"/>
          <w:spacing w:val="-11"/>
          <w:sz w:val="19"/>
        </w:rPr>
        <w:t> </w:t>
      </w:r>
      <w:r>
        <w:rPr>
          <w:color w:val="231F20"/>
          <w:sz w:val="19"/>
        </w:rPr>
        <w:t>national</w:t>
      </w:r>
      <w:r>
        <w:rPr>
          <w:color w:val="231F20"/>
          <w:spacing w:val="-12"/>
          <w:sz w:val="19"/>
        </w:rPr>
        <w:t> </w:t>
      </w:r>
      <w:r>
        <w:rPr>
          <w:color w:val="231F20"/>
          <w:sz w:val="19"/>
        </w:rPr>
        <w:t>courts</w:t>
      </w:r>
      <w:r>
        <w:rPr>
          <w:color w:val="231F20"/>
          <w:spacing w:val="-11"/>
          <w:sz w:val="19"/>
        </w:rPr>
        <w:t> </w:t>
      </w:r>
      <w:r>
        <w:rPr>
          <w:color w:val="231F20"/>
          <w:sz w:val="19"/>
        </w:rPr>
        <w:t>are</w:t>
      </w:r>
      <w:r>
        <w:rPr>
          <w:color w:val="231F20"/>
          <w:spacing w:val="-12"/>
          <w:sz w:val="19"/>
        </w:rPr>
        <w:t> </w:t>
      </w:r>
      <w:r>
        <w:rPr>
          <w:color w:val="231F20"/>
          <w:sz w:val="19"/>
        </w:rPr>
        <w:t>required</w:t>
      </w:r>
      <w:r>
        <w:rPr>
          <w:color w:val="231F20"/>
          <w:spacing w:val="-11"/>
          <w:sz w:val="19"/>
        </w:rPr>
        <w:t> </w:t>
      </w:r>
      <w:r>
        <w:rPr>
          <w:color w:val="231F20"/>
          <w:sz w:val="19"/>
        </w:rPr>
        <w:t>only</w:t>
      </w:r>
      <w:r>
        <w:rPr>
          <w:color w:val="231F20"/>
          <w:spacing w:val="-11"/>
          <w:sz w:val="19"/>
        </w:rPr>
        <w:t> </w:t>
      </w:r>
      <w:r>
        <w:rPr>
          <w:color w:val="231F20"/>
          <w:sz w:val="19"/>
        </w:rPr>
        <w:t>to exclude its application.</w:t>
      </w:r>
      <w:r>
        <w:rPr>
          <w:color w:val="231F20"/>
          <w:sz w:val="19"/>
          <w:vertAlign w:val="superscript"/>
        </w:rPr>
        <w:t>96</w:t>
      </w:r>
      <w:r>
        <w:rPr>
          <w:color w:val="231F20"/>
          <w:sz w:val="19"/>
          <w:vertAlign w:val="baseline"/>
        </w:rPr>
        <w:t> They are not authorized to revise contracts.</w:t>
      </w:r>
    </w:p>
    <w:p>
      <w:pPr>
        <w:pStyle w:val="ListParagraph"/>
        <w:numPr>
          <w:ilvl w:val="0"/>
          <w:numId w:val="4"/>
        </w:numPr>
        <w:tabs>
          <w:tab w:pos="1324" w:val="left" w:leader="none"/>
        </w:tabs>
        <w:spacing w:line="288" w:lineRule="auto" w:before="120" w:after="0"/>
        <w:ind w:left="871" w:right="869" w:firstLine="0"/>
        <w:jc w:val="both"/>
        <w:rPr>
          <w:sz w:val="19"/>
        </w:rPr>
      </w:pPr>
      <w:r>
        <w:rPr>
          <w:color w:val="231F20"/>
          <w:sz w:val="19"/>
        </w:rPr>
        <w:t>The</w:t>
      </w:r>
      <w:r>
        <w:rPr>
          <w:color w:val="231F20"/>
          <w:spacing w:val="-12"/>
          <w:sz w:val="19"/>
        </w:rPr>
        <w:t> </w:t>
      </w:r>
      <w:r>
        <w:rPr>
          <w:color w:val="231F20"/>
          <w:sz w:val="19"/>
        </w:rPr>
        <w:t>ECJ</w:t>
      </w:r>
      <w:r>
        <w:rPr>
          <w:color w:val="231F20"/>
          <w:spacing w:val="-11"/>
          <w:sz w:val="19"/>
        </w:rPr>
        <w:t> </w:t>
      </w:r>
      <w:r>
        <w:rPr>
          <w:color w:val="231F20"/>
          <w:sz w:val="19"/>
        </w:rPr>
        <w:t>justified</w:t>
      </w:r>
      <w:r>
        <w:rPr>
          <w:color w:val="231F20"/>
          <w:spacing w:val="-12"/>
          <w:sz w:val="19"/>
        </w:rPr>
        <w:t> </w:t>
      </w:r>
      <w:r>
        <w:rPr>
          <w:color w:val="231F20"/>
          <w:sz w:val="19"/>
        </w:rPr>
        <w:t>its</w:t>
      </w:r>
      <w:r>
        <w:rPr>
          <w:color w:val="231F20"/>
          <w:spacing w:val="-11"/>
          <w:sz w:val="19"/>
        </w:rPr>
        <w:t> </w:t>
      </w:r>
      <w:r>
        <w:rPr>
          <w:color w:val="231F20"/>
          <w:sz w:val="19"/>
        </w:rPr>
        <w:t>decision</w:t>
      </w:r>
      <w:r>
        <w:rPr>
          <w:color w:val="231F20"/>
          <w:spacing w:val="-12"/>
          <w:sz w:val="19"/>
        </w:rPr>
        <w:t> </w:t>
      </w:r>
      <w:r>
        <w:rPr>
          <w:color w:val="231F20"/>
          <w:sz w:val="19"/>
        </w:rPr>
        <w:t>on</w:t>
      </w:r>
      <w:r>
        <w:rPr>
          <w:color w:val="231F20"/>
          <w:spacing w:val="-11"/>
          <w:sz w:val="19"/>
        </w:rPr>
        <w:t> </w:t>
      </w:r>
      <w:r>
        <w:rPr>
          <w:color w:val="231F20"/>
          <w:sz w:val="19"/>
        </w:rPr>
        <w:t>the</w:t>
      </w:r>
      <w:r>
        <w:rPr>
          <w:color w:val="231F20"/>
          <w:spacing w:val="-12"/>
          <w:sz w:val="19"/>
        </w:rPr>
        <w:t> </w:t>
      </w:r>
      <w:r>
        <w:rPr>
          <w:color w:val="231F20"/>
          <w:sz w:val="19"/>
        </w:rPr>
        <w:t>principle</w:t>
      </w:r>
      <w:r>
        <w:rPr>
          <w:color w:val="231F20"/>
          <w:spacing w:val="-11"/>
          <w:sz w:val="19"/>
        </w:rPr>
        <w:t> </w:t>
      </w:r>
      <w:r>
        <w:rPr>
          <w:color w:val="231F20"/>
          <w:sz w:val="19"/>
        </w:rPr>
        <w:t>of</w:t>
      </w:r>
      <w:r>
        <w:rPr>
          <w:color w:val="231F20"/>
          <w:spacing w:val="-12"/>
          <w:sz w:val="19"/>
        </w:rPr>
        <w:t> </w:t>
      </w:r>
      <w:r>
        <w:rPr>
          <w:color w:val="231F20"/>
          <w:sz w:val="19"/>
        </w:rPr>
        <w:t>dissuasiveness.</w:t>
      </w:r>
      <w:r>
        <w:rPr>
          <w:color w:val="231F20"/>
          <w:spacing w:val="-11"/>
          <w:sz w:val="19"/>
        </w:rPr>
        <w:t> </w:t>
      </w:r>
      <w:r>
        <w:rPr>
          <w:color w:val="231F20"/>
          <w:sz w:val="19"/>
        </w:rPr>
        <w:t>The</w:t>
      </w:r>
      <w:r>
        <w:rPr>
          <w:color w:val="231F20"/>
          <w:spacing w:val="-12"/>
          <w:sz w:val="19"/>
        </w:rPr>
        <w:t> </w:t>
      </w:r>
      <w:r>
        <w:rPr>
          <w:color w:val="231F20"/>
          <w:sz w:val="19"/>
        </w:rPr>
        <w:t>power</w:t>
      </w:r>
      <w:r>
        <w:rPr>
          <w:color w:val="231F20"/>
          <w:spacing w:val="-11"/>
          <w:sz w:val="19"/>
        </w:rPr>
        <w:t> </w:t>
      </w:r>
      <w:r>
        <w:rPr>
          <w:color w:val="231F20"/>
          <w:sz w:val="19"/>
        </w:rPr>
        <w:t>to revise the content of unfair terms:</w:t>
      </w:r>
    </w:p>
    <w:p>
      <w:pPr>
        <w:pStyle w:val="BodyText"/>
        <w:spacing w:before="87"/>
      </w:pPr>
    </w:p>
    <w:p>
      <w:pPr>
        <w:spacing w:line="304" w:lineRule="auto" w:before="0"/>
        <w:ind w:left="1438" w:right="868" w:firstLine="0"/>
        <w:jc w:val="both"/>
        <w:rPr>
          <w:sz w:val="18"/>
        </w:rPr>
      </w:pPr>
      <w:r>
        <w:rPr>
          <w:color w:val="231F20"/>
          <w:sz w:val="18"/>
        </w:rPr>
        <w:t>would</w:t>
      </w:r>
      <w:r>
        <w:rPr>
          <w:color w:val="231F20"/>
          <w:spacing w:val="-11"/>
          <w:sz w:val="18"/>
        </w:rPr>
        <w:t> </w:t>
      </w:r>
      <w:r>
        <w:rPr>
          <w:color w:val="231F20"/>
          <w:sz w:val="18"/>
        </w:rPr>
        <w:t>contribute</w:t>
      </w:r>
      <w:r>
        <w:rPr>
          <w:color w:val="231F20"/>
          <w:spacing w:val="-11"/>
          <w:sz w:val="18"/>
        </w:rPr>
        <w:t> </w:t>
      </w:r>
      <w:r>
        <w:rPr>
          <w:color w:val="231F20"/>
          <w:sz w:val="18"/>
        </w:rPr>
        <w:t>to</w:t>
      </w:r>
      <w:r>
        <w:rPr>
          <w:color w:val="231F20"/>
          <w:spacing w:val="-11"/>
          <w:sz w:val="18"/>
        </w:rPr>
        <w:t> </w:t>
      </w:r>
      <w:r>
        <w:rPr>
          <w:color w:val="231F20"/>
          <w:sz w:val="18"/>
        </w:rPr>
        <w:t>eliminating</w:t>
      </w:r>
      <w:r>
        <w:rPr>
          <w:color w:val="231F20"/>
          <w:spacing w:val="-11"/>
          <w:sz w:val="18"/>
        </w:rPr>
        <w:t> </w:t>
      </w:r>
      <w:r>
        <w:rPr>
          <w:color w:val="231F20"/>
          <w:sz w:val="18"/>
        </w:rPr>
        <w:t>the</w:t>
      </w:r>
      <w:r>
        <w:rPr>
          <w:color w:val="231F20"/>
          <w:spacing w:val="-11"/>
          <w:sz w:val="18"/>
        </w:rPr>
        <w:t> </w:t>
      </w:r>
      <w:r>
        <w:rPr>
          <w:color w:val="231F20"/>
          <w:sz w:val="18"/>
        </w:rPr>
        <w:t>dissuasive</w:t>
      </w:r>
      <w:r>
        <w:rPr>
          <w:color w:val="231F20"/>
          <w:spacing w:val="-11"/>
          <w:sz w:val="18"/>
        </w:rPr>
        <w:t> </w:t>
      </w:r>
      <w:r>
        <w:rPr>
          <w:color w:val="231F20"/>
          <w:sz w:val="18"/>
        </w:rPr>
        <w:t>effect</w:t>
      </w:r>
      <w:r>
        <w:rPr>
          <w:color w:val="231F20"/>
          <w:spacing w:val="-10"/>
          <w:sz w:val="18"/>
        </w:rPr>
        <w:t> </w:t>
      </w:r>
      <w:r>
        <w:rPr>
          <w:color w:val="231F20"/>
          <w:sz w:val="18"/>
        </w:rPr>
        <w:t>on</w:t>
      </w:r>
      <w:r>
        <w:rPr>
          <w:color w:val="231F20"/>
          <w:spacing w:val="-11"/>
          <w:sz w:val="18"/>
        </w:rPr>
        <w:t> </w:t>
      </w:r>
      <w:r>
        <w:rPr>
          <w:color w:val="231F20"/>
          <w:sz w:val="18"/>
        </w:rPr>
        <w:t>sellers</w:t>
      </w:r>
      <w:r>
        <w:rPr>
          <w:color w:val="231F20"/>
          <w:spacing w:val="-11"/>
          <w:sz w:val="18"/>
        </w:rPr>
        <w:t> </w:t>
      </w:r>
      <w:r>
        <w:rPr>
          <w:color w:val="231F20"/>
          <w:sz w:val="18"/>
        </w:rPr>
        <w:t>or</w:t>
      </w:r>
      <w:r>
        <w:rPr>
          <w:color w:val="231F20"/>
          <w:spacing w:val="-11"/>
          <w:sz w:val="18"/>
        </w:rPr>
        <w:t> </w:t>
      </w:r>
      <w:r>
        <w:rPr>
          <w:color w:val="231F20"/>
          <w:sz w:val="18"/>
        </w:rPr>
        <w:t>suppliers</w:t>
      </w:r>
      <w:r>
        <w:rPr>
          <w:color w:val="231F20"/>
          <w:spacing w:val="-11"/>
          <w:sz w:val="18"/>
        </w:rPr>
        <w:t> </w:t>
      </w:r>
      <w:r>
        <w:rPr>
          <w:color w:val="231F20"/>
          <w:sz w:val="18"/>
        </w:rPr>
        <w:t>(</w:t>
      </w:r>
      <w:r>
        <w:rPr>
          <w:rFonts w:ascii="Arial" w:hAnsi="Arial"/>
          <w:color w:val="231F20"/>
          <w:sz w:val="18"/>
        </w:rPr>
        <w:t>…</w:t>
      </w:r>
      <w:r>
        <w:rPr>
          <w:color w:val="231F20"/>
          <w:sz w:val="18"/>
        </w:rPr>
        <w:t>), </w:t>
      </w:r>
      <w:r>
        <w:rPr>
          <w:color w:val="231F20"/>
          <w:spacing w:val="-2"/>
          <w:sz w:val="18"/>
        </w:rPr>
        <w:t>in</w:t>
      </w:r>
      <w:r>
        <w:rPr>
          <w:color w:val="231F20"/>
          <w:spacing w:val="-5"/>
          <w:sz w:val="18"/>
        </w:rPr>
        <w:t> </w:t>
      </w:r>
      <w:r>
        <w:rPr>
          <w:color w:val="231F20"/>
          <w:spacing w:val="-2"/>
          <w:sz w:val="18"/>
        </w:rPr>
        <w:t>so</w:t>
      </w:r>
      <w:r>
        <w:rPr>
          <w:color w:val="231F20"/>
          <w:spacing w:val="-5"/>
          <w:sz w:val="18"/>
        </w:rPr>
        <w:t> </w:t>
      </w:r>
      <w:r>
        <w:rPr>
          <w:color w:val="231F20"/>
          <w:spacing w:val="-2"/>
          <w:sz w:val="18"/>
        </w:rPr>
        <w:t>far</w:t>
      </w:r>
      <w:r>
        <w:rPr>
          <w:color w:val="231F20"/>
          <w:spacing w:val="-5"/>
          <w:sz w:val="18"/>
        </w:rPr>
        <w:t> </w:t>
      </w:r>
      <w:r>
        <w:rPr>
          <w:color w:val="231F20"/>
          <w:spacing w:val="-2"/>
          <w:sz w:val="18"/>
        </w:rPr>
        <w:t>as</w:t>
      </w:r>
      <w:r>
        <w:rPr>
          <w:color w:val="231F20"/>
          <w:spacing w:val="-4"/>
          <w:sz w:val="18"/>
        </w:rPr>
        <w:t> </w:t>
      </w:r>
      <w:r>
        <w:rPr>
          <w:color w:val="231F20"/>
          <w:spacing w:val="-2"/>
          <w:sz w:val="18"/>
        </w:rPr>
        <w:t>those</w:t>
      </w:r>
      <w:r>
        <w:rPr>
          <w:color w:val="231F20"/>
          <w:spacing w:val="-5"/>
          <w:sz w:val="18"/>
        </w:rPr>
        <w:t> </w:t>
      </w:r>
      <w:r>
        <w:rPr>
          <w:color w:val="231F20"/>
          <w:spacing w:val="-2"/>
          <w:sz w:val="18"/>
        </w:rPr>
        <w:t>sellers</w:t>
      </w:r>
      <w:r>
        <w:rPr>
          <w:color w:val="231F20"/>
          <w:spacing w:val="-5"/>
          <w:sz w:val="18"/>
        </w:rPr>
        <w:t> </w:t>
      </w:r>
      <w:r>
        <w:rPr>
          <w:color w:val="231F20"/>
          <w:spacing w:val="-2"/>
          <w:sz w:val="18"/>
        </w:rPr>
        <w:t>or</w:t>
      </w:r>
      <w:r>
        <w:rPr>
          <w:color w:val="231F20"/>
          <w:spacing w:val="-4"/>
          <w:sz w:val="18"/>
        </w:rPr>
        <w:t> </w:t>
      </w:r>
      <w:r>
        <w:rPr>
          <w:color w:val="231F20"/>
          <w:spacing w:val="-2"/>
          <w:sz w:val="18"/>
        </w:rPr>
        <w:t>suppliers</w:t>
      </w:r>
      <w:r>
        <w:rPr>
          <w:color w:val="231F20"/>
          <w:spacing w:val="-5"/>
          <w:sz w:val="18"/>
        </w:rPr>
        <w:t> </w:t>
      </w:r>
      <w:r>
        <w:rPr>
          <w:color w:val="231F20"/>
          <w:spacing w:val="-2"/>
          <w:sz w:val="18"/>
        </w:rPr>
        <w:t>would</w:t>
      </w:r>
      <w:r>
        <w:rPr>
          <w:color w:val="231F20"/>
          <w:spacing w:val="-6"/>
          <w:sz w:val="18"/>
        </w:rPr>
        <w:t> </w:t>
      </w:r>
      <w:r>
        <w:rPr>
          <w:color w:val="231F20"/>
          <w:spacing w:val="-2"/>
          <w:sz w:val="18"/>
        </w:rPr>
        <w:t>remain</w:t>
      </w:r>
      <w:r>
        <w:rPr>
          <w:color w:val="231F20"/>
          <w:spacing w:val="-5"/>
          <w:sz w:val="18"/>
        </w:rPr>
        <w:t> </w:t>
      </w:r>
      <w:r>
        <w:rPr>
          <w:color w:val="231F20"/>
          <w:spacing w:val="-2"/>
          <w:sz w:val="18"/>
        </w:rPr>
        <w:t>tempted</w:t>
      </w:r>
      <w:r>
        <w:rPr>
          <w:color w:val="231F20"/>
          <w:spacing w:val="-4"/>
          <w:sz w:val="18"/>
        </w:rPr>
        <w:t> </w:t>
      </w:r>
      <w:r>
        <w:rPr>
          <w:color w:val="231F20"/>
          <w:spacing w:val="-2"/>
          <w:sz w:val="18"/>
        </w:rPr>
        <w:t>to</w:t>
      </w:r>
      <w:r>
        <w:rPr>
          <w:color w:val="231F20"/>
          <w:spacing w:val="-5"/>
          <w:sz w:val="18"/>
        </w:rPr>
        <w:t> </w:t>
      </w:r>
      <w:r>
        <w:rPr>
          <w:color w:val="231F20"/>
          <w:spacing w:val="-2"/>
          <w:sz w:val="18"/>
        </w:rPr>
        <w:t>use</w:t>
      </w:r>
      <w:r>
        <w:rPr>
          <w:color w:val="231F20"/>
          <w:spacing w:val="-4"/>
          <w:sz w:val="18"/>
        </w:rPr>
        <w:t> </w:t>
      </w:r>
      <w:r>
        <w:rPr>
          <w:color w:val="231F20"/>
          <w:spacing w:val="-2"/>
          <w:sz w:val="18"/>
        </w:rPr>
        <w:t>those</w:t>
      </w:r>
      <w:r>
        <w:rPr>
          <w:color w:val="231F20"/>
          <w:spacing w:val="-5"/>
          <w:sz w:val="18"/>
        </w:rPr>
        <w:t> </w:t>
      </w:r>
      <w:r>
        <w:rPr>
          <w:color w:val="231F20"/>
          <w:spacing w:val="-2"/>
          <w:sz w:val="18"/>
        </w:rPr>
        <w:t>terms</w:t>
      </w:r>
      <w:r>
        <w:rPr>
          <w:color w:val="231F20"/>
          <w:spacing w:val="-4"/>
          <w:sz w:val="18"/>
        </w:rPr>
        <w:t> </w:t>
      </w:r>
      <w:r>
        <w:rPr>
          <w:color w:val="231F20"/>
          <w:spacing w:val="-2"/>
          <w:sz w:val="18"/>
        </w:rPr>
        <w:t>in </w:t>
      </w:r>
      <w:r>
        <w:rPr>
          <w:color w:val="231F20"/>
          <w:sz w:val="18"/>
        </w:rPr>
        <w:t>the knowledge that, even if they were declared invalid, the contract could nevertheless be modified, to the extent necessary, by the national court in</w:t>
      </w:r>
      <w:r>
        <w:rPr>
          <w:color w:val="231F20"/>
          <w:spacing w:val="80"/>
          <w:sz w:val="18"/>
        </w:rPr>
        <w:t> </w:t>
      </w:r>
      <w:r>
        <w:rPr>
          <w:color w:val="231F20"/>
          <w:sz w:val="18"/>
        </w:rPr>
        <w:t>such a way as to safeguard the interest of those sellers or suppliers.</w:t>
      </w:r>
      <w:r>
        <w:rPr>
          <w:color w:val="231F20"/>
          <w:sz w:val="18"/>
          <w:vertAlign w:val="superscript"/>
        </w:rPr>
        <w:t>97</w:t>
      </w:r>
    </w:p>
    <w:p>
      <w:pPr>
        <w:pStyle w:val="BodyText"/>
        <w:spacing w:before="77"/>
        <w:rPr>
          <w:sz w:val="18"/>
        </w:rPr>
      </w:pPr>
    </w:p>
    <w:p>
      <w:pPr>
        <w:pStyle w:val="BodyText"/>
        <w:spacing w:line="283" w:lineRule="auto"/>
        <w:ind w:left="871" w:right="868"/>
        <w:jc w:val="both"/>
      </w:pPr>
      <w:r>
        <w:rPr>
          <w:color w:val="231F20"/>
          <w:spacing w:val="-2"/>
        </w:rPr>
        <w:t>Such</w:t>
      </w:r>
      <w:r>
        <w:rPr>
          <w:color w:val="231F20"/>
          <w:spacing w:val="-3"/>
        </w:rPr>
        <w:t> </w:t>
      </w:r>
      <w:r>
        <w:rPr>
          <w:color w:val="231F20"/>
          <w:spacing w:val="-2"/>
        </w:rPr>
        <w:t>a</w:t>
      </w:r>
      <w:r>
        <w:rPr>
          <w:color w:val="231F20"/>
          <w:spacing w:val="-3"/>
        </w:rPr>
        <w:t> </w:t>
      </w:r>
      <w:r>
        <w:rPr>
          <w:color w:val="231F20"/>
          <w:spacing w:val="-2"/>
        </w:rPr>
        <w:t>power</w:t>
      </w:r>
      <w:r>
        <w:rPr>
          <w:color w:val="231F20"/>
          <w:spacing w:val="-5"/>
        </w:rPr>
        <w:t> </w:t>
      </w:r>
      <w:r>
        <w:rPr>
          <w:color w:val="231F20"/>
          <w:spacing w:val="-2"/>
        </w:rPr>
        <w:t>would</w:t>
      </w:r>
      <w:r>
        <w:rPr>
          <w:color w:val="231F20"/>
          <w:spacing w:val="-5"/>
        </w:rPr>
        <w:t> </w:t>
      </w:r>
      <w:r>
        <w:rPr>
          <w:rFonts w:ascii="Arial" w:hAnsi="Arial"/>
          <w:color w:val="231F20"/>
          <w:spacing w:val="-2"/>
        </w:rPr>
        <w:t>‘</w:t>
      </w:r>
      <w:r>
        <w:rPr>
          <w:color w:val="231F20"/>
          <w:spacing w:val="-2"/>
        </w:rPr>
        <w:t>compromise</w:t>
      </w:r>
      <w:r>
        <w:rPr>
          <w:color w:val="231F20"/>
          <w:spacing w:val="-5"/>
        </w:rPr>
        <w:t> </w:t>
      </w:r>
      <w:r>
        <w:rPr>
          <w:color w:val="231F20"/>
          <w:spacing w:val="-2"/>
        </w:rPr>
        <w:t>attainment</w:t>
      </w:r>
      <w:r>
        <w:rPr>
          <w:color w:val="231F20"/>
          <w:spacing w:val="-3"/>
        </w:rPr>
        <w:t> </w:t>
      </w:r>
      <w:r>
        <w:rPr>
          <w:color w:val="231F20"/>
          <w:spacing w:val="-2"/>
        </w:rPr>
        <w:t>of the</w:t>
      </w:r>
      <w:r>
        <w:rPr>
          <w:color w:val="231F20"/>
          <w:spacing w:val="-3"/>
        </w:rPr>
        <w:t> </w:t>
      </w:r>
      <w:r>
        <w:rPr>
          <w:color w:val="231F20"/>
          <w:spacing w:val="-2"/>
        </w:rPr>
        <w:t>long-term</w:t>
      </w:r>
      <w:r>
        <w:rPr>
          <w:color w:val="231F20"/>
          <w:spacing w:val="-4"/>
        </w:rPr>
        <w:t> </w:t>
      </w:r>
      <w:r>
        <w:rPr>
          <w:color w:val="231F20"/>
          <w:spacing w:val="-2"/>
        </w:rPr>
        <w:t>objective</w:t>
      </w:r>
      <w:r>
        <w:rPr>
          <w:color w:val="231F20"/>
          <w:spacing w:val="-5"/>
        </w:rPr>
        <w:t> </w:t>
      </w:r>
      <w:r>
        <w:rPr>
          <w:color w:val="231F20"/>
          <w:spacing w:val="-2"/>
        </w:rPr>
        <w:t>of</w:t>
      </w:r>
      <w:r>
        <w:rPr>
          <w:color w:val="231F20"/>
          <w:spacing w:val="-3"/>
        </w:rPr>
        <w:t> </w:t>
      </w:r>
      <w:r>
        <w:rPr>
          <w:color w:val="231F20"/>
          <w:spacing w:val="-2"/>
        </w:rPr>
        <w:t>Article</w:t>
      </w:r>
      <w:r>
        <w:rPr>
          <w:color w:val="231F20"/>
          <w:spacing w:val="-3"/>
        </w:rPr>
        <w:t> </w:t>
      </w:r>
      <w:r>
        <w:rPr>
          <w:color w:val="231F20"/>
          <w:spacing w:val="-2"/>
        </w:rPr>
        <w:t>7 </w:t>
      </w:r>
      <w:r>
        <w:rPr>
          <w:color w:val="231F20"/>
        </w:rPr>
        <w:t>of Directive 93/13</w:t>
      </w:r>
      <w:r>
        <w:rPr>
          <w:rFonts w:ascii="Arial" w:hAnsi="Arial"/>
          <w:color w:val="231F20"/>
        </w:rPr>
        <w:t>’</w:t>
      </w:r>
      <w:r>
        <w:rPr>
          <w:color w:val="231F20"/>
        </w:rPr>
        <w:t>.</w:t>
      </w:r>
      <w:r>
        <w:rPr>
          <w:color w:val="231F20"/>
          <w:vertAlign w:val="superscript"/>
        </w:rPr>
        <w:t>98</w:t>
      </w:r>
    </w:p>
    <w:p>
      <w:pPr>
        <w:pStyle w:val="ListParagraph"/>
        <w:numPr>
          <w:ilvl w:val="0"/>
          <w:numId w:val="4"/>
        </w:numPr>
        <w:tabs>
          <w:tab w:pos="1324" w:val="left" w:leader="none"/>
        </w:tabs>
        <w:spacing w:line="288" w:lineRule="auto" w:before="124" w:after="0"/>
        <w:ind w:left="871" w:right="868" w:firstLine="0"/>
        <w:jc w:val="both"/>
        <w:rPr>
          <w:sz w:val="19"/>
        </w:rPr>
      </w:pPr>
      <w:r>
        <w:rPr>
          <w:color w:val="231F20"/>
          <w:sz w:val="19"/>
        </w:rPr>
        <w:t>Therefore,</w:t>
      </w:r>
      <w:r>
        <w:rPr>
          <w:color w:val="231F20"/>
          <w:spacing w:val="-9"/>
          <w:sz w:val="19"/>
        </w:rPr>
        <w:t> </w:t>
      </w:r>
      <w:r>
        <w:rPr>
          <w:color w:val="231F20"/>
          <w:sz w:val="19"/>
        </w:rPr>
        <w:t>in</w:t>
      </w:r>
      <w:r>
        <w:rPr>
          <w:color w:val="231F20"/>
          <w:spacing w:val="-10"/>
          <w:sz w:val="19"/>
        </w:rPr>
        <w:t> </w:t>
      </w:r>
      <w:r>
        <w:rPr>
          <w:i/>
          <w:color w:val="231F20"/>
          <w:sz w:val="19"/>
        </w:rPr>
        <w:t>Banco</w:t>
      </w:r>
      <w:r>
        <w:rPr>
          <w:i/>
          <w:color w:val="231F20"/>
          <w:spacing w:val="-10"/>
          <w:sz w:val="19"/>
        </w:rPr>
        <w:t> </w:t>
      </w:r>
      <w:r>
        <w:rPr>
          <w:i/>
          <w:color w:val="231F20"/>
          <w:sz w:val="19"/>
        </w:rPr>
        <w:t>Español</w:t>
      </w:r>
      <w:r>
        <w:rPr>
          <w:color w:val="231F20"/>
          <w:sz w:val="19"/>
        </w:rPr>
        <w:t>,</w:t>
      </w:r>
      <w:r>
        <w:rPr>
          <w:color w:val="231F20"/>
          <w:spacing w:val="-10"/>
          <w:sz w:val="19"/>
        </w:rPr>
        <w:t> </w:t>
      </w:r>
      <w:r>
        <w:rPr>
          <w:color w:val="231F20"/>
          <w:sz w:val="19"/>
        </w:rPr>
        <w:t>the</w:t>
      </w:r>
      <w:r>
        <w:rPr>
          <w:color w:val="231F20"/>
          <w:spacing w:val="-10"/>
          <w:sz w:val="19"/>
        </w:rPr>
        <w:t> </w:t>
      </w:r>
      <w:r>
        <w:rPr>
          <w:color w:val="231F20"/>
          <w:sz w:val="19"/>
        </w:rPr>
        <w:t>ECJ</w:t>
      </w:r>
      <w:r>
        <w:rPr>
          <w:color w:val="231F20"/>
          <w:spacing w:val="-10"/>
          <w:sz w:val="19"/>
        </w:rPr>
        <w:t> </w:t>
      </w:r>
      <w:r>
        <w:rPr>
          <w:color w:val="231F20"/>
          <w:sz w:val="19"/>
        </w:rPr>
        <w:t>relied</w:t>
      </w:r>
      <w:r>
        <w:rPr>
          <w:color w:val="231F20"/>
          <w:spacing w:val="-9"/>
          <w:sz w:val="19"/>
        </w:rPr>
        <w:t> </w:t>
      </w:r>
      <w:r>
        <w:rPr>
          <w:color w:val="231F20"/>
          <w:sz w:val="19"/>
        </w:rPr>
        <w:t>on</w:t>
      </w:r>
      <w:r>
        <w:rPr>
          <w:color w:val="231F20"/>
          <w:spacing w:val="-10"/>
          <w:sz w:val="19"/>
        </w:rPr>
        <w:t> </w:t>
      </w:r>
      <w:r>
        <w:rPr>
          <w:color w:val="231F20"/>
          <w:sz w:val="19"/>
        </w:rPr>
        <w:t>the</w:t>
      </w:r>
      <w:r>
        <w:rPr>
          <w:color w:val="231F20"/>
          <w:spacing w:val="-10"/>
          <w:sz w:val="19"/>
        </w:rPr>
        <w:t> </w:t>
      </w:r>
      <w:r>
        <w:rPr>
          <w:color w:val="231F20"/>
          <w:sz w:val="19"/>
        </w:rPr>
        <w:t>dissuasive</w:t>
      </w:r>
      <w:r>
        <w:rPr>
          <w:color w:val="231F20"/>
          <w:spacing w:val="-11"/>
          <w:sz w:val="19"/>
        </w:rPr>
        <w:t> </w:t>
      </w:r>
      <w:r>
        <w:rPr>
          <w:color w:val="231F20"/>
          <w:sz w:val="19"/>
        </w:rPr>
        <w:t>aims</w:t>
      </w:r>
      <w:r>
        <w:rPr>
          <w:color w:val="231F20"/>
          <w:spacing w:val="-9"/>
          <w:sz w:val="19"/>
        </w:rPr>
        <w:t> </w:t>
      </w:r>
      <w:r>
        <w:rPr>
          <w:color w:val="231F20"/>
          <w:sz w:val="19"/>
        </w:rPr>
        <w:t>of</w:t>
      </w:r>
      <w:r>
        <w:rPr>
          <w:color w:val="231F20"/>
          <w:spacing w:val="-9"/>
          <w:sz w:val="19"/>
        </w:rPr>
        <w:t> </w:t>
      </w:r>
      <w:r>
        <w:rPr>
          <w:color w:val="231F20"/>
          <w:sz w:val="19"/>
        </w:rPr>
        <w:t>Article 6(1) UCTD, in combination with Article 7(1) UCTD, to exclude the possibility </w:t>
      </w:r>
      <w:r>
        <w:rPr>
          <w:color w:val="231F20"/>
          <w:sz w:val="19"/>
        </w:rPr>
        <w:t>of courts</w:t>
      </w:r>
      <w:r>
        <w:rPr>
          <w:color w:val="231F20"/>
          <w:spacing w:val="-11"/>
          <w:sz w:val="19"/>
        </w:rPr>
        <w:t> </w:t>
      </w:r>
      <w:r>
        <w:rPr>
          <w:color w:val="231F20"/>
          <w:sz w:val="19"/>
        </w:rPr>
        <w:t>revising</w:t>
      </w:r>
      <w:r>
        <w:rPr>
          <w:color w:val="231F20"/>
          <w:spacing w:val="-11"/>
          <w:sz w:val="19"/>
        </w:rPr>
        <w:t> </w:t>
      </w:r>
      <w:r>
        <w:rPr>
          <w:color w:val="231F20"/>
          <w:sz w:val="19"/>
        </w:rPr>
        <w:t>contracts.</w:t>
      </w:r>
      <w:r>
        <w:rPr>
          <w:color w:val="231F20"/>
          <w:spacing w:val="-11"/>
          <w:sz w:val="19"/>
        </w:rPr>
        <w:t> </w:t>
      </w:r>
      <w:r>
        <w:rPr>
          <w:color w:val="231F20"/>
          <w:sz w:val="19"/>
        </w:rPr>
        <w:t>For</w:t>
      </w:r>
      <w:r>
        <w:rPr>
          <w:color w:val="231F20"/>
          <w:spacing w:val="-12"/>
          <w:sz w:val="19"/>
        </w:rPr>
        <w:t> </w:t>
      </w:r>
      <w:r>
        <w:rPr>
          <w:color w:val="231F20"/>
          <w:sz w:val="19"/>
        </w:rPr>
        <w:t>the</w:t>
      </w:r>
      <w:r>
        <w:rPr>
          <w:color w:val="231F20"/>
          <w:spacing w:val="-10"/>
          <w:sz w:val="19"/>
        </w:rPr>
        <w:t> </w:t>
      </w:r>
      <w:r>
        <w:rPr>
          <w:color w:val="231F20"/>
          <w:sz w:val="19"/>
        </w:rPr>
        <w:t>same</w:t>
      </w:r>
      <w:r>
        <w:rPr>
          <w:color w:val="231F20"/>
          <w:spacing w:val="-11"/>
          <w:sz w:val="19"/>
        </w:rPr>
        <w:t> </w:t>
      </w:r>
      <w:r>
        <w:rPr>
          <w:color w:val="231F20"/>
          <w:sz w:val="19"/>
        </w:rPr>
        <w:t>reasons,</w:t>
      </w:r>
      <w:r>
        <w:rPr>
          <w:color w:val="231F20"/>
          <w:spacing w:val="-12"/>
          <w:sz w:val="19"/>
        </w:rPr>
        <w:t> </w:t>
      </w:r>
      <w:r>
        <w:rPr>
          <w:color w:val="231F20"/>
          <w:sz w:val="19"/>
        </w:rPr>
        <w:t>this</w:t>
      </w:r>
      <w:r>
        <w:rPr>
          <w:color w:val="231F20"/>
          <w:spacing w:val="-10"/>
          <w:sz w:val="19"/>
        </w:rPr>
        <w:t> </w:t>
      </w:r>
      <w:r>
        <w:rPr>
          <w:color w:val="231F20"/>
          <w:sz w:val="19"/>
        </w:rPr>
        <w:t>rule</w:t>
      </w:r>
      <w:r>
        <w:rPr>
          <w:color w:val="231F20"/>
          <w:spacing w:val="-11"/>
          <w:sz w:val="19"/>
        </w:rPr>
        <w:t> </w:t>
      </w:r>
      <w:r>
        <w:rPr>
          <w:color w:val="231F20"/>
          <w:sz w:val="19"/>
        </w:rPr>
        <w:t>also</w:t>
      </w:r>
      <w:r>
        <w:rPr>
          <w:color w:val="231F20"/>
          <w:spacing w:val="-12"/>
          <w:sz w:val="19"/>
        </w:rPr>
        <w:t> </w:t>
      </w:r>
      <w:r>
        <w:rPr>
          <w:color w:val="231F20"/>
          <w:sz w:val="19"/>
        </w:rPr>
        <w:t>prevents</w:t>
      </w:r>
      <w:r>
        <w:rPr>
          <w:color w:val="231F20"/>
          <w:spacing w:val="-11"/>
          <w:sz w:val="19"/>
        </w:rPr>
        <w:t> </w:t>
      </w:r>
      <w:r>
        <w:rPr>
          <w:color w:val="231F20"/>
          <w:sz w:val="19"/>
        </w:rPr>
        <w:t>courts</w:t>
      </w:r>
      <w:r>
        <w:rPr>
          <w:color w:val="231F20"/>
          <w:spacing w:val="-12"/>
          <w:sz w:val="19"/>
        </w:rPr>
        <w:t> </w:t>
      </w:r>
      <w:r>
        <w:rPr>
          <w:color w:val="231F20"/>
          <w:sz w:val="19"/>
        </w:rPr>
        <w:t>from maintaining</w:t>
      </w:r>
      <w:r>
        <w:rPr>
          <w:color w:val="231F20"/>
          <w:spacing w:val="-7"/>
          <w:sz w:val="19"/>
        </w:rPr>
        <w:t> </w:t>
      </w:r>
      <w:r>
        <w:rPr>
          <w:color w:val="231F20"/>
          <w:sz w:val="19"/>
        </w:rPr>
        <w:t>the</w:t>
      </w:r>
      <w:r>
        <w:rPr>
          <w:color w:val="231F20"/>
          <w:spacing w:val="-7"/>
          <w:sz w:val="19"/>
        </w:rPr>
        <w:t> </w:t>
      </w:r>
      <w:r>
        <w:rPr>
          <w:color w:val="231F20"/>
          <w:sz w:val="19"/>
        </w:rPr>
        <w:t>untainted</w:t>
      </w:r>
      <w:r>
        <w:rPr>
          <w:color w:val="231F20"/>
          <w:spacing w:val="-7"/>
          <w:sz w:val="19"/>
        </w:rPr>
        <w:t> </w:t>
      </w:r>
      <w:r>
        <w:rPr>
          <w:color w:val="231F20"/>
          <w:sz w:val="19"/>
        </w:rPr>
        <w:t>parts</w:t>
      </w:r>
      <w:r>
        <w:rPr>
          <w:color w:val="231F20"/>
          <w:spacing w:val="-7"/>
          <w:sz w:val="19"/>
        </w:rPr>
        <w:t> </w:t>
      </w:r>
      <w:r>
        <w:rPr>
          <w:color w:val="231F20"/>
          <w:sz w:val="19"/>
        </w:rPr>
        <w:t>of</w:t>
      </w:r>
      <w:r>
        <w:rPr>
          <w:color w:val="231F20"/>
          <w:spacing w:val="-7"/>
          <w:sz w:val="19"/>
        </w:rPr>
        <w:t> </w:t>
      </w:r>
      <w:r>
        <w:rPr>
          <w:color w:val="231F20"/>
          <w:sz w:val="19"/>
        </w:rPr>
        <w:t>unfair</w:t>
      </w:r>
      <w:r>
        <w:rPr>
          <w:color w:val="231F20"/>
          <w:spacing w:val="-8"/>
          <w:sz w:val="19"/>
        </w:rPr>
        <w:t> </w:t>
      </w:r>
      <w:r>
        <w:rPr>
          <w:color w:val="231F20"/>
          <w:sz w:val="19"/>
        </w:rPr>
        <w:t>terms,</w:t>
      </w:r>
      <w:r>
        <w:rPr>
          <w:color w:val="231F20"/>
          <w:spacing w:val="-7"/>
          <w:sz w:val="19"/>
        </w:rPr>
        <w:t> </w:t>
      </w:r>
      <w:r>
        <w:rPr>
          <w:color w:val="231F20"/>
          <w:sz w:val="19"/>
        </w:rPr>
        <w:t>as</w:t>
      </w:r>
      <w:r>
        <w:rPr>
          <w:color w:val="231F20"/>
          <w:spacing w:val="-8"/>
          <w:sz w:val="19"/>
        </w:rPr>
        <w:t> </w:t>
      </w:r>
      <w:r>
        <w:rPr>
          <w:color w:val="231F20"/>
          <w:sz w:val="19"/>
        </w:rPr>
        <w:t>confirmed</w:t>
      </w:r>
      <w:r>
        <w:rPr>
          <w:color w:val="231F20"/>
          <w:spacing w:val="-7"/>
          <w:sz w:val="19"/>
        </w:rPr>
        <w:t> </w:t>
      </w:r>
      <w:r>
        <w:rPr>
          <w:color w:val="231F20"/>
          <w:sz w:val="19"/>
        </w:rPr>
        <w:t>by</w:t>
      </w:r>
      <w:r>
        <w:rPr>
          <w:color w:val="231F20"/>
          <w:spacing w:val="-7"/>
          <w:sz w:val="19"/>
        </w:rPr>
        <w:t> </w:t>
      </w:r>
      <w:r>
        <w:rPr>
          <w:color w:val="231F20"/>
          <w:sz w:val="19"/>
        </w:rPr>
        <w:t>the</w:t>
      </w:r>
      <w:r>
        <w:rPr>
          <w:color w:val="231F20"/>
          <w:spacing w:val="-7"/>
          <w:sz w:val="19"/>
        </w:rPr>
        <w:t> </w:t>
      </w:r>
      <w:r>
        <w:rPr>
          <w:color w:val="231F20"/>
          <w:sz w:val="19"/>
        </w:rPr>
        <w:t>ECJ</w:t>
      </w:r>
      <w:r>
        <w:rPr>
          <w:color w:val="231F20"/>
          <w:spacing w:val="-8"/>
          <w:sz w:val="19"/>
        </w:rPr>
        <w:t> </w:t>
      </w:r>
      <w:r>
        <w:rPr>
          <w:color w:val="231F20"/>
          <w:sz w:val="19"/>
        </w:rPr>
        <w:t>decision in joined Cases C-70/17 and 179/17, </w:t>
      </w:r>
      <w:r>
        <w:rPr>
          <w:i/>
          <w:color w:val="231F20"/>
          <w:sz w:val="19"/>
        </w:rPr>
        <w:t>Abanca.</w:t>
      </w:r>
      <w:r>
        <w:rPr>
          <w:color w:val="231F20"/>
          <w:sz w:val="19"/>
          <w:vertAlign w:val="superscript"/>
        </w:rPr>
        <w:t>99</w:t>
      </w:r>
      <w:r>
        <w:rPr>
          <w:color w:val="231F20"/>
          <w:sz w:val="19"/>
          <w:vertAlign w:val="baseline"/>
        </w:rPr>
        <w:t> The elimination of an unfair term creates a gap that, in principle, must be left.</w:t>
      </w:r>
    </w:p>
    <w:p>
      <w:pPr>
        <w:pStyle w:val="BodyText"/>
        <w:spacing w:before="74"/>
      </w:pPr>
    </w:p>
    <w:p>
      <w:pPr>
        <w:pStyle w:val="Heading2"/>
        <w:numPr>
          <w:ilvl w:val="1"/>
          <w:numId w:val="1"/>
        </w:numPr>
        <w:tabs>
          <w:tab w:pos="848" w:val="left" w:leader="none"/>
        </w:tabs>
        <w:spacing w:line="240" w:lineRule="auto" w:before="1" w:after="0"/>
        <w:ind w:left="848" w:right="0" w:hanging="545"/>
        <w:jc w:val="left"/>
        <w:rPr>
          <w:i/>
        </w:rPr>
      </w:pPr>
      <w:r>
        <w:rPr>
          <w:i/>
          <w:color w:val="231F20"/>
          <w:w w:val="105"/>
        </w:rPr>
        <w:t>No</w:t>
      </w:r>
      <w:r>
        <w:rPr>
          <w:i/>
          <w:color w:val="231F20"/>
          <w:spacing w:val="5"/>
          <w:w w:val="105"/>
        </w:rPr>
        <w:t> </w:t>
      </w:r>
      <w:r>
        <w:rPr>
          <w:i/>
          <w:color w:val="231F20"/>
          <w:w w:val="105"/>
        </w:rPr>
        <w:t>Gap-Filling</w:t>
      </w:r>
      <w:r>
        <w:rPr>
          <w:i/>
          <w:color w:val="231F20"/>
          <w:spacing w:val="4"/>
          <w:w w:val="105"/>
        </w:rPr>
        <w:t> </w:t>
      </w:r>
      <w:r>
        <w:rPr>
          <w:i/>
          <w:color w:val="231F20"/>
          <w:w w:val="105"/>
        </w:rPr>
        <w:t>as</w:t>
      </w:r>
      <w:r>
        <w:rPr>
          <w:i/>
          <w:color w:val="231F20"/>
          <w:spacing w:val="6"/>
          <w:w w:val="105"/>
        </w:rPr>
        <w:t> </w:t>
      </w:r>
      <w:r>
        <w:rPr>
          <w:i/>
          <w:color w:val="231F20"/>
          <w:w w:val="105"/>
        </w:rPr>
        <w:t>a</w:t>
      </w:r>
      <w:r>
        <w:rPr>
          <w:i/>
          <w:color w:val="231F20"/>
          <w:spacing w:val="5"/>
          <w:w w:val="105"/>
        </w:rPr>
        <w:t> </w:t>
      </w:r>
      <w:r>
        <w:rPr>
          <w:i/>
          <w:color w:val="231F20"/>
          <w:spacing w:val="-2"/>
          <w:w w:val="105"/>
        </w:rPr>
        <w:t>Sanction</w:t>
      </w:r>
    </w:p>
    <w:p>
      <w:pPr>
        <w:pStyle w:val="ListParagraph"/>
        <w:numPr>
          <w:ilvl w:val="0"/>
          <w:numId w:val="4"/>
        </w:numPr>
        <w:tabs>
          <w:tab w:pos="1324" w:val="left" w:leader="none"/>
        </w:tabs>
        <w:spacing w:line="288" w:lineRule="auto" w:before="166" w:after="0"/>
        <w:ind w:left="871" w:right="868" w:firstLine="0"/>
        <w:jc w:val="both"/>
        <w:rPr>
          <w:sz w:val="19"/>
        </w:rPr>
      </w:pPr>
      <w:r>
        <w:rPr>
          <w:color w:val="231F20"/>
          <w:sz w:val="19"/>
        </w:rPr>
        <w:t>This</w:t>
      </w:r>
      <w:r>
        <w:rPr>
          <w:color w:val="231F20"/>
          <w:spacing w:val="-5"/>
          <w:sz w:val="19"/>
        </w:rPr>
        <w:t> </w:t>
      </w:r>
      <w:r>
        <w:rPr>
          <w:color w:val="231F20"/>
          <w:sz w:val="19"/>
        </w:rPr>
        <w:t>subsection</w:t>
      </w:r>
      <w:r>
        <w:rPr>
          <w:color w:val="231F20"/>
          <w:spacing w:val="-7"/>
          <w:sz w:val="19"/>
        </w:rPr>
        <w:t> </w:t>
      </w:r>
      <w:r>
        <w:rPr>
          <w:color w:val="231F20"/>
          <w:sz w:val="19"/>
        </w:rPr>
        <w:t>presents</w:t>
      </w:r>
      <w:r>
        <w:rPr>
          <w:color w:val="231F20"/>
          <w:spacing w:val="-5"/>
          <w:sz w:val="19"/>
        </w:rPr>
        <w:t> </w:t>
      </w:r>
      <w:r>
        <w:rPr>
          <w:color w:val="231F20"/>
          <w:sz w:val="19"/>
        </w:rPr>
        <w:t>the</w:t>
      </w:r>
      <w:r>
        <w:rPr>
          <w:color w:val="231F20"/>
          <w:spacing w:val="-5"/>
          <w:sz w:val="19"/>
        </w:rPr>
        <w:t> </w:t>
      </w:r>
      <w:r>
        <w:rPr>
          <w:color w:val="231F20"/>
          <w:sz w:val="19"/>
        </w:rPr>
        <w:t>claim</w:t>
      </w:r>
      <w:r>
        <w:rPr>
          <w:color w:val="231F20"/>
          <w:spacing w:val="-5"/>
          <w:sz w:val="19"/>
        </w:rPr>
        <w:t> </w:t>
      </w:r>
      <w:r>
        <w:rPr>
          <w:color w:val="231F20"/>
          <w:sz w:val="19"/>
        </w:rPr>
        <w:t>that</w:t>
      </w:r>
      <w:r>
        <w:rPr>
          <w:color w:val="231F20"/>
          <w:spacing w:val="-6"/>
          <w:sz w:val="19"/>
        </w:rPr>
        <w:t> </w:t>
      </w:r>
      <w:r>
        <w:rPr>
          <w:color w:val="231F20"/>
          <w:sz w:val="19"/>
        </w:rPr>
        <w:t>the</w:t>
      </w:r>
      <w:r>
        <w:rPr>
          <w:color w:val="231F20"/>
          <w:spacing w:val="-5"/>
          <w:sz w:val="19"/>
        </w:rPr>
        <w:t> </w:t>
      </w:r>
      <w:r>
        <w:rPr>
          <w:color w:val="231F20"/>
          <w:sz w:val="19"/>
        </w:rPr>
        <w:t>interpretation</w:t>
      </w:r>
      <w:r>
        <w:rPr>
          <w:color w:val="231F20"/>
          <w:spacing w:val="-5"/>
          <w:sz w:val="19"/>
        </w:rPr>
        <w:t> </w:t>
      </w:r>
      <w:r>
        <w:rPr>
          <w:color w:val="231F20"/>
          <w:sz w:val="19"/>
        </w:rPr>
        <w:t>of</w:t>
      </w:r>
      <w:r>
        <w:rPr>
          <w:color w:val="231F20"/>
          <w:spacing w:val="-2"/>
          <w:sz w:val="19"/>
        </w:rPr>
        <w:t> </w:t>
      </w:r>
      <w:r>
        <w:rPr>
          <w:color w:val="231F20"/>
          <w:sz w:val="19"/>
        </w:rPr>
        <w:t>the</w:t>
      </w:r>
      <w:r>
        <w:rPr>
          <w:color w:val="231F20"/>
          <w:spacing w:val="-5"/>
          <w:sz w:val="19"/>
        </w:rPr>
        <w:t> </w:t>
      </w:r>
      <w:r>
        <w:rPr>
          <w:color w:val="231F20"/>
          <w:sz w:val="19"/>
        </w:rPr>
        <w:t>ECJ</w:t>
      </w:r>
      <w:r>
        <w:rPr>
          <w:color w:val="231F20"/>
          <w:spacing w:val="-5"/>
          <w:sz w:val="19"/>
        </w:rPr>
        <w:t> </w:t>
      </w:r>
      <w:r>
        <w:rPr>
          <w:color w:val="231F20"/>
          <w:sz w:val="19"/>
        </w:rPr>
        <w:t>in</w:t>
      </w:r>
      <w:r>
        <w:rPr>
          <w:color w:val="231F20"/>
          <w:spacing w:val="-5"/>
          <w:sz w:val="19"/>
        </w:rPr>
        <w:t> </w:t>
      </w:r>
      <w:r>
        <w:rPr>
          <w:color w:val="231F20"/>
          <w:sz w:val="19"/>
        </w:rPr>
        <w:t>Case C-618/10,</w:t>
      </w:r>
      <w:r>
        <w:rPr>
          <w:color w:val="231F20"/>
          <w:spacing w:val="-1"/>
          <w:sz w:val="19"/>
        </w:rPr>
        <w:t> </w:t>
      </w:r>
      <w:r>
        <w:rPr>
          <w:i/>
          <w:color w:val="231F20"/>
          <w:sz w:val="19"/>
        </w:rPr>
        <w:t>Banco Español</w:t>
      </w:r>
      <w:r>
        <w:rPr>
          <w:i/>
          <w:color w:val="231F20"/>
          <w:spacing w:val="-1"/>
          <w:sz w:val="19"/>
        </w:rPr>
        <w:t> </w:t>
      </w:r>
      <w:r>
        <w:rPr>
          <w:color w:val="231F20"/>
          <w:sz w:val="19"/>
        </w:rPr>
        <w:t>entails</w:t>
      </w:r>
      <w:r>
        <w:rPr>
          <w:color w:val="231F20"/>
          <w:spacing w:val="-1"/>
          <w:sz w:val="19"/>
        </w:rPr>
        <w:t> </w:t>
      </w:r>
      <w:r>
        <w:rPr>
          <w:color w:val="231F20"/>
          <w:sz w:val="19"/>
        </w:rPr>
        <w:t>a private law sanction.</w:t>
      </w:r>
      <w:r>
        <w:rPr>
          <w:color w:val="231F20"/>
          <w:spacing w:val="-1"/>
          <w:sz w:val="19"/>
        </w:rPr>
        <w:t> </w:t>
      </w:r>
      <w:r>
        <w:rPr>
          <w:color w:val="231F20"/>
          <w:sz w:val="19"/>
        </w:rPr>
        <w:t>The topic</w:t>
      </w:r>
      <w:r>
        <w:rPr>
          <w:color w:val="231F20"/>
          <w:spacing w:val="-1"/>
          <w:sz w:val="19"/>
        </w:rPr>
        <w:t> </w:t>
      </w:r>
      <w:r>
        <w:rPr>
          <w:color w:val="231F20"/>
          <w:sz w:val="19"/>
        </w:rPr>
        <w:t>of sanctions</w:t>
      </w:r>
      <w:r>
        <w:rPr>
          <w:color w:val="231F20"/>
          <w:spacing w:val="-1"/>
          <w:sz w:val="19"/>
        </w:rPr>
        <w:t> </w:t>
      </w:r>
      <w:r>
        <w:rPr>
          <w:color w:val="231F20"/>
          <w:sz w:val="19"/>
        </w:rPr>
        <w:t>in private</w:t>
      </w:r>
      <w:r>
        <w:rPr>
          <w:color w:val="231F20"/>
          <w:spacing w:val="-12"/>
          <w:sz w:val="19"/>
        </w:rPr>
        <w:t> </w:t>
      </w:r>
      <w:r>
        <w:rPr>
          <w:color w:val="231F20"/>
          <w:sz w:val="19"/>
        </w:rPr>
        <w:t>law,</w:t>
      </w:r>
      <w:r>
        <w:rPr>
          <w:color w:val="231F20"/>
          <w:spacing w:val="-11"/>
          <w:sz w:val="19"/>
        </w:rPr>
        <w:t> </w:t>
      </w:r>
      <w:r>
        <w:rPr>
          <w:color w:val="231F20"/>
          <w:sz w:val="19"/>
        </w:rPr>
        <w:t>whether</w:t>
      </w:r>
      <w:r>
        <w:rPr>
          <w:color w:val="231F20"/>
          <w:spacing w:val="-12"/>
          <w:sz w:val="19"/>
        </w:rPr>
        <w:t> </w:t>
      </w:r>
      <w:r>
        <w:rPr>
          <w:color w:val="231F20"/>
          <w:sz w:val="19"/>
        </w:rPr>
        <w:t>national</w:t>
      </w:r>
      <w:r>
        <w:rPr>
          <w:color w:val="231F20"/>
          <w:spacing w:val="-11"/>
          <w:sz w:val="19"/>
        </w:rPr>
        <w:t> </w:t>
      </w:r>
      <w:r>
        <w:rPr>
          <w:color w:val="231F20"/>
          <w:sz w:val="19"/>
        </w:rPr>
        <w:t>or</w:t>
      </w:r>
      <w:r>
        <w:rPr>
          <w:color w:val="231F20"/>
          <w:spacing w:val="-12"/>
          <w:sz w:val="19"/>
        </w:rPr>
        <w:t> </w:t>
      </w:r>
      <w:r>
        <w:rPr>
          <w:color w:val="231F20"/>
          <w:sz w:val="19"/>
        </w:rPr>
        <w:t>European,</w:t>
      </w:r>
      <w:r>
        <w:rPr>
          <w:color w:val="231F20"/>
          <w:spacing w:val="-11"/>
          <w:sz w:val="19"/>
        </w:rPr>
        <w:t> </w:t>
      </w:r>
      <w:r>
        <w:rPr>
          <w:color w:val="231F20"/>
          <w:sz w:val="19"/>
        </w:rPr>
        <w:t>remains</w:t>
      </w:r>
      <w:r>
        <w:rPr>
          <w:color w:val="231F20"/>
          <w:spacing w:val="-12"/>
          <w:sz w:val="19"/>
        </w:rPr>
        <w:t> </w:t>
      </w:r>
      <w:r>
        <w:rPr>
          <w:color w:val="231F20"/>
          <w:sz w:val="19"/>
        </w:rPr>
        <w:t>hotly</w:t>
      </w:r>
      <w:r>
        <w:rPr>
          <w:color w:val="231F20"/>
          <w:spacing w:val="-11"/>
          <w:sz w:val="19"/>
        </w:rPr>
        <w:t> </w:t>
      </w:r>
      <w:r>
        <w:rPr>
          <w:color w:val="231F20"/>
          <w:sz w:val="19"/>
        </w:rPr>
        <w:t>debated.</w:t>
      </w:r>
      <w:r>
        <w:rPr>
          <w:color w:val="231F20"/>
          <w:sz w:val="19"/>
          <w:vertAlign w:val="superscript"/>
        </w:rPr>
        <w:t>100</w:t>
      </w:r>
      <w:r>
        <w:rPr>
          <w:color w:val="231F20"/>
          <w:spacing w:val="-12"/>
          <w:sz w:val="19"/>
          <w:vertAlign w:val="baseline"/>
        </w:rPr>
        <w:t> </w:t>
      </w:r>
      <w:r>
        <w:rPr>
          <w:color w:val="231F20"/>
          <w:sz w:val="19"/>
          <w:vertAlign w:val="baseline"/>
        </w:rPr>
        <w:t>My</w:t>
      </w:r>
      <w:r>
        <w:rPr>
          <w:color w:val="231F20"/>
          <w:spacing w:val="-11"/>
          <w:sz w:val="19"/>
          <w:vertAlign w:val="baseline"/>
        </w:rPr>
        <w:t> </w:t>
      </w:r>
      <w:r>
        <w:rPr>
          <w:color w:val="231F20"/>
          <w:sz w:val="19"/>
          <w:vertAlign w:val="baseline"/>
        </w:rPr>
        <w:t>intention </w:t>
      </w:r>
      <w:r>
        <w:rPr>
          <w:color w:val="231F20"/>
          <w:spacing w:val="-2"/>
          <w:sz w:val="19"/>
          <w:vertAlign w:val="baseline"/>
        </w:rPr>
        <w:t>is</w:t>
      </w:r>
      <w:r>
        <w:rPr>
          <w:color w:val="231F20"/>
          <w:spacing w:val="-5"/>
          <w:sz w:val="19"/>
          <w:vertAlign w:val="baseline"/>
        </w:rPr>
        <w:t> </w:t>
      </w:r>
      <w:r>
        <w:rPr>
          <w:color w:val="231F20"/>
          <w:spacing w:val="-2"/>
          <w:sz w:val="19"/>
          <w:vertAlign w:val="baseline"/>
        </w:rPr>
        <w:t>not</w:t>
      </w:r>
      <w:r>
        <w:rPr>
          <w:color w:val="231F20"/>
          <w:spacing w:val="-5"/>
          <w:sz w:val="19"/>
          <w:vertAlign w:val="baseline"/>
        </w:rPr>
        <w:t> </w:t>
      </w:r>
      <w:r>
        <w:rPr>
          <w:color w:val="231F20"/>
          <w:spacing w:val="-2"/>
          <w:sz w:val="19"/>
          <w:vertAlign w:val="baseline"/>
        </w:rPr>
        <w:t>to</w:t>
      </w:r>
      <w:r>
        <w:rPr>
          <w:color w:val="231F20"/>
          <w:spacing w:val="-5"/>
          <w:sz w:val="19"/>
          <w:vertAlign w:val="baseline"/>
        </w:rPr>
        <w:t> </w:t>
      </w:r>
      <w:r>
        <w:rPr>
          <w:color w:val="231F20"/>
          <w:spacing w:val="-2"/>
          <w:sz w:val="19"/>
          <w:vertAlign w:val="baseline"/>
        </w:rPr>
        <w:t>argue</w:t>
      </w:r>
      <w:r>
        <w:rPr>
          <w:color w:val="231F20"/>
          <w:spacing w:val="-6"/>
          <w:sz w:val="19"/>
          <w:vertAlign w:val="baseline"/>
        </w:rPr>
        <w:t> </w:t>
      </w:r>
      <w:r>
        <w:rPr>
          <w:color w:val="231F20"/>
          <w:spacing w:val="-2"/>
          <w:sz w:val="19"/>
          <w:vertAlign w:val="baseline"/>
        </w:rPr>
        <w:t>whether</w:t>
      </w:r>
      <w:r>
        <w:rPr>
          <w:color w:val="231F20"/>
          <w:spacing w:val="-5"/>
          <w:sz w:val="19"/>
          <w:vertAlign w:val="baseline"/>
        </w:rPr>
        <w:t> </w:t>
      </w:r>
      <w:r>
        <w:rPr>
          <w:color w:val="231F20"/>
          <w:spacing w:val="-2"/>
          <w:sz w:val="19"/>
          <w:vertAlign w:val="baseline"/>
        </w:rPr>
        <w:t>private</w:t>
      </w:r>
      <w:r>
        <w:rPr>
          <w:color w:val="231F20"/>
          <w:spacing w:val="-5"/>
          <w:sz w:val="19"/>
          <w:vertAlign w:val="baseline"/>
        </w:rPr>
        <w:t> </w:t>
      </w:r>
      <w:r>
        <w:rPr>
          <w:color w:val="231F20"/>
          <w:spacing w:val="-2"/>
          <w:sz w:val="19"/>
          <w:vertAlign w:val="baseline"/>
        </w:rPr>
        <w:t>law</w:t>
      </w:r>
      <w:r>
        <w:rPr>
          <w:color w:val="231F20"/>
          <w:spacing w:val="-6"/>
          <w:sz w:val="19"/>
          <w:vertAlign w:val="baseline"/>
        </w:rPr>
        <w:t> </w:t>
      </w:r>
      <w:r>
        <w:rPr>
          <w:color w:val="231F20"/>
          <w:spacing w:val="-2"/>
          <w:sz w:val="19"/>
          <w:vertAlign w:val="baseline"/>
        </w:rPr>
        <w:t>should</w:t>
      </w:r>
      <w:r>
        <w:rPr>
          <w:color w:val="231F20"/>
          <w:spacing w:val="-5"/>
          <w:sz w:val="19"/>
          <w:vertAlign w:val="baseline"/>
        </w:rPr>
        <w:t> </w:t>
      </w:r>
      <w:r>
        <w:rPr>
          <w:color w:val="231F20"/>
          <w:spacing w:val="-2"/>
          <w:sz w:val="19"/>
          <w:vertAlign w:val="baseline"/>
        </w:rPr>
        <w:t>contain</w:t>
      </w:r>
      <w:r>
        <w:rPr>
          <w:color w:val="231F20"/>
          <w:spacing w:val="-5"/>
          <w:sz w:val="19"/>
          <w:vertAlign w:val="baseline"/>
        </w:rPr>
        <w:t> </w:t>
      </w:r>
      <w:r>
        <w:rPr>
          <w:color w:val="231F20"/>
          <w:spacing w:val="-2"/>
          <w:sz w:val="19"/>
          <w:vertAlign w:val="baseline"/>
        </w:rPr>
        <w:t>sanctions</w:t>
      </w:r>
      <w:r>
        <w:rPr>
          <w:color w:val="231F20"/>
          <w:spacing w:val="-5"/>
          <w:sz w:val="19"/>
          <w:vertAlign w:val="baseline"/>
        </w:rPr>
        <w:t> </w:t>
      </w:r>
      <w:r>
        <w:rPr>
          <w:color w:val="231F20"/>
          <w:spacing w:val="-2"/>
          <w:sz w:val="19"/>
          <w:vertAlign w:val="baseline"/>
        </w:rPr>
        <w:t>but,</w:t>
      </w:r>
      <w:r>
        <w:rPr>
          <w:color w:val="231F20"/>
          <w:spacing w:val="-5"/>
          <w:sz w:val="19"/>
          <w:vertAlign w:val="baseline"/>
        </w:rPr>
        <w:t> </w:t>
      </w:r>
      <w:r>
        <w:rPr>
          <w:color w:val="231F20"/>
          <w:spacing w:val="-2"/>
          <w:sz w:val="19"/>
          <w:vertAlign w:val="baseline"/>
        </w:rPr>
        <w:t>more</w:t>
      </w:r>
      <w:r>
        <w:rPr>
          <w:color w:val="231F20"/>
          <w:spacing w:val="-5"/>
          <w:sz w:val="19"/>
          <w:vertAlign w:val="baseline"/>
        </w:rPr>
        <w:t> </w:t>
      </w:r>
      <w:r>
        <w:rPr>
          <w:color w:val="231F20"/>
          <w:spacing w:val="-2"/>
          <w:sz w:val="19"/>
          <w:vertAlign w:val="baseline"/>
        </w:rPr>
        <w:t>modestly,</w:t>
      </w:r>
      <w:r>
        <w:rPr>
          <w:color w:val="231F20"/>
          <w:spacing w:val="-5"/>
          <w:sz w:val="19"/>
          <w:vertAlign w:val="baseline"/>
        </w:rPr>
        <w:t> </w:t>
      </w:r>
      <w:r>
        <w:rPr>
          <w:color w:val="231F20"/>
          <w:spacing w:val="-2"/>
          <w:sz w:val="19"/>
          <w:vertAlign w:val="baseline"/>
        </w:rPr>
        <w:t>to </w:t>
      </w:r>
      <w:r>
        <w:rPr>
          <w:color w:val="231F20"/>
          <w:sz w:val="19"/>
          <w:vertAlign w:val="baseline"/>
        </w:rPr>
        <w:t>pinpoint a concrete situation of private punishment under the UCTD.</w:t>
      </w:r>
    </w:p>
    <w:p>
      <w:pPr>
        <w:pStyle w:val="BodyText"/>
        <w:rPr>
          <w:sz w:val="20"/>
        </w:rPr>
      </w:pPr>
    </w:p>
    <w:p>
      <w:pPr>
        <w:pStyle w:val="BodyText"/>
        <w:spacing w:before="93"/>
        <w:rPr>
          <w:sz w:val="20"/>
        </w:rPr>
      </w:pPr>
      <w:r>
        <w:rPr/>
        <mc:AlternateContent>
          <mc:Choice Requires="wps">
            <w:drawing>
              <wp:anchor distT="0" distB="0" distL="0" distR="0" allowOverlap="1" layoutInCell="1" locked="0" behindDoc="1" simplePos="0" relativeHeight="487597056">
                <wp:simplePos x="0" y="0"/>
                <wp:positionH relativeFrom="page">
                  <wp:posOffset>1979993</wp:posOffset>
                </wp:positionH>
                <wp:positionV relativeFrom="paragraph">
                  <wp:posOffset>219024</wp:posOffset>
                </wp:positionV>
                <wp:extent cx="1656080" cy="4445"/>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7.246012pt;width:130.394pt;height:.34015pt;mso-position-horizontal-relative:page;mso-position-vertical-relative:paragraph;z-index:-15719424;mso-wrap-distance-left:0;mso-wrap-distance-right:0" id="docshape21"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65.</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69.</w:t>
      </w:r>
    </w:p>
    <w:p>
      <w:pPr>
        <w:pStyle w:val="ListParagraph"/>
        <w:numPr>
          <w:ilvl w:val="0"/>
          <w:numId w:val="3"/>
        </w:numPr>
        <w:tabs>
          <w:tab w:pos="866" w:val="left" w:leader="none"/>
        </w:tabs>
        <w:spacing w:line="285" w:lineRule="auto" w:before="37" w:after="0"/>
        <w:ind w:left="866" w:right="867" w:hanging="354"/>
        <w:jc w:val="both"/>
        <w:rPr>
          <w:i/>
          <w:sz w:val="16"/>
        </w:rPr>
      </w:pPr>
      <w:r>
        <w:rPr>
          <w:color w:val="231F20"/>
          <w:sz w:val="16"/>
        </w:rPr>
        <w:t>ECJ 26 Mar. 2019, ECLI:EU:C:2019:250, </w:t>
      </w:r>
      <w:r>
        <w:rPr>
          <w:i/>
          <w:color w:val="231F20"/>
          <w:sz w:val="16"/>
        </w:rPr>
        <w:t>Abanca Corporación Bancaria SA </w:t>
      </w:r>
      <w:r>
        <w:rPr>
          <w:color w:val="231F20"/>
          <w:sz w:val="16"/>
        </w:rPr>
        <w:t>v. </w:t>
      </w:r>
      <w:r>
        <w:rPr>
          <w:i/>
          <w:color w:val="231F20"/>
          <w:sz w:val="16"/>
        </w:rPr>
        <w:t>Alberto García</w:t>
      </w:r>
      <w:r>
        <w:rPr>
          <w:i/>
          <w:color w:val="231F20"/>
          <w:spacing w:val="40"/>
          <w:sz w:val="16"/>
        </w:rPr>
        <w:t> </w:t>
      </w:r>
      <w:r>
        <w:rPr>
          <w:i/>
          <w:color w:val="231F20"/>
          <w:sz w:val="16"/>
        </w:rPr>
        <w:t>Salamanca Santos and Bankia SA </w:t>
      </w:r>
      <w:r>
        <w:rPr>
          <w:color w:val="231F20"/>
          <w:sz w:val="16"/>
        </w:rPr>
        <w:t>v. </w:t>
      </w:r>
      <w:r>
        <w:rPr>
          <w:i/>
          <w:color w:val="231F20"/>
          <w:sz w:val="16"/>
        </w:rPr>
        <w:t>Alfonso Antonio Lau Mendoza and Verónica Yuliana</w:t>
      </w:r>
      <w:r>
        <w:rPr>
          <w:i/>
          <w:color w:val="231F20"/>
          <w:spacing w:val="40"/>
          <w:sz w:val="16"/>
        </w:rPr>
        <w:t> </w:t>
      </w:r>
      <w:r>
        <w:rPr>
          <w:i/>
          <w:color w:val="231F20"/>
          <w:sz w:val="16"/>
        </w:rPr>
        <w:t>Rodríguez Ramírez</w:t>
      </w:r>
      <w:r>
        <w:rPr>
          <w:color w:val="231F20"/>
          <w:sz w:val="16"/>
        </w:rPr>
        <w:t>, curia.europa.eu/juris/liste.jsf?num=C-70/17. See F. </w:t>
      </w:r>
      <w:r>
        <w:rPr>
          <w:color w:val="231F20"/>
          <w:sz w:val="11"/>
        </w:rPr>
        <w:t>DE</w:t>
      </w:r>
      <w:r>
        <w:rPr>
          <w:color w:val="231F20"/>
          <w:spacing w:val="40"/>
          <w:sz w:val="11"/>
        </w:rPr>
        <w:t> </w:t>
      </w:r>
      <w:r>
        <w:rPr>
          <w:color w:val="231F20"/>
          <w:sz w:val="16"/>
        </w:rPr>
        <w:t>E</w:t>
      </w:r>
      <w:r>
        <w:rPr>
          <w:color w:val="231F20"/>
          <w:sz w:val="11"/>
        </w:rPr>
        <w:t>LIZALDE</w:t>
      </w:r>
      <w:r>
        <w:rPr>
          <w:color w:val="231F20"/>
          <w:sz w:val="16"/>
        </w:rPr>
        <w:t>, </w:t>
      </w:r>
      <w:r>
        <w:rPr>
          <w:rFonts w:ascii="Arial" w:hAnsi="Arial"/>
          <w:color w:val="231F20"/>
          <w:sz w:val="16"/>
        </w:rPr>
        <w:t>‘</w:t>
      </w:r>
      <w:r>
        <w:rPr>
          <w:color w:val="231F20"/>
          <w:sz w:val="16"/>
        </w:rPr>
        <w:t>Partial</w:t>
      </w:r>
      <w:r>
        <w:rPr>
          <w:color w:val="231F20"/>
          <w:spacing w:val="40"/>
          <w:sz w:val="16"/>
        </w:rPr>
        <w:t> </w:t>
      </w:r>
      <w:r>
        <w:rPr>
          <w:color w:val="231F20"/>
          <w:sz w:val="16"/>
        </w:rPr>
        <w:t>Invalidity for Unfair Terms? ECJ in Abanca </w:t>
      </w:r>
      <w:r>
        <w:rPr>
          <w:rFonts w:ascii="Arial" w:hAnsi="Arial"/>
          <w:color w:val="231F20"/>
          <w:sz w:val="16"/>
        </w:rPr>
        <w:t>– </w:t>
      </w:r>
      <w:r>
        <w:rPr>
          <w:color w:val="231F20"/>
          <w:sz w:val="16"/>
        </w:rPr>
        <w:t>C-70 &amp; 179/17</w:t>
      </w:r>
      <w:r>
        <w:rPr>
          <w:rFonts w:ascii="Arial" w:hAnsi="Arial"/>
          <w:color w:val="231F20"/>
          <w:sz w:val="16"/>
        </w:rPr>
        <w:t>’</w:t>
      </w:r>
      <w:r>
        <w:rPr>
          <w:color w:val="231F20"/>
          <w:sz w:val="16"/>
        </w:rPr>
        <w:t>, 8. </w:t>
      </w:r>
      <w:r>
        <w:rPr>
          <w:i/>
          <w:color w:val="231F20"/>
          <w:sz w:val="16"/>
        </w:rPr>
        <w:t>EuCML </w:t>
      </w:r>
      <w:r>
        <w:rPr>
          <w:color w:val="231F20"/>
          <w:sz w:val="16"/>
        </w:rPr>
        <w:t>2019, p 147. The</w:t>
      </w:r>
      <w:r>
        <w:rPr>
          <w:color w:val="231F20"/>
          <w:spacing w:val="40"/>
          <w:sz w:val="16"/>
        </w:rPr>
        <w:t> </w:t>
      </w:r>
      <w:r>
        <w:rPr>
          <w:color w:val="231F20"/>
          <w:sz w:val="16"/>
        </w:rPr>
        <w:t>definition</w:t>
      </w:r>
      <w:r>
        <w:rPr>
          <w:color w:val="231F20"/>
          <w:spacing w:val="-5"/>
          <w:sz w:val="16"/>
        </w:rPr>
        <w:t> </w:t>
      </w:r>
      <w:r>
        <w:rPr>
          <w:color w:val="231F20"/>
          <w:sz w:val="16"/>
        </w:rPr>
        <w:t>of</w:t>
      </w:r>
      <w:r>
        <w:rPr>
          <w:color w:val="231F20"/>
          <w:spacing w:val="-5"/>
          <w:sz w:val="16"/>
        </w:rPr>
        <w:t> </w:t>
      </w:r>
      <w:r>
        <w:rPr>
          <w:color w:val="231F20"/>
          <w:sz w:val="16"/>
        </w:rPr>
        <w:t>a</w:t>
      </w:r>
      <w:r>
        <w:rPr>
          <w:color w:val="231F20"/>
          <w:spacing w:val="-5"/>
          <w:sz w:val="16"/>
        </w:rPr>
        <w:t> </w:t>
      </w:r>
      <w:r>
        <w:rPr>
          <w:color w:val="231F20"/>
          <w:sz w:val="16"/>
        </w:rPr>
        <w:t>term</w:t>
      </w:r>
      <w:r>
        <w:rPr>
          <w:color w:val="231F20"/>
          <w:spacing w:val="-5"/>
          <w:sz w:val="16"/>
        </w:rPr>
        <w:t> </w:t>
      </w:r>
      <w:r>
        <w:rPr>
          <w:color w:val="231F20"/>
          <w:sz w:val="16"/>
        </w:rPr>
        <w:t>under</w:t>
      </w:r>
      <w:r>
        <w:rPr>
          <w:color w:val="231F20"/>
          <w:spacing w:val="-6"/>
          <w:sz w:val="16"/>
        </w:rPr>
        <w:t> </w:t>
      </w:r>
      <w:r>
        <w:rPr>
          <w:color w:val="231F20"/>
          <w:sz w:val="16"/>
        </w:rPr>
        <w:t>the</w:t>
      </w:r>
      <w:r>
        <w:rPr>
          <w:color w:val="231F20"/>
          <w:spacing w:val="-5"/>
          <w:sz w:val="16"/>
        </w:rPr>
        <w:t> </w:t>
      </w:r>
      <w:r>
        <w:rPr>
          <w:color w:val="231F20"/>
          <w:sz w:val="16"/>
        </w:rPr>
        <w:t>UCTD</w:t>
      </w:r>
      <w:r>
        <w:rPr>
          <w:color w:val="231F20"/>
          <w:spacing w:val="-5"/>
          <w:sz w:val="16"/>
        </w:rPr>
        <w:t> </w:t>
      </w:r>
      <w:r>
        <w:rPr>
          <w:color w:val="231F20"/>
          <w:sz w:val="16"/>
        </w:rPr>
        <w:t>was</w:t>
      </w:r>
      <w:r>
        <w:rPr>
          <w:color w:val="231F20"/>
          <w:spacing w:val="-5"/>
          <w:sz w:val="16"/>
        </w:rPr>
        <w:t> </w:t>
      </w:r>
      <w:r>
        <w:rPr>
          <w:color w:val="231F20"/>
          <w:sz w:val="16"/>
        </w:rPr>
        <w:t>developed</w:t>
      </w:r>
      <w:r>
        <w:rPr>
          <w:color w:val="231F20"/>
          <w:spacing w:val="-5"/>
          <w:sz w:val="16"/>
        </w:rPr>
        <w:t> </w:t>
      </w:r>
      <w:r>
        <w:rPr>
          <w:color w:val="231F20"/>
          <w:sz w:val="16"/>
        </w:rPr>
        <w:t>in</w:t>
      </w:r>
      <w:r>
        <w:rPr>
          <w:color w:val="231F20"/>
          <w:spacing w:val="-5"/>
          <w:sz w:val="16"/>
        </w:rPr>
        <w:t> </w:t>
      </w:r>
      <w:r>
        <w:rPr>
          <w:color w:val="231F20"/>
          <w:sz w:val="16"/>
        </w:rPr>
        <w:t>ECJ</w:t>
      </w:r>
      <w:r>
        <w:rPr>
          <w:color w:val="231F20"/>
          <w:spacing w:val="-6"/>
          <w:sz w:val="16"/>
        </w:rPr>
        <w:t> </w:t>
      </w:r>
      <w:r>
        <w:rPr>
          <w:color w:val="231F20"/>
          <w:sz w:val="16"/>
        </w:rPr>
        <w:t>29</w:t>
      </w:r>
      <w:r>
        <w:rPr>
          <w:color w:val="231F20"/>
          <w:spacing w:val="-5"/>
          <w:sz w:val="16"/>
        </w:rPr>
        <w:t> </w:t>
      </w:r>
      <w:r>
        <w:rPr>
          <w:color w:val="231F20"/>
          <w:sz w:val="16"/>
        </w:rPr>
        <w:t>Apr.</w:t>
      </w:r>
      <w:r>
        <w:rPr>
          <w:color w:val="231F20"/>
          <w:spacing w:val="-5"/>
          <w:sz w:val="16"/>
        </w:rPr>
        <w:t> </w:t>
      </w:r>
      <w:r>
        <w:rPr>
          <w:color w:val="231F20"/>
          <w:sz w:val="16"/>
        </w:rPr>
        <w:t>2021,</w:t>
      </w:r>
      <w:r>
        <w:rPr>
          <w:color w:val="231F20"/>
          <w:spacing w:val="-6"/>
          <w:sz w:val="16"/>
        </w:rPr>
        <w:t> </w:t>
      </w:r>
      <w:r>
        <w:rPr>
          <w:color w:val="231F20"/>
          <w:sz w:val="16"/>
        </w:rPr>
        <w:t>ECLI:EU:C:2021:341,</w:t>
      </w:r>
      <w:r>
        <w:rPr>
          <w:color w:val="231F20"/>
          <w:spacing w:val="-5"/>
          <w:sz w:val="16"/>
        </w:rPr>
        <w:t> </w:t>
      </w:r>
      <w:r>
        <w:rPr>
          <w:i/>
          <w:color w:val="231F20"/>
          <w:sz w:val="16"/>
        </w:rPr>
        <w:t>I.</w:t>
      </w:r>
    </w:p>
    <w:p>
      <w:pPr>
        <w:spacing w:before="6"/>
        <w:ind w:left="866" w:right="0" w:firstLine="0"/>
        <w:jc w:val="both"/>
        <w:rPr>
          <w:sz w:val="16"/>
        </w:rPr>
      </w:pPr>
      <w:r>
        <w:rPr>
          <w:i/>
          <w:color w:val="231F20"/>
          <w:sz w:val="16"/>
        </w:rPr>
        <w:t>W.</w:t>
      </w:r>
      <w:r>
        <w:rPr>
          <w:i/>
          <w:color w:val="231F20"/>
          <w:spacing w:val="7"/>
          <w:sz w:val="16"/>
        </w:rPr>
        <w:t> </w:t>
      </w:r>
      <w:r>
        <w:rPr>
          <w:i/>
          <w:color w:val="231F20"/>
          <w:sz w:val="16"/>
        </w:rPr>
        <w:t>and</w:t>
      </w:r>
      <w:r>
        <w:rPr>
          <w:i/>
          <w:color w:val="231F20"/>
          <w:spacing w:val="6"/>
          <w:sz w:val="16"/>
        </w:rPr>
        <w:t> </w:t>
      </w:r>
      <w:r>
        <w:rPr>
          <w:i/>
          <w:color w:val="231F20"/>
          <w:sz w:val="16"/>
        </w:rPr>
        <w:t>R.W.</w:t>
      </w:r>
      <w:r>
        <w:rPr>
          <w:i/>
          <w:color w:val="231F20"/>
          <w:spacing w:val="7"/>
          <w:sz w:val="16"/>
        </w:rPr>
        <w:t> </w:t>
      </w:r>
      <w:r>
        <w:rPr>
          <w:color w:val="231F20"/>
          <w:sz w:val="16"/>
        </w:rPr>
        <w:t>v.</w:t>
      </w:r>
      <w:r>
        <w:rPr>
          <w:color w:val="231F20"/>
          <w:spacing w:val="6"/>
          <w:sz w:val="16"/>
        </w:rPr>
        <w:t> </w:t>
      </w:r>
      <w:r>
        <w:rPr>
          <w:i/>
          <w:color w:val="231F20"/>
          <w:sz w:val="16"/>
        </w:rPr>
        <w:t>Bank</w:t>
      </w:r>
      <w:r>
        <w:rPr>
          <w:i/>
          <w:color w:val="231F20"/>
          <w:spacing w:val="7"/>
          <w:sz w:val="16"/>
        </w:rPr>
        <w:t> </w:t>
      </w:r>
      <w:r>
        <w:rPr>
          <w:i/>
          <w:color w:val="231F20"/>
          <w:sz w:val="16"/>
        </w:rPr>
        <w:t>BPH</w:t>
      </w:r>
      <w:r>
        <w:rPr>
          <w:i/>
          <w:color w:val="231F20"/>
          <w:spacing w:val="8"/>
          <w:sz w:val="16"/>
        </w:rPr>
        <w:t> </w:t>
      </w:r>
      <w:r>
        <w:rPr>
          <w:i/>
          <w:color w:val="231F20"/>
          <w:sz w:val="16"/>
        </w:rPr>
        <w:t>S.A.</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80.</w:t>
      </w:r>
    </w:p>
    <w:p>
      <w:pPr>
        <w:pStyle w:val="ListParagraph"/>
        <w:numPr>
          <w:ilvl w:val="0"/>
          <w:numId w:val="3"/>
        </w:numPr>
        <w:tabs>
          <w:tab w:pos="866" w:val="left" w:leader="none"/>
        </w:tabs>
        <w:spacing w:line="285" w:lineRule="auto" w:before="37" w:after="0"/>
        <w:ind w:left="866" w:right="868" w:hanging="354"/>
        <w:jc w:val="both"/>
        <w:rPr>
          <w:sz w:val="16"/>
        </w:rPr>
      </w:pPr>
      <w:r>
        <w:rPr>
          <w:color w:val="231F20"/>
          <w:sz w:val="16"/>
        </w:rPr>
        <w:t>For an introduction to the scene, see E. B</w:t>
      </w:r>
      <w:r>
        <w:rPr>
          <w:color w:val="231F20"/>
          <w:sz w:val="11"/>
        </w:rPr>
        <w:t>ANT</w:t>
      </w:r>
      <w:r>
        <w:rPr>
          <w:color w:val="231F20"/>
          <w:sz w:val="16"/>
        </w:rPr>
        <w:t>, W. C</w:t>
      </w:r>
      <w:r>
        <w:rPr>
          <w:color w:val="231F20"/>
          <w:sz w:val="11"/>
        </w:rPr>
        <w:t>OURTNEY</w:t>
      </w:r>
      <w:r>
        <w:rPr>
          <w:color w:val="231F20"/>
          <w:sz w:val="16"/>
        </w:rPr>
        <w:t>, J. G</w:t>
      </w:r>
      <w:r>
        <w:rPr>
          <w:color w:val="231F20"/>
          <w:sz w:val="11"/>
        </w:rPr>
        <w:t>OUDKAMP</w:t>
      </w:r>
      <w:r>
        <w:rPr>
          <w:color w:val="231F20"/>
          <w:spacing w:val="21"/>
          <w:sz w:val="11"/>
        </w:rPr>
        <w:t> </w:t>
      </w:r>
      <w:r>
        <w:rPr>
          <w:color w:val="231F20"/>
          <w:sz w:val="16"/>
        </w:rPr>
        <w:t>&amp; J.M. P</w:t>
      </w:r>
      <w:r>
        <w:rPr>
          <w:color w:val="231F20"/>
          <w:sz w:val="11"/>
        </w:rPr>
        <w:t>ATERSON</w:t>
      </w:r>
      <w:r>
        <w:rPr>
          <w:color w:val="231F20"/>
          <w:spacing w:val="22"/>
          <w:sz w:val="11"/>
        </w:rPr>
        <w:t> </w:t>
      </w:r>
      <w:r>
        <w:rPr>
          <w:color w:val="231F20"/>
          <w:sz w:val="16"/>
        </w:rPr>
        <w:t>(eds),</w:t>
      </w:r>
      <w:r>
        <w:rPr>
          <w:color w:val="231F20"/>
          <w:spacing w:val="40"/>
          <w:sz w:val="16"/>
        </w:rPr>
        <w:t> </w:t>
      </w:r>
      <w:r>
        <w:rPr>
          <w:i/>
          <w:color w:val="231F20"/>
          <w:sz w:val="16"/>
        </w:rPr>
        <w:t>Punishment and Private Law </w:t>
      </w:r>
      <w:r>
        <w:rPr>
          <w:color w:val="231F20"/>
          <w:sz w:val="16"/>
        </w:rPr>
        <w:t>(Oxford: Hart 2021); M. C</w:t>
      </w:r>
      <w:r>
        <w:rPr>
          <w:color w:val="231F20"/>
          <w:sz w:val="11"/>
        </w:rPr>
        <w:t>APPELLETTI</w:t>
      </w:r>
      <w:r>
        <w:rPr>
          <w:color w:val="231F20"/>
          <w:sz w:val="16"/>
        </w:rPr>
        <w:t>, </w:t>
      </w:r>
      <w:r>
        <w:rPr>
          <w:rFonts w:ascii="Arial" w:hAnsi="Arial"/>
          <w:color w:val="231F20"/>
          <w:sz w:val="16"/>
        </w:rPr>
        <w:t>‘</w:t>
      </w:r>
      <w:r>
        <w:rPr>
          <w:color w:val="231F20"/>
          <w:sz w:val="16"/>
        </w:rPr>
        <w:t>Punitive damages and the</w:t>
      </w:r>
      <w:r>
        <w:rPr>
          <w:color w:val="231F20"/>
          <w:spacing w:val="40"/>
          <w:sz w:val="16"/>
        </w:rPr>
        <w:t> </w:t>
      </w:r>
      <w:r>
        <w:rPr>
          <w:color w:val="231F20"/>
          <w:sz w:val="16"/>
        </w:rPr>
        <w:t>public/private</w:t>
      </w:r>
      <w:r>
        <w:rPr>
          <w:color w:val="231F20"/>
          <w:spacing w:val="-9"/>
          <w:sz w:val="16"/>
        </w:rPr>
        <w:t> </w:t>
      </w:r>
      <w:r>
        <w:rPr>
          <w:color w:val="231F20"/>
          <w:sz w:val="16"/>
        </w:rPr>
        <w:t>distinction:</w:t>
      </w:r>
      <w:r>
        <w:rPr>
          <w:color w:val="231F20"/>
          <w:spacing w:val="-9"/>
          <w:sz w:val="16"/>
        </w:rPr>
        <w:t> </w:t>
      </w:r>
      <w:r>
        <w:rPr>
          <w:color w:val="231F20"/>
          <w:sz w:val="16"/>
        </w:rPr>
        <w:t>a</w:t>
      </w:r>
      <w:r>
        <w:rPr>
          <w:color w:val="231F20"/>
          <w:spacing w:val="-8"/>
          <w:sz w:val="16"/>
        </w:rPr>
        <w:t> </w:t>
      </w:r>
      <w:r>
        <w:rPr>
          <w:color w:val="231F20"/>
          <w:sz w:val="16"/>
        </w:rPr>
        <w:t>comparison</w:t>
      </w:r>
      <w:r>
        <w:rPr>
          <w:color w:val="231F20"/>
          <w:spacing w:val="-8"/>
          <w:sz w:val="16"/>
        </w:rPr>
        <w:t> </w:t>
      </w:r>
      <w:r>
        <w:rPr>
          <w:color w:val="231F20"/>
          <w:sz w:val="16"/>
        </w:rPr>
        <w:t>between</w:t>
      </w:r>
      <w:r>
        <w:rPr>
          <w:color w:val="231F20"/>
          <w:spacing w:val="-10"/>
          <w:sz w:val="16"/>
        </w:rPr>
        <w:t> </w:t>
      </w:r>
      <w:r>
        <w:rPr>
          <w:color w:val="231F20"/>
          <w:sz w:val="16"/>
        </w:rPr>
        <w:t>the</w:t>
      </w:r>
      <w:r>
        <w:rPr>
          <w:color w:val="231F20"/>
          <w:spacing w:val="-8"/>
          <w:sz w:val="16"/>
        </w:rPr>
        <w:t> </w:t>
      </w:r>
      <w:r>
        <w:rPr>
          <w:color w:val="231F20"/>
          <w:sz w:val="16"/>
        </w:rPr>
        <w:t>United</w:t>
      </w:r>
      <w:r>
        <w:rPr>
          <w:color w:val="231F20"/>
          <w:spacing w:val="-8"/>
          <w:sz w:val="16"/>
        </w:rPr>
        <w:t> </w:t>
      </w:r>
      <w:r>
        <w:rPr>
          <w:color w:val="231F20"/>
          <w:sz w:val="16"/>
        </w:rPr>
        <w:t>States</w:t>
      </w:r>
      <w:r>
        <w:rPr>
          <w:color w:val="231F20"/>
          <w:spacing w:val="-8"/>
          <w:sz w:val="16"/>
        </w:rPr>
        <w:t> </w:t>
      </w:r>
      <w:r>
        <w:rPr>
          <w:color w:val="231F20"/>
          <w:sz w:val="16"/>
        </w:rPr>
        <w:t>and</w:t>
      </w:r>
      <w:r>
        <w:rPr>
          <w:color w:val="231F20"/>
          <w:spacing w:val="-9"/>
          <w:sz w:val="16"/>
        </w:rPr>
        <w:t> </w:t>
      </w:r>
      <w:r>
        <w:rPr>
          <w:color w:val="231F20"/>
          <w:sz w:val="16"/>
        </w:rPr>
        <w:t>Italy</w:t>
      </w:r>
      <w:r>
        <w:rPr>
          <w:rFonts w:ascii="Arial" w:hAnsi="Arial"/>
          <w:color w:val="231F20"/>
          <w:sz w:val="16"/>
        </w:rPr>
        <w:t>’</w:t>
      </w:r>
      <w:r>
        <w:rPr>
          <w:color w:val="231F20"/>
          <w:sz w:val="16"/>
        </w:rPr>
        <w:t>,</w:t>
      </w:r>
      <w:r>
        <w:rPr>
          <w:color w:val="231F20"/>
          <w:spacing w:val="-8"/>
          <w:sz w:val="16"/>
        </w:rPr>
        <w:t> </w:t>
      </w:r>
      <w:r>
        <w:rPr>
          <w:i/>
          <w:color w:val="231F20"/>
          <w:sz w:val="16"/>
        </w:rPr>
        <w:t>Arizona</w:t>
      </w:r>
      <w:r>
        <w:rPr>
          <w:i/>
          <w:color w:val="231F20"/>
          <w:spacing w:val="-9"/>
          <w:sz w:val="16"/>
        </w:rPr>
        <w:t> </w:t>
      </w:r>
      <w:r>
        <w:rPr>
          <w:i/>
          <w:color w:val="231F20"/>
          <w:sz w:val="16"/>
        </w:rPr>
        <w:t>Journal</w:t>
      </w:r>
      <w:r>
        <w:rPr>
          <w:i/>
          <w:color w:val="231F20"/>
          <w:spacing w:val="-8"/>
          <w:sz w:val="16"/>
        </w:rPr>
        <w:t> </w:t>
      </w:r>
      <w:r>
        <w:rPr>
          <w:i/>
          <w:color w:val="231F20"/>
          <w:sz w:val="16"/>
        </w:rPr>
        <w:t>of</w:t>
      </w:r>
      <w:r>
        <w:rPr>
          <w:i/>
          <w:color w:val="231F20"/>
          <w:spacing w:val="40"/>
          <w:sz w:val="16"/>
        </w:rPr>
        <w:t> </w:t>
      </w:r>
      <w:r>
        <w:rPr>
          <w:i/>
          <w:color w:val="231F20"/>
          <w:sz w:val="16"/>
        </w:rPr>
        <w:t>International &amp; Comparative Law </w:t>
      </w:r>
      <w:r>
        <w:rPr>
          <w:color w:val="231F20"/>
          <w:sz w:val="16"/>
        </w:rPr>
        <w:t>2015, p 800.</w:t>
      </w:r>
    </w:p>
    <w:p>
      <w:pPr>
        <w:spacing w:after="0" w:line="285" w:lineRule="auto"/>
        <w:jc w:val="both"/>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324" w:val="left" w:leader="none"/>
        </w:tabs>
        <w:spacing w:line="288" w:lineRule="auto" w:before="0" w:after="0"/>
        <w:ind w:left="871" w:right="869" w:firstLine="0"/>
        <w:jc w:val="both"/>
        <w:rPr>
          <w:sz w:val="19"/>
        </w:rPr>
      </w:pPr>
      <w:r>
        <w:rPr>
          <w:color w:val="231F20"/>
          <w:sz w:val="19"/>
        </w:rPr>
        <w:t>For the UCTD, the existence of sanctions has been both recognized</w:t>
      </w:r>
      <w:r>
        <w:rPr>
          <w:color w:val="231F20"/>
          <w:sz w:val="19"/>
          <w:vertAlign w:val="superscript"/>
        </w:rPr>
        <w:t>101</w:t>
      </w:r>
      <w:r>
        <w:rPr>
          <w:color w:val="231F20"/>
          <w:sz w:val="19"/>
          <w:vertAlign w:val="baseline"/>
        </w:rPr>
        <w:t> </w:t>
      </w:r>
      <w:r>
        <w:rPr>
          <w:color w:val="231F20"/>
          <w:sz w:val="19"/>
          <w:vertAlign w:val="baseline"/>
        </w:rPr>
        <w:t>and denied.</w:t>
      </w:r>
      <w:r>
        <w:rPr>
          <w:color w:val="231F20"/>
          <w:sz w:val="19"/>
          <w:vertAlign w:val="superscript"/>
        </w:rPr>
        <w:t>102</w:t>
      </w:r>
      <w:r>
        <w:rPr>
          <w:color w:val="231F20"/>
          <w:sz w:val="19"/>
          <w:vertAlign w:val="baseline"/>
        </w:rPr>
        <w:t> In Case C-19/20, </w:t>
      </w:r>
      <w:r>
        <w:rPr>
          <w:i/>
          <w:color w:val="231F20"/>
          <w:sz w:val="19"/>
          <w:vertAlign w:val="baseline"/>
        </w:rPr>
        <w:t>Bank BPH, </w:t>
      </w:r>
      <w:r>
        <w:rPr>
          <w:color w:val="231F20"/>
          <w:sz w:val="19"/>
          <w:vertAlign w:val="baseline"/>
        </w:rPr>
        <w:t>the ECJ declared that the invalidation of the contract cannot constitute a sanction, although it seemed to work with a different notion of it.</w:t>
      </w:r>
      <w:r>
        <w:rPr>
          <w:color w:val="231F20"/>
          <w:sz w:val="19"/>
          <w:vertAlign w:val="superscript"/>
        </w:rPr>
        <w:t>103</w:t>
      </w:r>
      <w:r>
        <w:rPr>
          <w:color w:val="231F20"/>
          <w:sz w:val="19"/>
          <w:vertAlign w:val="baseline"/>
        </w:rPr>
        <w:t> In any case, it did not extend that declaration to the </w:t>
      </w:r>
      <w:r>
        <w:rPr>
          <w:i/>
          <w:color w:val="231F20"/>
          <w:sz w:val="19"/>
          <w:vertAlign w:val="baseline"/>
        </w:rPr>
        <w:t>consequences </w:t>
      </w:r>
      <w:r>
        <w:rPr>
          <w:color w:val="231F20"/>
          <w:sz w:val="19"/>
          <w:vertAlign w:val="baseline"/>
        </w:rPr>
        <w:t>of invalidity, including the impossibility of gap-filling.</w:t>
      </w:r>
    </w:p>
    <w:p>
      <w:pPr>
        <w:pStyle w:val="ListParagraph"/>
        <w:numPr>
          <w:ilvl w:val="0"/>
          <w:numId w:val="4"/>
        </w:numPr>
        <w:tabs>
          <w:tab w:pos="1324" w:val="left" w:leader="none"/>
        </w:tabs>
        <w:spacing w:line="288" w:lineRule="auto" w:before="120" w:after="0"/>
        <w:ind w:left="871" w:right="869" w:firstLine="0"/>
        <w:jc w:val="both"/>
        <w:rPr>
          <w:sz w:val="19"/>
        </w:rPr>
      </w:pPr>
      <w:r>
        <w:rPr>
          <w:color w:val="231F20"/>
          <w:sz w:val="19"/>
        </w:rPr>
        <w:t>Starting in Case C-618/10, </w:t>
      </w:r>
      <w:r>
        <w:rPr>
          <w:i/>
          <w:color w:val="231F20"/>
          <w:sz w:val="19"/>
        </w:rPr>
        <w:t>Banco Español</w:t>
      </w:r>
      <w:r>
        <w:rPr>
          <w:color w:val="231F20"/>
          <w:sz w:val="19"/>
        </w:rPr>
        <w:t>, the ECJ excluded the </w:t>
      </w:r>
      <w:r>
        <w:rPr>
          <w:color w:val="231F20"/>
          <w:sz w:val="19"/>
        </w:rPr>
        <w:t>possibility to revise contracts, which prevents courts from filling in the gap left after the unfair term is removed.</w:t>
      </w:r>
      <w:r>
        <w:rPr>
          <w:color w:val="231F20"/>
          <w:sz w:val="19"/>
          <w:vertAlign w:val="superscript"/>
        </w:rPr>
        <w:t>104</w:t>
      </w:r>
      <w:r>
        <w:rPr>
          <w:color w:val="231F20"/>
          <w:sz w:val="19"/>
          <w:vertAlign w:val="baseline"/>
        </w:rPr>
        <w:t> This outcome was rooted in one of the two aims of Article 6(1) UCTD, namely, the principle of dissuasiveness.</w:t>
      </w:r>
    </w:p>
    <w:p>
      <w:pPr>
        <w:pStyle w:val="ListParagraph"/>
        <w:numPr>
          <w:ilvl w:val="0"/>
          <w:numId w:val="4"/>
        </w:numPr>
        <w:tabs>
          <w:tab w:pos="1324" w:val="left" w:leader="none"/>
        </w:tabs>
        <w:spacing w:line="285" w:lineRule="auto" w:before="119" w:after="0"/>
        <w:ind w:left="871" w:right="868" w:firstLine="0"/>
        <w:jc w:val="both"/>
        <w:rPr>
          <w:sz w:val="19"/>
        </w:rPr>
      </w:pPr>
      <w:r>
        <w:rPr>
          <w:color w:val="231F20"/>
          <w:sz w:val="19"/>
        </w:rPr>
        <w:t>The achievement of this goal would justify the deviation of a solution, gap filling, that would be required under the other aim of Article 6(1) UCTD </w:t>
      </w:r>
      <w:r>
        <w:rPr>
          <w:rFonts w:ascii="Arial" w:hAnsi="Arial"/>
          <w:color w:val="231F20"/>
          <w:sz w:val="19"/>
        </w:rPr>
        <w:t>– </w:t>
      </w:r>
      <w:r>
        <w:rPr>
          <w:color w:val="231F20"/>
          <w:sz w:val="19"/>
        </w:rPr>
        <w:t>party equality. By it, the consumer should be restored to the legal and factual situation that she would have been in had the unfair term not existed.</w:t>
      </w:r>
      <w:r>
        <w:rPr>
          <w:color w:val="231F20"/>
          <w:sz w:val="19"/>
          <w:vertAlign w:val="superscript"/>
        </w:rPr>
        <w:t>105</w:t>
      </w:r>
      <w:r>
        <w:rPr>
          <w:color w:val="231F20"/>
          <w:sz w:val="19"/>
          <w:vertAlign w:val="baseline"/>
        </w:rPr>
        <w:t> This would </w:t>
      </w:r>
      <w:r>
        <w:rPr>
          <w:color w:val="231F20"/>
          <w:sz w:val="19"/>
          <w:vertAlign w:val="baseline"/>
        </w:rPr>
        <w:t>open the gate to default rules to integrate the contract in the absence of agreement.</w:t>
      </w:r>
    </w:p>
    <w:p>
      <w:pPr>
        <w:pStyle w:val="ListParagraph"/>
        <w:numPr>
          <w:ilvl w:val="0"/>
          <w:numId w:val="4"/>
        </w:numPr>
        <w:tabs>
          <w:tab w:pos="1324" w:val="left" w:leader="none"/>
        </w:tabs>
        <w:spacing w:line="285" w:lineRule="auto" w:before="126" w:after="0"/>
        <w:ind w:left="871" w:right="868" w:firstLine="0"/>
        <w:jc w:val="both"/>
        <w:rPr>
          <w:sz w:val="19"/>
        </w:rPr>
      </w:pPr>
      <w:r>
        <w:rPr>
          <w:color w:val="231F20"/>
          <w:sz w:val="19"/>
        </w:rPr>
        <w:t>Restoring</w:t>
      </w:r>
      <w:r>
        <w:rPr>
          <w:color w:val="231F20"/>
          <w:spacing w:val="-1"/>
          <w:sz w:val="19"/>
        </w:rPr>
        <w:t> </w:t>
      </w:r>
      <w:r>
        <w:rPr>
          <w:color w:val="231F20"/>
          <w:sz w:val="19"/>
        </w:rPr>
        <w:t>the</w:t>
      </w:r>
      <w:r>
        <w:rPr>
          <w:color w:val="231F20"/>
          <w:spacing w:val="-1"/>
          <w:sz w:val="19"/>
        </w:rPr>
        <w:t> </w:t>
      </w:r>
      <w:r>
        <w:rPr>
          <w:color w:val="231F20"/>
          <w:sz w:val="19"/>
        </w:rPr>
        <w:t>consumer</w:t>
      </w:r>
      <w:r>
        <w:rPr>
          <w:color w:val="231F20"/>
          <w:spacing w:val="-1"/>
          <w:sz w:val="19"/>
        </w:rPr>
        <w:t> </w:t>
      </w:r>
      <w:r>
        <w:rPr>
          <w:color w:val="231F20"/>
          <w:sz w:val="19"/>
        </w:rPr>
        <w:t>to</w:t>
      </w:r>
      <w:r>
        <w:rPr>
          <w:color w:val="231F20"/>
          <w:spacing w:val="-1"/>
          <w:sz w:val="19"/>
        </w:rPr>
        <w:t> </w:t>
      </w:r>
      <w:r>
        <w:rPr>
          <w:color w:val="231F20"/>
          <w:sz w:val="19"/>
        </w:rPr>
        <w:t>the</w:t>
      </w:r>
      <w:r>
        <w:rPr>
          <w:color w:val="231F20"/>
          <w:spacing w:val="-1"/>
          <w:sz w:val="19"/>
        </w:rPr>
        <w:t> </w:t>
      </w:r>
      <w:r>
        <w:rPr>
          <w:color w:val="231F20"/>
          <w:sz w:val="19"/>
        </w:rPr>
        <w:t>situation</w:t>
      </w:r>
      <w:r>
        <w:rPr>
          <w:color w:val="231F20"/>
          <w:spacing w:val="-1"/>
          <w:sz w:val="19"/>
        </w:rPr>
        <w:t> </w:t>
      </w:r>
      <w:r>
        <w:rPr>
          <w:color w:val="231F20"/>
          <w:sz w:val="19"/>
        </w:rPr>
        <w:t>they</w:t>
      </w:r>
      <w:r>
        <w:rPr>
          <w:color w:val="231F20"/>
          <w:spacing w:val="-1"/>
          <w:sz w:val="19"/>
        </w:rPr>
        <w:t> </w:t>
      </w:r>
      <w:r>
        <w:rPr>
          <w:color w:val="231F20"/>
          <w:sz w:val="19"/>
        </w:rPr>
        <w:t>would</w:t>
      </w:r>
      <w:r>
        <w:rPr>
          <w:color w:val="231F20"/>
          <w:spacing w:val="-1"/>
          <w:sz w:val="19"/>
        </w:rPr>
        <w:t> </w:t>
      </w:r>
      <w:r>
        <w:rPr>
          <w:color w:val="231F20"/>
          <w:sz w:val="19"/>
        </w:rPr>
        <w:t>have</w:t>
      </w:r>
      <w:r>
        <w:rPr>
          <w:color w:val="231F20"/>
          <w:spacing w:val="-2"/>
          <w:sz w:val="19"/>
        </w:rPr>
        <w:t> </w:t>
      </w:r>
      <w:r>
        <w:rPr>
          <w:color w:val="231F20"/>
          <w:sz w:val="19"/>
        </w:rPr>
        <w:t>been in</w:t>
      </w:r>
      <w:r>
        <w:rPr>
          <w:color w:val="231F20"/>
          <w:spacing w:val="-1"/>
          <w:sz w:val="19"/>
        </w:rPr>
        <w:t> </w:t>
      </w:r>
      <w:r>
        <w:rPr>
          <w:color w:val="231F20"/>
          <w:sz w:val="19"/>
        </w:rPr>
        <w:t>but</w:t>
      </w:r>
      <w:r>
        <w:rPr>
          <w:color w:val="231F20"/>
          <w:spacing w:val="-1"/>
          <w:sz w:val="19"/>
        </w:rPr>
        <w:t> </w:t>
      </w:r>
      <w:r>
        <w:rPr>
          <w:color w:val="231F20"/>
          <w:sz w:val="19"/>
        </w:rPr>
        <w:t>for</w:t>
      </w:r>
      <w:r>
        <w:rPr>
          <w:color w:val="231F20"/>
          <w:spacing w:val="-2"/>
          <w:sz w:val="19"/>
        </w:rPr>
        <w:t> </w:t>
      </w:r>
      <w:r>
        <w:rPr>
          <w:color w:val="231F20"/>
          <w:sz w:val="19"/>
        </w:rPr>
        <w:t>the unfair</w:t>
      </w:r>
      <w:r>
        <w:rPr>
          <w:color w:val="231F20"/>
          <w:spacing w:val="-12"/>
          <w:sz w:val="19"/>
        </w:rPr>
        <w:t> </w:t>
      </w:r>
      <w:r>
        <w:rPr>
          <w:color w:val="231F20"/>
          <w:sz w:val="19"/>
        </w:rPr>
        <w:t>term,</w:t>
      </w:r>
      <w:r>
        <w:rPr>
          <w:color w:val="231F20"/>
          <w:spacing w:val="-11"/>
          <w:sz w:val="19"/>
        </w:rPr>
        <w:t> </w:t>
      </w:r>
      <w:r>
        <w:rPr>
          <w:color w:val="231F20"/>
          <w:sz w:val="19"/>
        </w:rPr>
        <w:t>would</w:t>
      </w:r>
      <w:r>
        <w:rPr>
          <w:color w:val="231F20"/>
          <w:spacing w:val="-12"/>
          <w:sz w:val="19"/>
        </w:rPr>
        <w:t> </w:t>
      </w:r>
      <w:r>
        <w:rPr>
          <w:color w:val="231F20"/>
          <w:sz w:val="19"/>
        </w:rPr>
        <w:t>create</w:t>
      </w:r>
      <w:r>
        <w:rPr>
          <w:color w:val="231F20"/>
          <w:spacing w:val="-11"/>
          <w:sz w:val="19"/>
        </w:rPr>
        <w:t> </w:t>
      </w:r>
      <w:r>
        <w:rPr>
          <w:color w:val="231F20"/>
          <w:sz w:val="19"/>
        </w:rPr>
        <w:t>a</w:t>
      </w:r>
      <w:r>
        <w:rPr>
          <w:color w:val="231F20"/>
          <w:spacing w:val="-12"/>
          <w:sz w:val="19"/>
        </w:rPr>
        <w:t> </w:t>
      </w:r>
      <w:r>
        <w:rPr>
          <w:color w:val="231F20"/>
          <w:sz w:val="19"/>
        </w:rPr>
        <w:t>gap</w:t>
      </w:r>
      <w:r>
        <w:rPr>
          <w:color w:val="231F20"/>
          <w:spacing w:val="-11"/>
          <w:sz w:val="19"/>
        </w:rPr>
        <w:t> </w:t>
      </w:r>
      <w:r>
        <w:rPr>
          <w:color w:val="231F20"/>
          <w:sz w:val="19"/>
        </w:rPr>
        <w:t>that,</w:t>
      </w:r>
      <w:r>
        <w:rPr>
          <w:color w:val="231F20"/>
          <w:spacing w:val="-12"/>
          <w:sz w:val="19"/>
        </w:rPr>
        <w:t> </w:t>
      </w:r>
      <w:r>
        <w:rPr>
          <w:color w:val="231F20"/>
          <w:sz w:val="19"/>
        </w:rPr>
        <w:t>according</w:t>
      </w:r>
      <w:r>
        <w:rPr>
          <w:color w:val="231F20"/>
          <w:spacing w:val="-11"/>
          <w:sz w:val="19"/>
        </w:rPr>
        <w:t> </w:t>
      </w:r>
      <w:r>
        <w:rPr>
          <w:color w:val="231F20"/>
          <w:sz w:val="19"/>
        </w:rPr>
        <w:t>to</w:t>
      </w:r>
      <w:r>
        <w:rPr>
          <w:color w:val="231F20"/>
          <w:spacing w:val="-12"/>
          <w:sz w:val="19"/>
        </w:rPr>
        <w:t> </w:t>
      </w:r>
      <w:r>
        <w:rPr>
          <w:color w:val="231F20"/>
          <w:sz w:val="19"/>
        </w:rPr>
        <w:t>national</w:t>
      </w:r>
      <w:r>
        <w:rPr>
          <w:color w:val="231F20"/>
          <w:spacing w:val="-11"/>
          <w:sz w:val="19"/>
        </w:rPr>
        <w:t> </w:t>
      </w:r>
      <w:r>
        <w:rPr>
          <w:color w:val="231F20"/>
          <w:sz w:val="19"/>
        </w:rPr>
        <w:t>contract</w:t>
      </w:r>
      <w:r>
        <w:rPr>
          <w:color w:val="231F20"/>
          <w:spacing w:val="-12"/>
          <w:sz w:val="19"/>
        </w:rPr>
        <w:t> </w:t>
      </w:r>
      <w:r>
        <w:rPr>
          <w:color w:val="231F20"/>
          <w:sz w:val="19"/>
        </w:rPr>
        <w:t>laws,</w:t>
      </w:r>
      <w:r>
        <w:rPr>
          <w:color w:val="231F20"/>
          <w:spacing w:val="-11"/>
          <w:sz w:val="19"/>
        </w:rPr>
        <w:t> </w:t>
      </w:r>
      <w:r>
        <w:rPr>
          <w:color w:val="231F20"/>
          <w:sz w:val="19"/>
        </w:rPr>
        <w:t>should</w:t>
      </w:r>
      <w:r>
        <w:rPr>
          <w:color w:val="231F20"/>
          <w:spacing w:val="-11"/>
          <w:sz w:val="19"/>
        </w:rPr>
        <w:t> </w:t>
      </w:r>
      <w:r>
        <w:rPr>
          <w:color w:val="231F20"/>
          <w:sz w:val="19"/>
        </w:rPr>
        <w:t>be filled</w:t>
      </w:r>
      <w:r>
        <w:rPr>
          <w:color w:val="231F20"/>
          <w:spacing w:val="-12"/>
          <w:sz w:val="19"/>
        </w:rPr>
        <w:t> </w:t>
      </w:r>
      <w:r>
        <w:rPr>
          <w:color w:val="231F20"/>
          <w:sz w:val="19"/>
        </w:rPr>
        <w:t>in</w:t>
      </w:r>
      <w:r>
        <w:rPr>
          <w:color w:val="231F20"/>
          <w:spacing w:val="-11"/>
          <w:sz w:val="19"/>
        </w:rPr>
        <w:t> </w:t>
      </w:r>
      <w:r>
        <w:rPr>
          <w:color w:val="231F20"/>
          <w:sz w:val="19"/>
        </w:rPr>
        <w:t>with</w:t>
      </w:r>
      <w:r>
        <w:rPr>
          <w:color w:val="231F20"/>
          <w:spacing w:val="-12"/>
          <w:sz w:val="19"/>
        </w:rPr>
        <w:t> </w:t>
      </w:r>
      <w:r>
        <w:rPr>
          <w:color w:val="231F20"/>
          <w:sz w:val="19"/>
        </w:rPr>
        <w:t>default</w:t>
      </w:r>
      <w:r>
        <w:rPr>
          <w:color w:val="231F20"/>
          <w:spacing w:val="-11"/>
          <w:sz w:val="19"/>
        </w:rPr>
        <w:t> </w:t>
      </w:r>
      <w:r>
        <w:rPr>
          <w:color w:val="231F20"/>
          <w:sz w:val="19"/>
        </w:rPr>
        <w:t>rules.</w:t>
      </w:r>
      <w:r>
        <w:rPr>
          <w:color w:val="231F20"/>
          <w:spacing w:val="-12"/>
          <w:sz w:val="19"/>
        </w:rPr>
        <w:t> </w:t>
      </w:r>
      <w:r>
        <w:rPr>
          <w:color w:val="231F20"/>
          <w:sz w:val="19"/>
        </w:rPr>
        <w:t>Non-mandatory</w:t>
      </w:r>
      <w:r>
        <w:rPr>
          <w:color w:val="231F20"/>
          <w:spacing w:val="-11"/>
          <w:sz w:val="19"/>
        </w:rPr>
        <w:t> </w:t>
      </w:r>
      <w:r>
        <w:rPr>
          <w:color w:val="231F20"/>
          <w:sz w:val="19"/>
        </w:rPr>
        <w:t>law</w:t>
      </w:r>
      <w:r>
        <w:rPr>
          <w:color w:val="231F20"/>
          <w:spacing w:val="-12"/>
          <w:sz w:val="19"/>
        </w:rPr>
        <w:t> </w:t>
      </w:r>
      <w:r>
        <w:rPr>
          <w:color w:val="231F20"/>
          <w:sz w:val="19"/>
        </w:rPr>
        <w:t>is</w:t>
      </w:r>
      <w:r>
        <w:rPr>
          <w:color w:val="231F20"/>
          <w:spacing w:val="-11"/>
          <w:sz w:val="19"/>
        </w:rPr>
        <w:t> </w:t>
      </w:r>
      <w:r>
        <w:rPr>
          <w:color w:val="231F20"/>
          <w:sz w:val="19"/>
        </w:rPr>
        <w:t>precisely</w:t>
      </w:r>
      <w:r>
        <w:rPr>
          <w:color w:val="231F20"/>
          <w:spacing w:val="-12"/>
          <w:sz w:val="19"/>
        </w:rPr>
        <w:t> </w:t>
      </w:r>
      <w:r>
        <w:rPr>
          <w:color w:val="231F20"/>
          <w:sz w:val="19"/>
        </w:rPr>
        <w:t>aimed</w:t>
      </w:r>
      <w:r>
        <w:rPr>
          <w:color w:val="231F20"/>
          <w:spacing w:val="-11"/>
          <w:sz w:val="19"/>
        </w:rPr>
        <w:t> </w:t>
      </w:r>
      <w:r>
        <w:rPr>
          <w:color w:val="231F20"/>
          <w:sz w:val="19"/>
        </w:rPr>
        <w:t>at</w:t>
      </w:r>
      <w:r>
        <w:rPr>
          <w:color w:val="231F20"/>
          <w:spacing w:val="-12"/>
          <w:sz w:val="19"/>
        </w:rPr>
        <w:t> </w:t>
      </w:r>
      <w:r>
        <w:rPr>
          <w:color w:val="231F20"/>
          <w:sz w:val="19"/>
        </w:rPr>
        <w:t>filling</w:t>
      </w:r>
      <w:r>
        <w:rPr>
          <w:color w:val="231F20"/>
          <w:spacing w:val="-11"/>
          <w:sz w:val="19"/>
        </w:rPr>
        <w:t> </w:t>
      </w:r>
      <w:r>
        <w:rPr>
          <w:color w:val="231F20"/>
          <w:sz w:val="19"/>
        </w:rPr>
        <w:t>in</w:t>
      </w:r>
      <w:r>
        <w:rPr>
          <w:color w:val="231F20"/>
          <w:spacing w:val="-11"/>
          <w:sz w:val="19"/>
        </w:rPr>
        <w:t> </w:t>
      </w:r>
      <w:r>
        <w:rPr>
          <w:color w:val="231F20"/>
          <w:sz w:val="19"/>
        </w:rPr>
        <w:t>those lacunae. As Pavillon noted, </w:t>
      </w:r>
      <w:r>
        <w:rPr>
          <w:rFonts w:ascii="Arial" w:hAnsi="Arial"/>
          <w:color w:val="231F20"/>
          <w:sz w:val="19"/>
        </w:rPr>
        <w:t>‘</w:t>
      </w:r>
      <w:r>
        <w:rPr>
          <w:color w:val="231F20"/>
          <w:sz w:val="19"/>
        </w:rPr>
        <w:t>[i]n the default situation that needs to be restored, supplementary provisions from domestic law such as those pertaining to default interests would apply</w:t>
      </w:r>
      <w:r>
        <w:rPr>
          <w:rFonts w:ascii="Arial" w:hAnsi="Arial"/>
          <w:color w:val="231F20"/>
          <w:sz w:val="19"/>
        </w:rPr>
        <w:t>’</w:t>
      </w:r>
      <w:r>
        <w:rPr>
          <w:color w:val="231F20"/>
          <w:sz w:val="19"/>
        </w:rPr>
        <w:t>.</w:t>
      </w:r>
      <w:r>
        <w:rPr>
          <w:color w:val="231F20"/>
          <w:sz w:val="19"/>
          <w:vertAlign w:val="superscript"/>
        </w:rPr>
        <w:t>106</w:t>
      </w:r>
    </w:p>
    <w:p>
      <w:pPr>
        <w:pStyle w:val="ListParagraph"/>
        <w:numPr>
          <w:ilvl w:val="0"/>
          <w:numId w:val="4"/>
        </w:numPr>
        <w:tabs>
          <w:tab w:pos="1324" w:val="left" w:leader="none"/>
        </w:tabs>
        <w:spacing w:line="288" w:lineRule="auto" w:before="123" w:after="0"/>
        <w:ind w:left="871" w:right="866" w:firstLine="0"/>
        <w:jc w:val="both"/>
        <w:rPr>
          <w:sz w:val="19"/>
        </w:rPr>
      </w:pPr>
      <w:r>
        <w:rPr>
          <w:color w:val="231F20"/>
          <w:sz w:val="19"/>
        </w:rPr>
        <w:t>By</w:t>
      </w:r>
      <w:r>
        <w:rPr>
          <w:color w:val="231F20"/>
          <w:spacing w:val="-6"/>
          <w:sz w:val="19"/>
        </w:rPr>
        <w:t> </w:t>
      </w:r>
      <w:r>
        <w:rPr>
          <w:color w:val="231F20"/>
          <w:sz w:val="19"/>
        </w:rPr>
        <w:t>banning</w:t>
      </w:r>
      <w:r>
        <w:rPr>
          <w:color w:val="231F20"/>
          <w:spacing w:val="-5"/>
          <w:sz w:val="19"/>
        </w:rPr>
        <w:t> </w:t>
      </w:r>
      <w:r>
        <w:rPr>
          <w:color w:val="231F20"/>
          <w:sz w:val="19"/>
        </w:rPr>
        <w:t>the</w:t>
      </w:r>
      <w:r>
        <w:rPr>
          <w:color w:val="231F20"/>
          <w:spacing w:val="-6"/>
          <w:sz w:val="19"/>
        </w:rPr>
        <w:t> </w:t>
      </w:r>
      <w:r>
        <w:rPr>
          <w:color w:val="231F20"/>
          <w:sz w:val="19"/>
        </w:rPr>
        <w:t>incorporation</w:t>
      </w:r>
      <w:r>
        <w:rPr>
          <w:color w:val="231F20"/>
          <w:spacing w:val="-6"/>
          <w:sz w:val="19"/>
        </w:rPr>
        <w:t> </w:t>
      </w:r>
      <w:r>
        <w:rPr>
          <w:color w:val="231F20"/>
          <w:sz w:val="19"/>
        </w:rPr>
        <w:t>of</w:t>
      </w:r>
      <w:r>
        <w:rPr>
          <w:color w:val="231F20"/>
          <w:spacing w:val="-5"/>
          <w:sz w:val="19"/>
        </w:rPr>
        <w:t> </w:t>
      </w:r>
      <w:r>
        <w:rPr>
          <w:color w:val="231F20"/>
          <w:sz w:val="19"/>
        </w:rPr>
        <w:t>default</w:t>
      </w:r>
      <w:r>
        <w:rPr>
          <w:color w:val="231F20"/>
          <w:spacing w:val="-5"/>
          <w:sz w:val="19"/>
        </w:rPr>
        <w:t> </w:t>
      </w:r>
      <w:r>
        <w:rPr>
          <w:color w:val="231F20"/>
          <w:sz w:val="19"/>
        </w:rPr>
        <w:t>rules</w:t>
      </w:r>
      <w:r>
        <w:rPr>
          <w:color w:val="231F20"/>
          <w:spacing w:val="-5"/>
          <w:sz w:val="19"/>
        </w:rPr>
        <w:t> </w:t>
      </w:r>
      <w:r>
        <w:rPr>
          <w:color w:val="231F20"/>
          <w:sz w:val="19"/>
        </w:rPr>
        <w:t>to</w:t>
      </w:r>
      <w:r>
        <w:rPr>
          <w:color w:val="231F20"/>
          <w:spacing w:val="-6"/>
          <w:sz w:val="19"/>
        </w:rPr>
        <w:t> </w:t>
      </w:r>
      <w:r>
        <w:rPr>
          <w:color w:val="231F20"/>
          <w:sz w:val="19"/>
        </w:rPr>
        <w:t>fill</w:t>
      </w:r>
      <w:r>
        <w:rPr>
          <w:color w:val="231F20"/>
          <w:spacing w:val="-6"/>
          <w:sz w:val="19"/>
        </w:rPr>
        <w:t> </w:t>
      </w:r>
      <w:r>
        <w:rPr>
          <w:color w:val="231F20"/>
          <w:sz w:val="19"/>
        </w:rPr>
        <w:t>in</w:t>
      </w:r>
      <w:r>
        <w:rPr>
          <w:color w:val="231F20"/>
          <w:spacing w:val="-6"/>
          <w:sz w:val="19"/>
        </w:rPr>
        <w:t> </w:t>
      </w:r>
      <w:r>
        <w:rPr>
          <w:color w:val="231F20"/>
          <w:sz w:val="19"/>
        </w:rPr>
        <w:t>the</w:t>
      </w:r>
      <w:r>
        <w:rPr>
          <w:color w:val="231F20"/>
          <w:spacing w:val="-6"/>
          <w:sz w:val="19"/>
        </w:rPr>
        <w:t> </w:t>
      </w:r>
      <w:r>
        <w:rPr>
          <w:color w:val="231F20"/>
          <w:sz w:val="19"/>
        </w:rPr>
        <w:t>gap</w:t>
      </w:r>
      <w:r>
        <w:rPr>
          <w:color w:val="231F20"/>
          <w:spacing w:val="-5"/>
          <w:sz w:val="19"/>
        </w:rPr>
        <w:t> </w:t>
      </w:r>
      <w:r>
        <w:rPr>
          <w:color w:val="231F20"/>
          <w:sz w:val="19"/>
        </w:rPr>
        <w:t>that</w:t>
      </w:r>
      <w:r>
        <w:rPr>
          <w:color w:val="231F20"/>
          <w:spacing w:val="-5"/>
          <w:sz w:val="19"/>
        </w:rPr>
        <w:t> </w:t>
      </w:r>
      <w:r>
        <w:rPr>
          <w:color w:val="231F20"/>
          <w:sz w:val="19"/>
        </w:rPr>
        <w:t>the</w:t>
      </w:r>
      <w:r>
        <w:rPr>
          <w:color w:val="231F20"/>
          <w:spacing w:val="-6"/>
          <w:sz w:val="19"/>
        </w:rPr>
        <w:t> </w:t>
      </w:r>
      <w:r>
        <w:rPr>
          <w:color w:val="231F20"/>
          <w:sz w:val="19"/>
        </w:rPr>
        <w:t>unfair term leaves, the parties are not actually restored to the position they would have been in the absence of the unfair term. In fact, the business is sanctioned by not being able to rely on default rules that establish a fair balance between the rights and obligations of the parties.</w:t>
      </w:r>
    </w:p>
    <w:p>
      <w:pPr>
        <w:pStyle w:val="ListParagraph"/>
        <w:numPr>
          <w:ilvl w:val="0"/>
          <w:numId w:val="4"/>
        </w:numPr>
        <w:tabs>
          <w:tab w:pos="1324" w:val="left" w:leader="none"/>
        </w:tabs>
        <w:spacing w:line="288" w:lineRule="auto" w:before="120" w:after="0"/>
        <w:ind w:left="871" w:right="869" w:firstLine="0"/>
        <w:jc w:val="both"/>
        <w:rPr>
          <w:sz w:val="19"/>
        </w:rPr>
      </w:pPr>
      <w:r>
        <w:rPr>
          <w:color w:val="231F20"/>
          <w:sz w:val="19"/>
        </w:rPr>
        <w:t>Following</w:t>
      </w:r>
      <w:r>
        <w:rPr>
          <w:color w:val="231F20"/>
          <w:spacing w:val="-2"/>
          <w:sz w:val="19"/>
        </w:rPr>
        <w:t> </w:t>
      </w:r>
      <w:r>
        <w:rPr>
          <w:color w:val="231F20"/>
          <w:sz w:val="19"/>
        </w:rPr>
        <w:t>this</w:t>
      </w:r>
      <w:r>
        <w:rPr>
          <w:color w:val="231F20"/>
          <w:spacing w:val="-2"/>
          <w:sz w:val="19"/>
        </w:rPr>
        <w:t> </w:t>
      </w:r>
      <w:r>
        <w:rPr>
          <w:color w:val="231F20"/>
          <w:sz w:val="19"/>
        </w:rPr>
        <w:t>sanction,</w:t>
      </w:r>
      <w:r>
        <w:rPr>
          <w:color w:val="231F20"/>
          <w:spacing w:val="-2"/>
          <w:sz w:val="19"/>
        </w:rPr>
        <w:t> </w:t>
      </w:r>
      <w:r>
        <w:rPr>
          <w:color w:val="231F20"/>
          <w:sz w:val="19"/>
        </w:rPr>
        <w:t>the</w:t>
      </w:r>
      <w:r>
        <w:rPr>
          <w:color w:val="231F20"/>
          <w:spacing w:val="-2"/>
          <w:sz w:val="19"/>
        </w:rPr>
        <w:t> </w:t>
      </w:r>
      <w:r>
        <w:rPr>
          <w:color w:val="231F20"/>
          <w:sz w:val="19"/>
        </w:rPr>
        <w:t>business</w:t>
      </w:r>
      <w:r>
        <w:rPr>
          <w:color w:val="231F20"/>
          <w:spacing w:val="-2"/>
          <w:sz w:val="19"/>
        </w:rPr>
        <w:t> </w:t>
      </w:r>
      <w:r>
        <w:rPr>
          <w:color w:val="231F20"/>
          <w:sz w:val="19"/>
        </w:rPr>
        <w:t>cannot</w:t>
      </w:r>
      <w:r>
        <w:rPr>
          <w:color w:val="231F20"/>
          <w:spacing w:val="-3"/>
          <w:sz w:val="19"/>
        </w:rPr>
        <w:t> </w:t>
      </w:r>
      <w:r>
        <w:rPr>
          <w:color w:val="231F20"/>
          <w:sz w:val="19"/>
        </w:rPr>
        <w:t>rely</w:t>
      </w:r>
      <w:r>
        <w:rPr>
          <w:color w:val="231F20"/>
          <w:spacing w:val="-3"/>
          <w:sz w:val="19"/>
        </w:rPr>
        <w:t> </w:t>
      </w:r>
      <w:r>
        <w:rPr>
          <w:color w:val="231F20"/>
          <w:sz w:val="19"/>
        </w:rPr>
        <w:t>on</w:t>
      </w:r>
      <w:r>
        <w:rPr>
          <w:color w:val="231F20"/>
          <w:spacing w:val="-3"/>
          <w:sz w:val="19"/>
        </w:rPr>
        <w:t> </w:t>
      </w:r>
      <w:r>
        <w:rPr>
          <w:color w:val="231F20"/>
          <w:sz w:val="19"/>
        </w:rPr>
        <w:t>a</w:t>
      </w:r>
      <w:r>
        <w:rPr>
          <w:color w:val="231F20"/>
          <w:spacing w:val="-2"/>
          <w:sz w:val="19"/>
        </w:rPr>
        <w:t> </w:t>
      </w:r>
      <w:r>
        <w:rPr>
          <w:color w:val="231F20"/>
          <w:sz w:val="19"/>
        </w:rPr>
        <w:t>statutory</w:t>
      </w:r>
      <w:r>
        <w:rPr>
          <w:color w:val="231F20"/>
          <w:spacing w:val="-2"/>
          <w:sz w:val="19"/>
        </w:rPr>
        <w:t> </w:t>
      </w:r>
      <w:r>
        <w:rPr>
          <w:color w:val="231F20"/>
          <w:sz w:val="19"/>
        </w:rPr>
        <w:t>interest</w:t>
      </w:r>
      <w:r>
        <w:rPr>
          <w:color w:val="231F20"/>
          <w:spacing w:val="-3"/>
          <w:sz w:val="19"/>
        </w:rPr>
        <w:t> </w:t>
      </w:r>
      <w:r>
        <w:rPr>
          <w:color w:val="231F20"/>
          <w:sz w:val="19"/>
        </w:rPr>
        <w:t>rate to</w:t>
      </w:r>
      <w:r>
        <w:rPr>
          <w:color w:val="231F20"/>
          <w:spacing w:val="-11"/>
          <w:sz w:val="19"/>
        </w:rPr>
        <w:t> </w:t>
      </w:r>
      <w:r>
        <w:rPr>
          <w:color w:val="231F20"/>
          <w:sz w:val="19"/>
        </w:rPr>
        <w:t>substitute</w:t>
      </w:r>
      <w:r>
        <w:rPr>
          <w:color w:val="231F20"/>
          <w:spacing w:val="-10"/>
          <w:sz w:val="19"/>
        </w:rPr>
        <w:t> </w:t>
      </w:r>
      <w:r>
        <w:rPr>
          <w:color w:val="231F20"/>
          <w:sz w:val="19"/>
        </w:rPr>
        <w:t>the</w:t>
      </w:r>
      <w:r>
        <w:rPr>
          <w:color w:val="231F20"/>
          <w:spacing w:val="-11"/>
          <w:sz w:val="19"/>
        </w:rPr>
        <w:t> </w:t>
      </w:r>
      <w:r>
        <w:rPr>
          <w:color w:val="231F20"/>
          <w:sz w:val="19"/>
        </w:rPr>
        <w:t>contractual</w:t>
      </w:r>
      <w:r>
        <w:rPr>
          <w:color w:val="231F20"/>
          <w:spacing w:val="-11"/>
          <w:sz w:val="19"/>
        </w:rPr>
        <w:t> </w:t>
      </w:r>
      <w:r>
        <w:rPr>
          <w:color w:val="231F20"/>
          <w:sz w:val="19"/>
        </w:rPr>
        <w:t>default</w:t>
      </w:r>
      <w:r>
        <w:rPr>
          <w:color w:val="231F20"/>
          <w:spacing w:val="-11"/>
          <w:sz w:val="19"/>
        </w:rPr>
        <w:t> </w:t>
      </w:r>
      <w:r>
        <w:rPr>
          <w:color w:val="231F20"/>
          <w:sz w:val="19"/>
        </w:rPr>
        <w:t>interest</w:t>
      </w:r>
      <w:r>
        <w:rPr>
          <w:color w:val="231F20"/>
          <w:spacing w:val="-11"/>
          <w:sz w:val="19"/>
        </w:rPr>
        <w:t> </w:t>
      </w:r>
      <w:r>
        <w:rPr>
          <w:color w:val="231F20"/>
          <w:sz w:val="19"/>
        </w:rPr>
        <w:t>that</w:t>
      </w:r>
      <w:r>
        <w:rPr>
          <w:color w:val="231F20"/>
          <w:spacing w:val="-11"/>
          <w:sz w:val="19"/>
        </w:rPr>
        <w:t> </w:t>
      </w:r>
      <w:r>
        <w:rPr>
          <w:color w:val="231F20"/>
          <w:sz w:val="19"/>
        </w:rPr>
        <w:t>is</w:t>
      </w:r>
      <w:r>
        <w:rPr>
          <w:color w:val="231F20"/>
          <w:spacing w:val="-10"/>
          <w:sz w:val="19"/>
        </w:rPr>
        <w:t> </w:t>
      </w:r>
      <w:r>
        <w:rPr>
          <w:color w:val="231F20"/>
          <w:sz w:val="19"/>
        </w:rPr>
        <w:t>found</w:t>
      </w:r>
      <w:r>
        <w:rPr>
          <w:color w:val="231F20"/>
          <w:spacing w:val="-11"/>
          <w:sz w:val="19"/>
        </w:rPr>
        <w:t> </w:t>
      </w:r>
      <w:r>
        <w:rPr>
          <w:color w:val="231F20"/>
          <w:sz w:val="19"/>
        </w:rPr>
        <w:t>unfair,</w:t>
      </w:r>
      <w:r>
        <w:rPr>
          <w:color w:val="231F20"/>
          <w:spacing w:val="-10"/>
          <w:sz w:val="19"/>
        </w:rPr>
        <w:t> </w:t>
      </w:r>
      <w:r>
        <w:rPr>
          <w:color w:val="231F20"/>
          <w:sz w:val="19"/>
        </w:rPr>
        <w:t>as</w:t>
      </w:r>
      <w:r>
        <w:rPr>
          <w:color w:val="231F20"/>
          <w:spacing w:val="-12"/>
          <w:sz w:val="19"/>
        </w:rPr>
        <w:t> </w:t>
      </w:r>
      <w:r>
        <w:rPr>
          <w:color w:val="231F20"/>
          <w:sz w:val="19"/>
        </w:rPr>
        <w:t>in</w:t>
      </w:r>
      <w:r>
        <w:rPr>
          <w:color w:val="231F20"/>
          <w:spacing w:val="-10"/>
          <w:sz w:val="19"/>
        </w:rPr>
        <w:t> </w:t>
      </w:r>
      <w:r>
        <w:rPr>
          <w:color w:val="231F20"/>
          <w:sz w:val="19"/>
        </w:rPr>
        <w:t>Case</w:t>
      </w:r>
      <w:r>
        <w:rPr>
          <w:color w:val="231F20"/>
          <w:spacing w:val="-12"/>
          <w:sz w:val="19"/>
        </w:rPr>
        <w:t> </w:t>
      </w:r>
      <w:r>
        <w:rPr>
          <w:color w:val="231F20"/>
          <w:sz w:val="19"/>
        </w:rPr>
        <w:t>C-618/ </w:t>
      </w:r>
      <w:r>
        <w:rPr>
          <w:color w:val="231F20"/>
          <w:spacing w:val="-2"/>
          <w:sz w:val="19"/>
        </w:rPr>
        <w:t>10,</w:t>
      </w:r>
      <w:r>
        <w:rPr>
          <w:color w:val="231F20"/>
          <w:spacing w:val="-7"/>
          <w:sz w:val="19"/>
        </w:rPr>
        <w:t> </w:t>
      </w:r>
      <w:r>
        <w:rPr>
          <w:i/>
          <w:color w:val="231F20"/>
          <w:spacing w:val="-2"/>
          <w:sz w:val="19"/>
        </w:rPr>
        <w:t>Banco</w:t>
      </w:r>
      <w:r>
        <w:rPr>
          <w:i/>
          <w:color w:val="231F20"/>
          <w:spacing w:val="-9"/>
          <w:sz w:val="19"/>
        </w:rPr>
        <w:t> </w:t>
      </w:r>
      <w:r>
        <w:rPr>
          <w:i/>
          <w:color w:val="231F20"/>
          <w:spacing w:val="-2"/>
          <w:sz w:val="19"/>
        </w:rPr>
        <w:t>Español.</w:t>
      </w:r>
      <w:r>
        <w:rPr>
          <w:i/>
          <w:color w:val="231F20"/>
          <w:spacing w:val="-7"/>
          <w:sz w:val="19"/>
        </w:rPr>
        <w:t> </w:t>
      </w:r>
      <w:r>
        <w:rPr>
          <w:color w:val="231F20"/>
          <w:spacing w:val="-2"/>
          <w:sz w:val="19"/>
        </w:rPr>
        <w:t>It</w:t>
      </w:r>
      <w:r>
        <w:rPr>
          <w:color w:val="231F20"/>
          <w:spacing w:val="-8"/>
          <w:sz w:val="19"/>
        </w:rPr>
        <w:t> </w:t>
      </w:r>
      <w:r>
        <w:rPr>
          <w:color w:val="231F20"/>
          <w:spacing w:val="-2"/>
          <w:sz w:val="19"/>
        </w:rPr>
        <w:t>cannot</w:t>
      </w:r>
      <w:r>
        <w:rPr>
          <w:color w:val="231F20"/>
          <w:spacing w:val="-8"/>
          <w:sz w:val="19"/>
        </w:rPr>
        <w:t> </w:t>
      </w:r>
      <w:r>
        <w:rPr>
          <w:color w:val="231F20"/>
          <w:spacing w:val="-2"/>
          <w:sz w:val="19"/>
        </w:rPr>
        <w:t>rely</w:t>
      </w:r>
      <w:r>
        <w:rPr>
          <w:color w:val="231F20"/>
          <w:spacing w:val="-10"/>
          <w:sz w:val="19"/>
        </w:rPr>
        <w:t> </w:t>
      </w:r>
      <w:r>
        <w:rPr>
          <w:color w:val="231F20"/>
          <w:spacing w:val="-2"/>
          <w:sz w:val="19"/>
        </w:rPr>
        <w:t>on</w:t>
      </w:r>
      <w:r>
        <w:rPr>
          <w:color w:val="231F20"/>
          <w:spacing w:val="-8"/>
          <w:sz w:val="19"/>
        </w:rPr>
        <w:t> </w:t>
      </w:r>
      <w:r>
        <w:rPr>
          <w:color w:val="231F20"/>
          <w:spacing w:val="-2"/>
          <w:sz w:val="19"/>
        </w:rPr>
        <w:t>supplementary</w:t>
      </w:r>
      <w:r>
        <w:rPr>
          <w:color w:val="231F20"/>
          <w:spacing w:val="-8"/>
          <w:sz w:val="19"/>
        </w:rPr>
        <w:t> </w:t>
      </w:r>
      <w:r>
        <w:rPr>
          <w:color w:val="231F20"/>
          <w:spacing w:val="-2"/>
          <w:sz w:val="19"/>
        </w:rPr>
        <w:t>law</w:t>
      </w:r>
      <w:r>
        <w:rPr>
          <w:color w:val="231F20"/>
          <w:spacing w:val="-8"/>
          <w:sz w:val="19"/>
        </w:rPr>
        <w:t> </w:t>
      </w:r>
      <w:r>
        <w:rPr>
          <w:color w:val="231F20"/>
          <w:spacing w:val="-2"/>
          <w:sz w:val="19"/>
        </w:rPr>
        <w:t>to</w:t>
      </w:r>
      <w:r>
        <w:rPr>
          <w:color w:val="231F20"/>
          <w:spacing w:val="-8"/>
          <w:sz w:val="19"/>
        </w:rPr>
        <w:t> </w:t>
      </w:r>
      <w:r>
        <w:rPr>
          <w:color w:val="231F20"/>
          <w:spacing w:val="-2"/>
          <w:sz w:val="19"/>
        </w:rPr>
        <w:t>seek</w:t>
      </w:r>
      <w:r>
        <w:rPr>
          <w:color w:val="231F20"/>
          <w:spacing w:val="-7"/>
          <w:sz w:val="19"/>
        </w:rPr>
        <w:t> </w:t>
      </w:r>
      <w:r>
        <w:rPr>
          <w:color w:val="231F20"/>
          <w:spacing w:val="-2"/>
          <w:sz w:val="19"/>
        </w:rPr>
        <w:t>compensation</w:t>
      </w:r>
      <w:r>
        <w:rPr>
          <w:color w:val="231F20"/>
          <w:spacing w:val="-9"/>
          <w:sz w:val="19"/>
        </w:rPr>
        <w:t> </w:t>
      </w:r>
      <w:r>
        <w:rPr>
          <w:color w:val="231F20"/>
          <w:spacing w:val="-2"/>
          <w:sz w:val="19"/>
        </w:rPr>
        <w:t>from </w:t>
      </w:r>
      <w:r>
        <w:rPr>
          <w:color w:val="231F20"/>
          <w:sz w:val="19"/>
        </w:rPr>
        <w:t>the</w:t>
      </w:r>
      <w:r>
        <w:rPr>
          <w:color w:val="231F20"/>
          <w:spacing w:val="-9"/>
          <w:sz w:val="19"/>
        </w:rPr>
        <w:t> </w:t>
      </w:r>
      <w:r>
        <w:rPr>
          <w:color w:val="231F20"/>
          <w:sz w:val="19"/>
        </w:rPr>
        <w:t>consumer,</w:t>
      </w:r>
      <w:r>
        <w:rPr>
          <w:color w:val="231F20"/>
          <w:spacing w:val="-8"/>
          <w:sz w:val="19"/>
        </w:rPr>
        <w:t> </w:t>
      </w:r>
      <w:r>
        <w:rPr>
          <w:color w:val="231F20"/>
          <w:sz w:val="19"/>
        </w:rPr>
        <w:t>following</w:t>
      </w:r>
      <w:r>
        <w:rPr>
          <w:color w:val="231F20"/>
          <w:spacing w:val="-9"/>
          <w:sz w:val="19"/>
        </w:rPr>
        <w:t> </w:t>
      </w:r>
      <w:r>
        <w:rPr>
          <w:color w:val="231F20"/>
          <w:sz w:val="19"/>
        </w:rPr>
        <w:t>the</w:t>
      </w:r>
      <w:r>
        <w:rPr>
          <w:color w:val="231F20"/>
          <w:spacing w:val="-9"/>
          <w:sz w:val="19"/>
        </w:rPr>
        <w:t> </w:t>
      </w:r>
      <w:r>
        <w:rPr>
          <w:color w:val="231F20"/>
          <w:sz w:val="19"/>
        </w:rPr>
        <w:t>finding</w:t>
      </w:r>
      <w:r>
        <w:rPr>
          <w:color w:val="231F20"/>
          <w:spacing w:val="-8"/>
          <w:sz w:val="19"/>
        </w:rPr>
        <w:t> </w:t>
      </w:r>
      <w:r>
        <w:rPr>
          <w:color w:val="231F20"/>
          <w:sz w:val="19"/>
        </w:rPr>
        <w:t>of</w:t>
      </w:r>
      <w:r>
        <w:rPr>
          <w:color w:val="231F20"/>
          <w:spacing w:val="-8"/>
          <w:sz w:val="19"/>
        </w:rPr>
        <w:t> </w:t>
      </w:r>
      <w:r>
        <w:rPr>
          <w:color w:val="231F20"/>
          <w:sz w:val="19"/>
        </w:rPr>
        <w:t>an</w:t>
      </w:r>
      <w:r>
        <w:rPr>
          <w:color w:val="231F20"/>
          <w:spacing w:val="-9"/>
          <w:sz w:val="19"/>
        </w:rPr>
        <w:t> </w:t>
      </w:r>
      <w:r>
        <w:rPr>
          <w:color w:val="231F20"/>
          <w:sz w:val="19"/>
        </w:rPr>
        <w:t>unfair</w:t>
      </w:r>
      <w:r>
        <w:rPr>
          <w:color w:val="231F20"/>
          <w:spacing w:val="-8"/>
          <w:sz w:val="19"/>
        </w:rPr>
        <w:t> </w:t>
      </w:r>
      <w:r>
        <w:rPr>
          <w:color w:val="231F20"/>
          <w:sz w:val="19"/>
        </w:rPr>
        <w:t>term,</w:t>
      </w:r>
      <w:r>
        <w:rPr>
          <w:color w:val="231F20"/>
          <w:spacing w:val="-9"/>
          <w:sz w:val="19"/>
        </w:rPr>
        <w:t> </w:t>
      </w:r>
      <w:r>
        <w:rPr>
          <w:color w:val="231F20"/>
          <w:sz w:val="19"/>
        </w:rPr>
        <w:t>as</w:t>
      </w:r>
      <w:r>
        <w:rPr>
          <w:color w:val="231F20"/>
          <w:spacing w:val="-8"/>
          <w:sz w:val="19"/>
        </w:rPr>
        <w:t> </w:t>
      </w:r>
      <w:r>
        <w:rPr>
          <w:color w:val="231F20"/>
          <w:sz w:val="19"/>
        </w:rPr>
        <w:t>in</w:t>
      </w:r>
      <w:r>
        <w:rPr>
          <w:color w:val="231F20"/>
          <w:spacing w:val="-8"/>
          <w:sz w:val="19"/>
        </w:rPr>
        <w:t> </w:t>
      </w:r>
      <w:r>
        <w:rPr>
          <w:color w:val="231F20"/>
          <w:sz w:val="19"/>
        </w:rPr>
        <w:t>joined</w:t>
      </w:r>
      <w:r>
        <w:rPr>
          <w:color w:val="231F20"/>
          <w:spacing w:val="-8"/>
          <w:sz w:val="19"/>
        </w:rPr>
        <w:t> </w:t>
      </w:r>
      <w:r>
        <w:rPr>
          <w:color w:val="231F20"/>
          <w:sz w:val="19"/>
        </w:rPr>
        <w:t>Cases</w:t>
      </w:r>
      <w:r>
        <w:rPr>
          <w:color w:val="231F20"/>
          <w:spacing w:val="-9"/>
          <w:sz w:val="19"/>
        </w:rPr>
        <w:t> </w:t>
      </w:r>
      <w:r>
        <w:rPr>
          <w:color w:val="231F20"/>
          <w:sz w:val="19"/>
        </w:rPr>
        <w:t>C-</w:t>
      </w:r>
      <w:r>
        <w:rPr>
          <w:color w:val="231F20"/>
          <w:spacing w:val="-2"/>
          <w:sz w:val="19"/>
        </w:rPr>
        <w:t>229/19</w:t>
      </w:r>
    </w:p>
    <w:p>
      <w:pPr>
        <w:pStyle w:val="BodyText"/>
        <w:spacing w:before="151"/>
        <w:rPr>
          <w:sz w:val="20"/>
        </w:rPr>
      </w:pPr>
      <w:r>
        <w:rPr/>
        <mc:AlternateContent>
          <mc:Choice Requires="wps">
            <w:drawing>
              <wp:anchor distT="0" distB="0" distL="0" distR="0" allowOverlap="1" layoutInCell="1" locked="0" behindDoc="1" simplePos="0" relativeHeight="487597568">
                <wp:simplePos x="0" y="0"/>
                <wp:positionH relativeFrom="page">
                  <wp:posOffset>1979993</wp:posOffset>
                </wp:positionH>
                <wp:positionV relativeFrom="paragraph">
                  <wp:posOffset>255455</wp:posOffset>
                </wp:positionV>
                <wp:extent cx="1656080" cy="4445"/>
                <wp:effectExtent l="0" t="0" r="0" b="0"/>
                <wp:wrapTopAndBottom/>
                <wp:docPr id="22" name="Graphic 22"/>
                <wp:cNvGraphicFramePr>
                  <a:graphicFrameLocks/>
                </wp:cNvGraphicFramePr>
                <a:graphic>
                  <a:graphicData uri="http://schemas.microsoft.com/office/word/2010/wordprocessingShape">
                    <wps:wsp>
                      <wps:cNvPr id="22" name="Graphic 22"/>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0.114616pt;width:130.394pt;height:.34015pt;mso-position-horizontal-relative:page;mso-position-vertical-relative:paragraph;z-index:-15718912;mso-wrap-distance-left:0;mso-wrap-distance-right:0" id="docshape22"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5" w:val="left" w:leader="none"/>
        </w:tabs>
        <w:spacing w:line="240" w:lineRule="auto" w:before="1" w:after="0"/>
        <w:ind w:left="865" w:right="0" w:hanging="353"/>
        <w:jc w:val="both"/>
        <w:rPr>
          <w:sz w:val="16"/>
        </w:rPr>
      </w:pPr>
      <w:r>
        <w:rPr>
          <w:color w:val="231F20"/>
          <w:sz w:val="16"/>
        </w:rPr>
        <w:t>C.</w:t>
      </w:r>
      <w:r>
        <w:rPr>
          <w:color w:val="231F20"/>
          <w:spacing w:val="4"/>
          <w:sz w:val="16"/>
        </w:rPr>
        <w:t> </w:t>
      </w:r>
      <w:r>
        <w:rPr>
          <w:color w:val="231F20"/>
          <w:sz w:val="16"/>
        </w:rPr>
        <w:t>P</w:t>
      </w:r>
      <w:r>
        <w:rPr>
          <w:color w:val="231F20"/>
          <w:sz w:val="11"/>
        </w:rPr>
        <w:t>AVILLON</w:t>
      </w:r>
      <w:r>
        <w:rPr>
          <w:color w:val="231F20"/>
          <w:sz w:val="16"/>
        </w:rPr>
        <w:t>,</w:t>
      </w:r>
      <w:r>
        <w:rPr>
          <w:color w:val="231F20"/>
          <w:spacing w:val="5"/>
          <w:sz w:val="16"/>
        </w:rPr>
        <w:t> </w:t>
      </w:r>
      <w:r>
        <w:rPr>
          <w:rFonts w:ascii="Arial" w:hAnsi="Arial"/>
          <w:color w:val="231F20"/>
          <w:sz w:val="16"/>
        </w:rPr>
        <w:t>‘</w:t>
      </w:r>
      <w:r>
        <w:rPr>
          <w:color w:val="231F20"/>
          <w:sz w:val="16"/>
        </w:rPr>
        <w:t>Private</w:t>
      </w:r>
      <w:r>
        <w:rPr>
          <w:color w:val="231F20"/>
          <w:spacing w:val="3"/>
          <w:sz w:val="16"/>
        </w:rPr>
        <w:t> </w:t>
      </w:r>
      <w:r>
        <w:rPr>
          <w:color w:val="231F20"/>
          <w:sz w:val="16"/>
        </w:rPr>
        <w:t>Enforcement</w:t>
      </w:r>
      <w:r>
        <w:rPr>
          <w:color w:val="231F20"/>
          <w:spacing w:val="7"/>
          <w:sz w:val="16"/>
        </w:rPr>
        <w:t> </w:t>
      </w:r>
      <w:r>
        <w:rPr>
          <w:color w:val="231F20"/>
          <w:sz w:val="16"/>
        </w:rPr>
        <w:t>as</w:t>
      </w:r>
      <w:r>
        <w:rPr>
          <w:color w:val="231F20"/>
          <w:spacing w:val="5"/>
          <w:sz w:val="16"/>
        </w:rPr>
        <w:t> </w:t>
      </w:r>
      <w:r>
        <w:rPr>
          <w:color w:val="231F20"/>
          <w:sz w:val="16"/>
        </w:rPr>
        <w:t>a</w:t>
      </w:r>
      <w:r>
        <w:rPr>
          <w:color w:val="231F20"/>
          <w:spacing w:val="5"/>
          <w:sz w:val="16"/>
        </w:rPr>
        <w:t> </w:t>
      </w:r>
      <w:r>
        <w:rPr>
          <w:color w:val="231F20"/>
          <w:sz w:val="16"/>
        </w:rPr>
        <w:t>Deterrence</w:t>
      </w:r>
      <w:r>
        <w:rPr>
          <w:color w:val="231F20"/>
          <w:spacing w:val="3"/>
          <w:sz w:val="16"/>
        </w:rPr>
        <w:t> </w:t>
      </w:r>
      <w:r>
        <w:rPr>
          <w:color w:val="231F20"/>
          <w:sz w:val="16"/>
        </w:rPr>
        <w:t>Tool:</w:t>
      </w:r>
      <w:r>
        <w:rPr>
          <w:color w:val="231F20"/>
          <w:spacing w:val="5"/>
          <w:sz w:val="16"/>
        </w:rPr>
        <w:t> </w:t>
      </w:r>
      <w:r>
        <w:rPr>
          <w:color w:val="231F20"/>
          <w:sz w:val="16"/>
        </w:rPr>
        <w:t>A</w:t>
      </w:r>
      <w:r>
        <w:rPr>
          <w:color w:val="231F20"/>
          <w:spacing w:val="5"/>
          <w:sz w:val="16"/>
        </w:rPr>
        <w:t> </w:t>
      </w:r>
      <w:r>
        <w:rPr>
          <w:color w:val="231F20"/>
          <w:sz w:val="16"/>
        </w:rPr>
        <w:t>Blind</w:t>
      </w:r>
      <w:r>
        <w:rPr>
          <w:color w:val="231F20"/>
          <w:spacing w:val="4"/>
          <w:sz w:val="16"/>
        </w:rPr>
        <w:t> </w:t>
      </w:r>
      <w:r>
        <w:rPr>
          <w:color w:val="231F20"/>
          <w:sz w:val="16"/>
        </w:rPr>
        <w:t>Spot</w:t>
      </w:r>
      <w:r>
        <w:rPr>
          <w:color w:val="231F20"/>
          <w:spacing w:val="5"/>
          <w:sz w:val="16"/>
        </w:rPr>
        <w:t> </w:t>
      </w:r>
      <w:r>
        <w:rPr>
          <w:color w:val="231F20"/>
          <w:sz w:val="16"/>
        </w:rPr>
        <w:t>in</w:t>
      </w:r>
      <w:r>
        <w:rPr>
          <w:color w:val="231F20"/>
          <w:spacing w:val="4"/>
          <w:sz w:val="16"/>
        </w:rPr>
        <w:t> </w:t>
      </w:r>
      <w:r>
        <w:rPr>
          <w:color w:val="231F20"/>
          <w:sz w:val="16"/>
        </w:rPr>
        <w:t>the</w:t>
      </w:r>
      <w:r>
        <w:rPr>
          <w:color w:val="231F20"/>
          <w:spacing w:val="5"/>
          <w:sz w:val="16"/>
        </w:rPr>
        <w:t> </w:t>
      </w:r>
      <w:r>
        <w:rPr>
          <w:color w:val="231F20"/>
          <w:sz w:val="16"/>
        </w:rPr>
        <w:t>Omnibus-</w:t>
      </w:r>
      <w:r>
        <w:rPr>
          <w:color w:val="231F20"/>
          <w:spacing w:val="-2"/>
          <w:sz w:val="16"/>
        </w:rPr>
        <w:t>Directive</w:t>
      </w:r>
      <w:r>
        <w:rPr>
          <w:rFonts w:ascii="Arial" w:hAnsi="Arial"/>
          <w:color w:val="231F20"/>
          <w:spacing w:val="-2"/>
          <w:sz w:val="16"/>
        </w:rPr>
        <w:t>’</w:t>
      </w:r>
      <w:r>
        <w:rPr>
          <w:color w:val="231F20"/>
          <w:spacing w:val="-2"/>
          <w:sz w:val="16"/>
        </w:rPr>
        <w:t>,</w:t>
      </w:r>
    </w:p>
    <w:p>
      <w:pPr>
        <w:spacing w:before="37"/>
        <w:ind w:left="866" w:right="0" w:firstLine="0"/>
        <w:jc w:val="left"/>
        <w:rPr>
          <w:sz w:val="16"/>
        </w:rPr>
      </w:pPr>
      <w:r>
        <w:rPr>
          <w:color w:val="231F20"/>
          <w:sz w:val="16"/>
        </w:rPr>
        <w:t>27.</w:t>
      </w:r>
      <w:r>
        <w:rPr>
          <w:color w:val="231F20"/>
          <w:spacing w:val="16"/>
          <w:sz w:val="16"/>
        </w:rPr>
        <w:t> </w:t>
      </w:r>
      <w:r>
        <w:rPr>
          <w:i/>
          <w:color w:val="231F20"/>
          <w:sz w:val="16"/>
        </w:rPr>
        <w:t>ERPL</w:t>
      </w:r>
      <w:r>
        <w:rPr>
          <w:i/>
          <w:color w:val="231F20"/>
          <w:spacing w:val="17"/>
          <w:sz w:val="16"/>
        </w:rPr>
        <w:t> </w:t>
      </w:r>
      <w:r>
        <w:rPr>
          <w:color w:val="231F20"/>
          <w:sz w:val="16"/>
        </w:rPr>
        <w:t>2019,</w:t>
      </w:r>
      <w:r>
        <w:rPr>
          <w:color w:val="231F20"/>
          <w:spacing w:val="18"/>
          <w:sz w:val="16"/>
        </w:rPr>
        <w:t> </w:t>
      </w:r>
      <w:r>
        <w:rPr>
          <w:color w:val="231F20"/>
          <w:sz w:val="16"/>
        </w:rPr>
        <w:t>p</w:t>
      </w:r>
      <w:r>
        <w:rPr>
          <w:color w:val="231F20"/>
          <w:spacing w:val="16"/>
          <w:sz w:val="16"/>
        </w:rPr>
        <w:t> </w:t>
      </w:r>
      <w:r>
        <w:rPr>
          <w:color w:val="231F20"/>
          <w:sz w:val="16"/>
        </w:rPr>
        <w:t>(1297),</w:t>
      </w:r>
      <w:r>
        <w:rPr>
          <w:color w:val="231F20"/>
          <w:spacing w:val="18"/>
          <w:sz w:val="16"/>
        </w:rPr>
        <w:t> </w:t>
      </w:r>
      <w:r>
        <w:rPr>
          <w:color w:val="231F20"/>
          <w:sz w:val="16"/>
        </w:rPr>
        <w:t>doi:</w:t>
      </w:r>
      <w:r>
        <w:rPr>
          <w:color w:val="231F20"/>
          <w:spacing w:val="18"/>
          <w:sz w:val="16"/>
        </w:rPr>
        <w:t> </w:t>
      </w:r>
      <w:r>
        <w:rPr>
          <w:color w:val="231F20"/>
          <w:spacing w:val="-2"/>
          <w:sz w:val="16"/>
        </w:rPr>
        <w:t>10.2139/ssrn.3418907.</w:t>
      </w:r>
    </w:p>
    <w:p>
      <w:pPr>
        <w:pStyle w:val="ListParagraph"/>
        <w:numPr>
          <w:ilvl w:val="0"/>
          <w:numId w:val="3"/>
        </w:numPr>
        <w:tabs>
          <w:tab w:pos="866" w:val="left" w:leader="none"/>
        </w:tabs>
        <w:spacing w:line="285" w:lineRule="auto" w:before="33" w:after="0"/>
        <w:ind w:left="866" w:right="869" w:hanging="354"/>
        <w:jc w:val="both"/>
        <w:rPr>
          <w:sz w:val="16"/>
        </w:rPr>
      </w:pPr>
      <w:r>
        <w:rPr>
          <w:color w:val="231F20"/>
          <w:sz w:val="16"/>
        </w:rPr>
        <w:t>S. G</w:t>
      </w:r>
      <w:r>
        <w:rPr>
          <w:color w:val="231F20"/>
          <w:sz w:val="11"/>
        </w:rPr>
        <w:t>RUNDMANN</w:t>
      </w:r>
      <w:r>
        <w:rPr>
          <w:color w:val="231F20"/>
          <w:spacing w:val="40"/>
          <w:sz w:val="11"/>
        </w:rPr>
        <w:t> </w:t>
      </w:r>
      <w:r>
        <w:rPr>
          <w:color w:val="231F20"/>
          <w:sz w:val="16"/>
        </w:rPr>
        <w:t>&amp; N. B</w:t>
      </w:r>
      <w:r>
        <w:rPr>
          <w:color w:val="231F20"/>
          <w:sz w:val="11"/>
        </w:rPr>
        <w:t>ADENHOOP</w:t>
      </w:r>
      <w:r>
        <w:rPr>
          <w:color w:val="231F20"/>
          <w:sz w:val="16"/>
        </w:rPr>
        <w:t>, </w:t>
      </w:r>
      <w:r>
        <w:rPr>
          <w:rFonts w:ascii="Arial" w:hAnsi="Arial"/>
          <w:color w:val="231F20"/>
          <w:sz w:val="16"/>
        </w:rPr>
        <w:t>‘</w:t>
      </w:r>
      <w:r>
        <w:rPr>
          <w:color w:val="231F20"/>
          <w:sz w:val="16"/>
        </w:rPr>
        <w:t>Foreign Currency Loans and the Foundations of European</w:t>
      </w:r>
      <w:r>
        <w:rPr>
          <w:color w:val="231F20"/>
          <w:spacing w:val="40"/>
          <w:sz w:val="16"/>
        </w:rPr>
        <w:t> </w:t>
      </w:r>
      <w:r>
        <w:rPr>
          <w:color w:val="231F20"/>
          <w:sz w:val="16"/>
        </w:rPr>
        <w:t>Contract Law </w:t>
      </w:r>
      <w:r>
        <w:rPr>
          <w:rFonts w:ascii="Arial" w:hAnsi="Arial"/>
          <w:color w:val="231F20"/>
          <w:sz w:val="16"/>
        </w:rPr>
        <w:t>– </w:t>
      </w:r>
      <w:r>
        <w:rPr>
          <w:color w:val="231F20"/>
          <w:sz w:val="16"/>
        </w:rPr>
        <w:t>A Case for Financial and Contractual Crisis?, 19. </w:t>
      </w:r>
      <w:r>
        <w:rPr>
          <w:i/>
          <w:color w:val="231F20"/>
          <w:sz w:val="16"/>
        </w:rPr>
        <w:t>ERCL (European Review of</w:t>
      </w:r>
      <w:r>
        <w:rPr>
          <w:i/>
          <w:color w:val="231F20"/>
          <w:spacing w:val="40"/>
          <w:sz w:val="16"/>
        </w:rPr>
        <w:t> </w:t>
      </w:r>
      <w:r>
        <w:rPr>
          <w:i/>
          <w:color w:val="231F20"/>
          <w:sz w:val="16"/>
        </w:rPr>
        <w:t>Contract Law) </w:t>
      </w:r>
      <w:r>
        <w:rPr>
          <w:color w:val="231F20"/>
          <w:sz w:val="16"/>
        </w:rPr>
        <w:t>2023, p (1) at 19, doi: 10.1515/ercl-2023-2002.</w:t>
      </w:r>
    </w:p>
    <w:p>
      <w:pPr>
        <w:pStyle w:val="ListParagraph"/>
        <w:numPr>
          <w:ilvl w:val="0"/>
          <w:numId w:val="3"/>
        </w:numPr>
        <w:tabs>
          <w:tab w:pos="865" w:val="left" w:leader="none"/>
        </w:tabs>
        <w:spacing w:line="240" w:lineRule="auto" w:before="5" w:after="0"/>
        <w:ind w:left="865" w:right="0" w:hanging="353"/>
        <w:jc w:val="both"/>
        <w:rPr>
          <w:sz w:val="16"/>
        </w:rPr>
      </w:pPr>
      <w:r>
        <w:rPr>
          <w:color w:val="231F20"/>
          <w:sz w:val="16"/>
        </w:rPr>
        <w:t>ECJ</w:t>
      </w:r>
      <w:r>
        <w:rPr>
          <w:color w:val="231F20"/>
          <w:spacing w:val="-4"/>
          <w:sz w:val="16"/>
        </w:rPr>
        <w:t> </w:t>
      </w:r>
      <w:r>
        <w:rPr>
          <w:color w:val="231F20"/>
          <w:sz w:val="16"/>
        </w:rPr>
        <w:t>29</w:t>
      </w:r>
      <w:r>
        <w:rPr>
          <w:color w:val="231F20"/>
          <w:spacing w:val="-3"/>
          <w:sz w:val="16"/>
        </w:rPr>
        <w:t> </w:t>
      </w:r>
      <w:r>
        <w:rPr>
          <w:color w:val="231F20"/>
          <w:sz w:val="16"/>
        </w:rPr>
        <w:t>Apr.</w:t>
      </w:r>
      <w:r>
        <w:rPr>
          <w:color w:val="231F20"/>
          <w:spacing w:val="-4"/>
          <w:sz w:val="16"/>
        </w:rPr>
        <w:t> </w:t>
      </w:r>
      <w:r>
        <w:rPr>
          <w:color w:val="231F20"/>
          <w:sz w:val="16"/>
        </w:rPr>
        <w:t>2021,</w:t>
      </w:r>
      <w:r>
        <w:rPr>
          <w:color w:val="231F20"/>
          <w:spacing w:val="-3"/>
          <w:sz w:val="16"/>
        </w:rPr>
        <w:t> </w:t>
      </w:r>
      <w:r>
        <w:rPr>
          <w:color w:val="231F20"/>
          <w:sz w:val="16"/>
        </w:rPr>
        <w:t>ECLI:EU:C:2021:341,</w:t>
      </w:r>
      <w:r>
        <w:rPr>
          <w:color w:val="231F20"/>
          <w:spacing w:val="-3"/>
          <w:sz w:val="16"/>
        </w:rPr>
        <w:t> </w:t>
      </w:r>
      <w:r>
        <w:rPr>
          <w:i/>
          <w:color w:val="231F20"/>
          <w:sz w:val="16"/>
        </w:rPr>
        <w:t>I.W.</w:t>
      </w:r>
      <w:r>
        <w:rPr>
          <w:i/>
          <w:color w:val="231F20"/>
          <w:spacing w:val="-4"/>
          <w:sz w:val="16"/>
        </w:rPr>
        <w:t> </w:t>
      </w:r>
      <w:r>
        <w:rPr>
          <w:i/>
          <w:color w:val="231F20"/>
          <w:sz w:val="16"/>
        </w:rPr>
        <w:t>and</w:t>
      </w:r>
      <w:r>
        <w:rPr>
          <w:i/>
          <w:color w:val="231F20"/>
          <w:spacing w:val="-2"/>
          <w:sz w:val="16"/>
        </w:rPr>
        <w:t> </w:t>
      </w:r>
      <w:r>
        <w:rPr>
          <w:i/>
          <w:color w:val="231F20"/>
          <w:sz w:val="16"/>
        </w:rPr>
        <w:t>R.W.</w:t>
      </w:r>
      <w:r>
        <w:rPr>
          <w:i/>
          <w:color w:val="231F20"/>
          <w:spacing w:val="-3"/>
          <w:sz w:val="16"/>
        </w:rPr>
        <w:t> </w:t>
      </w:r>
      <w:r>
        <w:rPr>
          <w:color w:val="231F20"/>
          <w:sz w:val="16"/>
        </w:rPr>
        <w:t>v.</w:t>
      </w:r>
      <w:r>
        <w:rPr>
          <w:color w:val="231F20"/>
          <w:spacing w:val="-3"/>
          <w:sz w:val="16"/>
        </w:rPr>
        <w:t> </w:t>
      </w:r>
      <w:r>
        <w:rPr>
          <w:i/>
          <w:color w:val="231F20"/>
          <w:sz w:val="16"/>
        </w:rPr>
        <w:t>Bank</w:t>
      </w:r>
      <w:r>
        <w:rPr>
          <w:i/>
          <w:color w:val="231F20"/>
          <w:spacing w:val="-3"/>
          <w:sz w:val="16"/>
        </w:rPr>
        <w:t> </w:t>
      </w:r>
      <w:r>
        <w:rPr>
          <w:i/>
          <w:color w:val="231F20"/>
          <w:sz w:val="16"/>
        </w:rPr>
        <w:t>BPH</w:t>
      </w:r>
      <w:r>
        <w:rPr>
          <w:i/>
          <w:color w:val="231F20"/>
          <w:spacing w:val="-2"/>
          <w:sz w:val="16"/>
        </w:rPr>
        <w:t> </w:t>
      </w:r>
      <w:r>
        <w:rPr>
          <w:i/>
          <w:color w:val="231F20"/>
          <w:sz w:val="16"/>
        </w:rPr>
        <w:t>S.A.</w:t>
      </w:r>
      <w:r>
        <w:rPr>
          <w:color w:val="231F20"/>
          <w:sz w:val="16"/>
        </w:rPr>
        <w:t>,</w:t>
      </w:r>
      <w:r>
        <w:rPr>
          <w:color w:val="231F20"/>
          <w:spacing w:val="-3"/>
          <w:sz w:val="16"/>
        </w:rPr>
        <w:t> </w:t>
      </w:r>
      <w:r>
        <w:rPr>
          <w:color w:val="231F20"/>
          <w:sz w:val="16"/>
        </w:rPr>
        <w:t>para.</w:t>
      </w:r>
      <w:r>
        <w:rPr>
          <w:color w:val="231F20"/>
          <w:spacing w:val="-4"/>
          <w:sz w:val="16"/>
        </w:rPr>
        <w:t> </w:t>
      </w:r>
      <w:r>
        <w:rPr>
          <w:color w:val="231F20"/>
          <w:sz w:val="16"/>
        </w:rPr>
        <w:t>86.</w:t>
      </w:r>
      <w:r>
        <w:rPr>
          <w:color w:val="231F20"/>
          <w:spacing w:val="-3"/>
          <w:sz w:val="16"/>
        </w:rPr>
        <w:t> </w:t>
      </w:r>
      <w:r>
        <w:rPr>
          <w:color w:val="231F20"/>
          <w:sz w:val="16"/>
        </w:rPr>
        <w:t>It</w:t>
      </w:r>
      <w:r>
        <w:rPr>
          <w:color w:val="231F20"/>
          <w:spacing w:val="-3"/>
          <w:sz w:val="16"/>
        </w:rPr>
        <w:t> </w:t>
      </w:r>
      <w:r>
        <w:rPr>
          <w:color w:val="231F20"/>
          <w:sz w:val="16"/>
        </w:rPr>
        <w:t>seems</w:t>
      </w:r>
      <w:r>
        <w:rPr>
          <w:color w:val="231F20"/>
          <w:spacing w:val="-3"/>
          <w:sz w:val="16"/>
        </w:rPr>
        <w:t> </w:t>
      </w:r>
      <w:r>
        <w:rPr>
          <w:color w:val="231F20"/>
          <w:spacing w:val="-4"/>
          <w:sz w:val="16"/>
        </w:rPr>
        <w:t>that</w:t>
      </w:r>
    </w:p>
    <w:p>
      <w:pPr>
        <w:spacing w:before="37"/>
        <w:ind w:left="866" w:right="0" w:firstLine="0"/>
        <w:jc w:val="both"/>
        <w:rPr>
          <w:sz w:val="16"/>
        </w:rPr>
      </w:pPr>
      <w:r>
        <w:rPr>
          <w:color w:val="231F20"/>
          <w:sz w:val="16"/>
        </w:rPr>
        <w:t>it</w:t>
      </w:r>
      <w:r>
        <w:rPr>
          <w:color w:val="231F20"/>
          <w:spacing w:val="-1"/>
          <w:sz w:val="16"/>
        </w:rPr>
        <w:t> </w:t>
      </w:r>
      <w:r>
        <w:rPr>
          <w:color w:val="231F20"/>
          <w:sz w:val="16"/>
        </w:rPr>
        <w:t>related</w:t>
      </w:r>
      <w:r>
        <w:rPr>
          <w:color w:val="231F20"/>
          <w:spacing w:val="1"/>
          <w:sz w:val="16"/>
        </w:rPr>
        <w:t> </w:t>
      </w:r>
      <w:r>
        <w:rPr>
          <w:color w:val="231F20"/>
          <w:sz w:val="16"/>
        </w:rPr>
        <w:t>to temporal effects</w:t>
      </w:r>
      <w:r>
        <w:rPr>
          <w:color w:val="231F20"/>
          <w:spacing w:val="-2"/>
          <w:sz w:val="16"/>
        </w:rPr>
        <w:t> </w:t>
      </w:r>
      <w:r>
        <w:rPr>
          <w:color w:val="231F20"/>
          <w:sz w:val="16"/>
        </w:rPr>
        <w:t>of</w:t>
      </w:r>
      <w:r>
        <w:rPr>
          <w:color w:val="231F20"/>
          <w:spacing w:val="4"/>
          <w:sz w:val="16"/>
        </w:rPr>
        <w:t> </w:t>
      </w:r>
      <w:r>
        <w:rPr>
          <w:color w:val="231F20"/>
          <w:sz w:val="16"/>
        </w:rPr>
        <w:t>invalidity, see</w:t>
      </w:r>
      <w:r>
        <w:rPr>
          <w:color w:val="231F20"/>
          <w:spacing w:val="1"/>
          <w:sz w:val="16"/>
        </w:rPr>
        <w:t> </w:t>
      </w:r>
      <w:r>
        <w:rPr>
          <w:color w:val="231F20"/>
          <w:sz w:val="16"/>
        </w:rPr>
        <w:t>para. 33, question</w:t>
      </w:r>
      <w:r>
        <w:rPr>
          <w:color w:val="231F20"/>
          <w:spacing w:val="1"/>
          <w:sz w:val="16"/>
        </w:rPr>
        <w:t> </w:t>
      </w:r>
      <w:r>
        <w:rPr>
          <w:color w:val="231F20"/>
          <w:spacing w:val="-5"/>
          <w:sz w:val="16"/>
        </w:rPr>
        <w:t>4.</w:t>
      </w:r>
    </w:p>
    <w:p>
      <w:pPr>
        <w:pStyle w:val="ListParagraph"/>
        <w:numPr>
          <w:ilvl w:val="0"/>
          <w:numId w:val="3"/>
        </w:numPr>
        <w:tabs>
          <w:tab w:pos="866" w:val="left" w:leader="none"/>
        </w:tabs>
        <w:spacing w:line="288" w:lineRule="auto" w:before="37" w:after="0"/>
        <w:ind w:left="866" w:right="869" w:hanging="354"/>
        <w:jc w:val="left"/>
        <w:rPr>
          <w:sz w:val="16"/>
        </w:rPr>
      </w:pPr>
      <w:r>
        <w:rPr>
          <w:color w:val="231F20"/>
          <w:sz w:val="16"/>
        </w:rPr>
        <w:t>As</w:t>
      </w:r>
      <w:r>
        <w:rPr>
          <w:color w:val="231F20"/>
          <w:spacing w:val="13"/>
          <w:sz w:val="16"/>
        </w:rPr>
        <w:t> </w:t>
      </w:r>
      <w:r>
        <w:rPr>
          <w:color w:val="231F20"/>
          <w:sz w:val="16"/>
        </w:rPr>
        <w:t>it</w:t>
      </w:r>
      <w:r>
        <w:rPr>
          <w:color w:val="231F20"/>
          <w:spacing w:val="12"/>
          <w:sz w:val="16"/>
        </w:rPr>
        <w:t> </w:t>
      </w:r>
      <w:r>
        <w:rPr>
          <w:color w:val="231F20"/>
          <w:sz w:val="16"/>
        </w:rPr>
        <w:t>is</w:t>
      </w:r>
      <w:r>
        <w:rPr>
          <w:color w:val="231F20"/>
          <w:spacing w:val="13"/>
          <w:sz w:val="16"/>
        </w:rPr>
        <w:t> </w:t>
      </w:r>
      <w:r>
        <w:rPr>
          <w:color w:val="231F20"/>
          <w:sz w:val="16"/>
        </w:rPr>
        <w:t>clear</w:t>
      </w:r>
      <w:r>
        <w:rPr>
          <w:color w:val="231F20"/>
          <w:spacing w:val="13"/>
          <w:sz w:val="16"/>
        </w:rPr>
        <w:t> </w:t>
      </w:r>
      <w:r>
        <w:rPr>
          <w:color w:val="231F20"/>
          <w:sz w:val="16"/>
        </w:rPr>
        <w:t>in</w:t>
      </w:r>
      <w:r>
        <w:rPr>
          <w:color w:val="231F20"/>
          <w:spacing w:val="13"/>
          <w:sz w:val="16"/>
        </w:rPr>
        <w:t> </w:t>
      </w:r>
      <w:r>
        <w:rPr>
          <w:color w:val="231F20"/>
          <w:sz w:val="16"/>
        </w:rPr>
        <w:t>ECJ</w:t>
      </w:r>
      <w:r>
        <w:rPr>
          <w:color w:val="231F20"/>
          <w:spacing w:val="12"/>
          <w:sz w:val="16"/>
        </w:rPr>
        <w:t> </w:t>
      </w:r>
      <w:r>
        <w:rPr>
          <w:color w:val="231F20"/>
          <w:sz w:val="16"/>
        </w:rPr>
        <w:t>8</w:t>
      </w:r>
      <w:r>
        <w:rPr>
          <w:color w:val="231F20"/>
          <w:spacing w:val="13"/>
          <w:sz w:val="16"/>
        </w:rPr>
        <w:t> </w:t>
      </w:r>
      <w:r>
        <w:rPr>
          <w:color w:val="231F20"/>
          <w:sz w:val="16"/>
        </w:rPr>
        <w:t>Sep.</w:t>
      </w:r>
      <w:r>
        <w:rPr>
          <w:color w:val="231F20"/>
          <w:spacing w:val="14"/>
          <w:sz w:val="16"/>
        </w:rPr>
        <w:t> </w:t>
      </w:r>
      <w:r>
        <w:rPr>
          <w:color w:val="231F20"/>
          <w:sz w:val="16"/>
        </w:rPr>
        <w:t>2022,</w:t>
      </w:r>
      <w:r>
        <w:rPr>
          <w:color w:val="231F20"/>
          <w:spacing w:val="12"/>
          <w:sz w:val="16"/>
        </w:rPr>
        <w:t> </w:t>
      </w:r>
      <w:r>
        <w:rPr>
          <w:color w:val="231F20"/>
          <w:sz w:val="16"/>
        </w:rPr>
        <w:t>ECLI:EU:C:2022:646,</w:t>
      </w:r>
      <w:r>
        <w:rPr>
          <w:color w:val="231F20"/>
          <w:spacing w:val="13"/>
          <w:sz w:val="16"/>
        </w:rPr>
        <w:t> </w:t>
      </w:r>
      <w:r>
        <w:rPr>
          <w:i/>
          <w:color w:val="231F20"/>
          <w:sz w:val="16"/>
        </w:rPr>
        <w:t>D.B.P.</w:t>
      </w:r>
      <w:r>
        <w:rPr>
          <w:color w:val="231F20"/>
          <w:sz w:val="16"/>
        </w:rPr>
        <w:t>,</w:t>
      </w:r>
      <w:r>
        <w:rPr>
          <w:color w:val="231F20"/>
          <w:spacing w:val="13"/>
          <w:sz w:val="16"/>
        </w:rPr>
        <w:t> </w:t>
      </w:r>
      <w:r>
        <w:rPr>
          <w:color w:val="231F20"/>
          <w:sz w:val="16"/>
        </w:rPr>
        <w:t>curia.europa.eu/juris/liste.jsf?</w:t>
      </w:r>
      <w:r>
        <w:rPr>
          <w:color w:val="231F20"/>
          <w:spacing w:val="40"/>
          <w:sz w:val="16"/>
        </w:rPr>
        <w:t> </w:t>
      </w:r>
      <w:r>
        <w:rPr>
          <w:color w:val="231F20"/>
          <w:sz w:val="16"/>
        </w:rPr>
        <w:t>num=C-80/21, para. 68.</w:t>
      </w:r>
    </w:p>
    <w:p>
      <w:pPr>
        <w:pStyle w:val="ListParagraph"/>
        <w:numPr>
          <w:ilvl w:val="0"/>
          <w:numId w:val="3"/>
        </w:numPr>
        <w:tabs>
          <w:tab w:pos="865" w:val="left" w:leader="none"/>
        </w:tabs>
        <w:spacing w:line="240" w:lineRule="auto" w:before="1" w:after="0"/>
        <w:ind w:left="865" w:right="0" w:hanging="353"/>
        <w:jc w:val="left"/>
        <w:rPr>
          <w:sz w:val="16"/>
        </w:rPr>
      </w:pPr>
      <w:r>
        <w:rPr>
          <w:color w:val="231F20"/>
          <w:sz w:val="16"/>
        </w:rPr>
        <w:t>ECJ</w:t>
      </w:r>
      <w:r>
        <w:rPr>
          <w:color w:val="231F20"/>
          <w:spacing w:val="2"/>
          <w:sz w:val="16"/>
        </w:rPr>
        <w:t> </w:t>
      </w:r>
      <w:r>
        <w:rPr>
          <w:color w:val="231F20"/>
          <w:sz w:val="16"/>
        </w:rPr>
        <w:t>15</w:t>
      </w:r>
      <w:r>
        <w:rPr>
          <w:color w:val="231F20"/>
          <w:spacing w:val="2"/>
          <w:sz w:val="16"/>
        </w:rPr>
        <w:t> </w:t>
      </w:r>
      <w:r>
        <w:rPr>
          <w:color w:val="231F20"/>
          <w:sz w:val="16"/>
        </w:rPr>
        <w:t>Jun.</w:t>
      </w:r>
      <w:r>
        <w:rPr>
          <w:color w:val="231F20"/>
          <w:spacing w:val="2"/>
          <w:sz w:val="16"/>
        </w:rPr>
        <w:t> </w:t>
      </w:r>
      <w:r>
        <w:rPr>
          <w:color w:val="231F20"/>
          <w:sz w:val="16"/>
        </w:rPr>
        <w:t>2023,</w:t>
      </w:r>
      <w:r>
        <w:rPr>
          <w:color w:val="231F20"/>
          <w:spacing w:val="2"/>
          <w:sz w:val="16"/>
        </w:rPr>
        <w:t> </w:t>
      </w:r>
      <w:r>
        <w:rPr>
          <w:color w:val="231F20"/>
          <w:sz w:val="16"/>
        </w:rPr>
        <w:t>ECLI:EU:C:2023:478,</w:t>
      </w:r>
      <w:r>
        <w:rPr>
          <w:color w:val="231F20"/>
          <w:spacing w:val="3"/>
          <w:sz w:val="16"/>
        </w:rPr>
        <w:t> </w:t>
      </w:r>
      <w:r>
        <w:rPr>
          <w:i/>
          <w:color w:val="231F20"/>
          <w:sz w:val="16"/>
        </w:rPr>
        <w:t>Bank</w:t>
      </w:r>
      <w:r>
        <w:rPr>
          <w:i/>
          <w:color w:val="231F20"/>
          <w:spacing w:val="3"/>
          <w:sz w:val="16"/>
        </w:rPr>
        <w:t> </w:t>
      </w:r>
      <w:r>
        <w:rPr>
          <w:i/>
          <w:color w:val="231F20"/>
          <w:sz w:val="16"/>
        </w:rPr>
        <w:t>M.</w:t>
      </w:r>
      <w:r>
        <w:rPr>
          <w:color w:val="231F20"/>
          <w:sz w:val="16"/>
        </w:rPr>
        <w:t>,</w:t>
      </w:r>
      <w:r>
        <w:rPr>
          <w:color w:val="231F20"/>
          <w:spacing w:val="2"/>
          <w:sz w:val="16"/>
        </w:rPr>
        <w:t> </w:t>
      </w:r>
      <w:r>
        <w:rPr>
          <w:color w:val="231F20"/>
          <w:sz w:val="16"/>
        </w:rPr>
        <w:t>para.</w:t>
      </w:r>
      <w:r>
        <w:rPr>
          <w:color w:val="231F20"/>
          <w:spacing w:val="2"/>
          <w:sz w:val="16"/>
        </w:rPr>
        <w:t> </w:t>
      </w:r>
      <w:r>
        <w:rPr>
          <w:color w:val="231F20"/>
          <w:sz w:val="16"/>
        </w:rPr>
        <w:t>65,</w:t>
      </w:r>
      <w:r>
        <w:rPr>
          <w:color w:val="231F20"/>
          <w:spacing w:val="3"/>
          <w:sz w:val="16"/>
        </w:rPr>
        <w:t> </w:t>
      </w:r>
      <w:r>
        <w:rPr>
          <w:color w:val="231F20"/>
          <w:sz w:val="16"/>
        </w:rPr>
        <w:t>among</w:t>
      </w:r>
      <w:r>
        <w:rPr>
          <w:color w:val="231F20"/>
          <w:spacing w:val="2"/>
          <w:sz w:val="16"/>
        </w:rPr>
        <w:t> </w:t>
      </w:r>
      <w:r>
        <w:rPr>
          <w:color w:val="231F20"/>
          <w:spacing w:val="-2"/>
          <w:sz w:val="16"/>
        </w:rPr>
        <w:t>many.</w:t>
      </w:r>
    </w:p>
    <w:p>
      <w:pPr>
        <w:pStyle w:val="ListParagraph"/>
        <w:numPr>
          <w:ilvl w:val="0"/>
          <w:numId w:val="3"/>
        </w:numPr>
        <w:tabs>
          <w:tab w:pos="865" w:val="left" w:leader="none"/>
        </w:tabs>
        <w:spacing w:line="240" w:lineRule="auto" w:before="34" w:after="0"/>
        <w:ind w:left="865" w:right="0" w:hanging="353"/>
        <w:jc w:val="left"/>
        <w:rPr>
          <w:sz w:val="16"/>
        </w:rPr>
      </w:pPr>
      <w:r>
        <w:rPr>
          <w:color w:val="231F20"/>
          <w:sz w:val="16"/>
        </w:rPr>
        <w:t>C.</w:t>
      </w:r>
      <w:r>
        <w:rPr>
          <w:color w:val="231F20"/>
          <w:spacing w:val="5"/>
          <w:sz w:val="16"/>
        </w:rPr>
        <w:t> </w:t>
      </w:r>
      <w:r>
        <w:rPr>
          <w:color w:val="231F20"/>
          <w:sz w:val="16"/>
        </w:rPr>
        <w:t>P</w:t>
      </w:r>
      <w:r>
        <w:rPr>
          <w:color w:val="231F20"/>
          <w:sz w:val="11"/>
        </w:rPr>
        <w:t>AVILLON</w:t>
      </w:r>
      <w:r>
        <w:rPr>
          <w:color w:val="231F20"/>
          <w:sz w:val="16"/>
        </w:rPr>
        <w:t>,</w:t>
      </w:r>
      <w:r>
        <w:rPr>
          <w:color w:val="231F20"/>
          <w:spacing w:val="6"/>
          <w:sz w:val="16"/>
        </w:rPr>
        <w:t> </w:t>
      </w:r>
      <w:r>
        <w:rPr>
          <w:rFonts w:ascii="Arial" w:hAnsi="Arial"/>
          <w:color w:val="231F20"/>
          <w:sz w:val="16"/>
        </w:rPr>
        <w:t>‘</w:t>
      </w:r>
      <w:r>
        <w:rPr>
          <w:color w:val="231F20"/>
          <w:sz w:val="16"/>
        </w:rPr>
        <w:t>Private</w:t>
      </w:r>
      <w:r>
        <w:rPr>
          <w:color w:val="231F20"/>
          <w:spacing w:val="5"/>
          <w:sz w:val="16"/>
        </w:rPr>
        <w:t> </w:t>
      </w:r>
      <w:r>
        <w:rPr>
          <w:color w:val="231F20"/>
          <w:sz w:val="16"/>
        </w:rPr>
        <w:t>Enforcement</w:t>
      </w:r>
      <w:r>
        <w:rPr>
          <w:rFonts w:ascii="Arial" w:hAnsi="Arial"/>
          <w:color w:val="231F20"/>
          <w:sz w:val="16"/>
        </w:rPr>
        <w:t>’</w:t>
      </w:r>
      <w:r>
        <w:rPr>
          <w:color w:val="231F20"/>
          <w:sz w:val="16"/>
        </w:rPr>
        <w:t>,</w:t>
      </w:r>
      <w:r>
        <w:rPr>
          <w:color w:val="231F20"/>
          <w:spacing w:val="6"/>
          <w:sz w:val="16"/>
        </w:rPr>
        <w:t> </w:t>
      </w:r>
      <w:r>
        <w:rPr>
          <w:color w:val="231F20"/>
          <w:sz w:val="16"/>
        </w:rPr>
        <w:t>p</w:t>
      </w:r>
      <w:r>
        <w:rPr>
          <w:color w:val="231F20"/>
          <w:spacing w:val="5"/>
          <w:sz w:val="16"/>
        </w:rPr>
        <w:t> </w:t>
      </w:r>
      <w:r>
        <w:rPr>
          <w:color w:val="231F20"/>
          <w:spacing w:val="-2"/>
          <w:sz w:val="16"/>
        </w:rPr>
        <w:t>1310.</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and</w:t>
      </w:r>
      <w:r>
        <w:rPr>
          <w:color w:val="231F20"/>
          <w:spacing w:val="-3"/>
        </w:rPr>
        <w:t> </w:t>
      </w:r>
      <w:r>
        <w:rPr>
          <w:color w:val="231F20"/>
        </w:rPr>
        <w:t>C-289/19,</w:t>
      </w:r>
      <w:r>
        <w:rPr>
          <w:color w:val="231F20"/>
          <w:spacing w:val="-3"/>
        </w:rPr>
        <w:t> </w:t>
      </w:r>
      <w:r>
        <w:rPr>
          <w:i/>
          <w:color w:val="231F20"/>
        </w:rPr>
        <w:t>Dexia.</w:t>
      </w:r>
      <w:r>
        <w:rPr>
          <w:color w:val="231F20"/>
          <w:vertAlign w:val="superscript"/>
        </w:rPr>
        <w:t>107</w:t>
      </w:r>
      <w:r>
        <w:rPr>
          <w:color w:val="231F20"/>
          <w:spacing w:val="-3"/>
          <w:vertAlign w:val="baseline"/>
        </w:rPr>
        <w:t> </w:t>
      </w:r>
      <w:r>
        <w:rPr>
          <w:color w:val="231F20"/>
          <w:vertAlign w:val="baseline"/>
        </w:rPr>
        <w:t>The</w:t>
      </w:r>
      <w:r>
        <w:rPr>
          <w:color w:val="231F20"/>
          <w:spacing w:val="-3"/>
          <w:vertAlign w:val="baseline"/>
        </w:rPr>
        <w:t> </w:t>
      </w:r>
      <w:r>
        <w:rPr>
          <w:color w:val="231F20"/>
          <w:vertAlign w:val="baseline"/>
        </w:rPr>
        <w:t>principle</w:t>
      </w:r>
      <w:r>
        <w:rPr>
          <w:color w:val="231F20"/>
          <w:spacing w:val="-3"/>
          <w:vertAlign w:val="baseline"/>
        </w:rPr>
        <w:t> </w:t>
      </w:r>
      <w:r>
        <w:rPr>
          <w:color w:val="231F20"/>
          <w:vertAlign w:val="baseline"/>
        </w:rPr>
        <w:t>of</w:t>
      </w:r>
      <w:r>
        <w:rPr>
          <w:color w:val="231F20"/>
          <w:spacing w:val="-3"/>
          <w:vertAlign w:val="baseline"/>
        </w:rPr>
        <w:t> </w:t>
      </w:r>
      <w:r>
        <w:rPr>
          <w:color w:val="231F20"/>
          <w:vertAlign w:val="baseline"/>
        </w:rPr>
        <w:t>dissuasiveness,</w:t>
      </w:r>
      <w:r>
        <w:rPr>
          <w:color w:val="231F20"/>
          <w:spacing w:val="-2"/>
          <w:vertAlign w:val="baseline"/>
        </w:rPr>
        <w:t> </w:t>
      </w:r>
      <w:r>
        <w:rPr>
          <w:color w:val="231F20"/>
          <w:vertAlign w:val="baseline"/>
        </w:rPr>
        <w:t>as</w:t>
      </w:r>
      <w:r>
        <w:rPr>
          <w:color w:val="231F20"/>
          <w:spacing w:val="-2"/>
          <w:vertAlign w:val="baseline"/>
        </w:rPr>
        <w:t> </w:t>
      </w:r>
      <w:r>
        <w:rPr>
          <w:color w:val="231F20"/>
          <w:vertAlign w:val="baseline"/>
        </w:rPr>
        <w:t>one</w:t>
      </w:r>
      <w:r>
        <w:rPr>
          <w:color w:val="231F20"/>
          <w:spacing w:val="-3"/>
          <w:vertAlign w:val="baseline"/>
        </w:rPr>
        <w:t> </w:t>
      </w:r>
      <w:r>
        <w:rPr>
          <w:color w:val="231F20"/>
          <w:vertAlign w:val="baseline"/>
        </w:rPr>
        <w:t>of the</w:t>
      </w:r>
      <w:r>
        <w:rPr>
          <w:color w:val="231F20"/>
          <w:spacing w:val="-3"/>
          <w:vertAlign w:val="baseline"/>
        </w:rPr>
        <w:t> </w:t>
      </w:r>
      <w:r>
        <w:rPr>
          <w:color w:val="231F20"/>
          <w:vertAlign w:val="baseline"/>
        </w:rPr>
        <w:t>two</w:t>
      </w:r>
      <w:r>
        <w:rPr>
          <w:color w:val="231F20"/>
          <w:spacing w:val="-4"/>
          <w:vertAlign w:val="baseline"/>
        </w:rPr>
        <w:t> </w:t>
      </w:r>
      <w:r>
        <w:rPr>
          <w:color w:val="231F20"/>
          <w:vertAlign w:val="baseline"/>
        </w:rPr>
        <w:t>aims</w:t>
      </w:r>
      <w:r>
        <w:rPr>
          <w:color w:val="231F20"/>
          <w:spacing w:val="-3"/>
          <w:vertAlign w:val="baseline"/>
        </w:rPr>
        <w:t> </w:t>
      </w:r>
      <w:r>
        <w:rPr>
          <w:color w:val="231F20"/>
          <w:vertAlign w:val="baseline"/>
        </w:rPr>
        <w:t>of Article 6(1) UCTD, impedes the integrating function of national contract law.</w:t>
      </w:r>
    </w:p>
    <w:p>
      <w:pPr>
        <w:pStyle w:val="ListParagraph"/>
        <w:numPr>
          <w:ilvl w:val="0"/>
          <w:numId w:val="4"/>
        </w:numPr>
        <w:tabs>
          <w:tab w:pos="1324" w:val="left" w:leader="none"/>
        </w:tabs>
        <w:spacing w:line="285" w:lineRule="auto" w:before="119" w:after="0"/>
        <w:ind w:left="871" w:right="866" w:firstLine="0"/>
        <w:jc w:val="both"/>
        <w:rPr>
          <w:sz w:val="19"/>
        </w:rPr>
      </w:pPr>
      <w:r>
        <w:rPr>
          <w:color w:val="231F20"/>
          <w:sz w:val="19"/>
        </w:rPr>
        <w:t>In Case C-520/21, </w:t>
      </w:r>
      <w:r>
        <w:rPr>
          <w:i/>
          <w:color w:val="231F20"/>
          <w:sz w:val="19"/>
        </w:rPr>
        <w:t>Bank M.</w:t>
      </w:r>
      <w:r>
        <w:rPr>
          <w:color w:val="231F20"/>
          <w:sz w:val="19"/>
        </w:rPr>
        <w:t>, the ECJ gave an additional justification for dissuasiveness, in sanctioning the business under Article 6(1) UCTD. Although it did so in the context of invalid contracts that did not require gap-filling, it was a follow-on consequence of finding an unfair term. The ECJ denied businesses the right</w:t>
      </w:r>
      <w:r>
        <w:rPr>
          <w:color w:val="231F20"/>
          <w:spacing w:val="-12"/>
          <w:sz w:val="19"/>
        </w:rPr>
        <w:t> </w:t>
      </w:r>
      <w:r>
        <w:rPr>
          <w:color w:val="231F20"/>
          <w:sz w:val="19"/>
        </w:rPr>
        <w:t>to</w:t>
      </w:r>
      <w:r>
        <w:rPr>
          <w:color w:val="231F20"/>
          <w:spacing w:val="-11"/>
          <w:sz w:val="19"/>
        </w:rPr>
        <w:t> </w:t>
      </w:r>
      <w:r>
        <w:rPr>
          <w:color w:val="231F20"/>
          <w:sz w:val="19"/>
        </w:rPr>
        <w:t>claim</w:t>
      </w:r>
      <w:r>
        <w:rPr>
          <w:color w:val="231F20"/>
          <w:spacing w:val="-12"/>
          <w:sz w:val="19"/>
        </w:rPr>
        <w:t> </w:t>
      </w:r>
      <w:r>
        <w:rPr>
          <w:color w:val="231F20"/>
          <w:sz w:val="19"/>
        </w:rPr>
        <w:t>compensation</w:t>
      </w:r>
      <w:r>
        <w:rPr>
          <w:color w:val="231F20"/>
          <w:spacing w:val="-11"/>
          <w:sz w:val="19"/>
        </w:rPr>
        <w:t> </w:t>
      </w:r>
      <w:r>
        <w:rPr>
          <w:color w:val="231F20"/>
          <w:sz w:val="19"/>
        </w:rPr>
        <w:t>under</w:t>
      </w:r>
      <w:r>
        <w:rPr>
          <w:color w:val="231F20"/>
          <w:spacing w:val="-12"/>
          <w:sz w:val="19"/>
        </w:rPr>
        <w:t> </w:t>
      </w:r>
      <w:r>
        <w:rPr>
          <w:color w:val="231F20"/>
          <w:sz w:val="19"/>
        </w:rPr>
        <w:t>the</w:t>
      </w:r>
      <w:r>
        <w:rPr>
          <w:color w:val="231F20"/>
          <w:spacing w:val="-11"/>
          <w:sz w:val="19"/>
        </w:rPr>
        <w:t> </w:t>
      </w:r>
      <w:r>
        <w:rPr>
          <w:color w:val="231F20"/>
          <w:sz w:val="19"/>
        </w:rPr>
        <w:t>rule</w:t>
      </w:r>
      <w:r>
        <w:rPr>
          <w:color w:val="231F20"/>
          <w:spacing w:val="-12"/>
          <w:sz w:val="19"/>
        </w:rPr>
        <w:t> </w:t>
      </w:r>
      <w:r>
        <w:rPr>
          <w:rFonts w:ascii="Arial" w:hAnsi="Arial"/>
          <w:color w:val="231F20"/>
          <w:sz w:val="19"/>
        </w:rPr>
        <w:t>‘</w:t>
      </w:r>
      <w:r>
        <w:rPr>
          <w:i/>
          <w:color w:val="231F20"/>
          <w:sz w:val="19"/>
        </w:rPr>
        <w:t>nemo</w:t>
      </w:r>
      <w:r>
        <w:rPr>
          <w:i/>
          <w:color w:val="231F20"/>
          <w:spacing w:val="-11"/>
          <w:sz w:val="19"/>
        </w:rPr>
        <w:t> </w:t>
      </w:r>
      <w:r>
        <w:rPr>
          <w:i/>
          <w:color w:val="231F20"/>
          <w:sz w:val="19"/>
        </w:rPr>
        <w:t>auditor</w:t>
      </w:r>
      <w:r>
        <w:rPr>
          <w:i/>
          <w:color w:val="231F20"/>
          <w:spacing w:val="-12"/>
          <w:sz w:val="19"/>
        </w:rPr>
        <w:t> </w:t>
      </w:r>
      <w:r>
        <w:rPr>
          <w:i/>
          <w:color w:val="231F20"/>
          <w:sz w:val="19"/>
        </w:rPr>
        <w:t>propriam</w:t>
      </w:r>
      <w:r>
        <w:rPr>
          <w:i/>
          <w:color w:val="231F20"/>
          <w:spacing w:val="-11"/>
          <w:sz w:val="19"/>
        </w:rPr>
        <w:t> </w:t>
      </w:r>
      <w:r>
        <w:rPr>
          <w:i/>
          <w:color w:val="231F20"/>
          <w:sz w:val="19"/>
        </w:rPr>
        <w:t>turpitudinem</w:t>
      </w:r>
      <w:r>
        <w:rPr>
          <w:i/>
          <w:color w:val="231F20"/>
          <w:sz w:val="19"/>
        </w:rPr>
        <w:t> allegans</w:t>
      </w:r>
      <w:r>
        <w:rPr>
          <w:rFonts w:ascii="Arial" w:hAnsi="Arial"/>
          <w:color w:val="231F20"/>
          <w:sz w:val="19"/>
        </w:rPr>
        <w:t>’ </w:t>
      </w:r>
      <w:r>
        <w:rPr>
          <w:color w:val="231F20"/>
          <w:sz w:val="19"/>
        </w:rPr>
        <w:t>(no one may rely on their own wrongdoing). According to the Court, </w:t>
      </w:r>
      <w:r>
        <w:rPr>
          <w:rFonts w:ascii="Arial" w:hAnsi="Arial"/>
          <w:color w:val="231F20"/>
          <w:sz w:val="19"/>
        </w:rPr>
        <w:t>‘</w:t>
      </w:r>
      <w:r>
        <w:rPr>
          <w:color w:val="231F20"/>
          <w:sz w:val="19"/>
        </w:rPr>
        <w:t>a party cannot be allowed to derive economic advantages from his, her or its unlawful conduct or to be compensated for the disadvantages caused by such conduct</w:t>
      </w:r>
      <w:r>
        <w:rPr>
          <w:rFonts w:ascii="Arial" w:hAnsi="Arial"/>
          <w:color w:val="231F20"/>
          <w:sz w:val="19"/>
        </w:rPr>
        <w:t>’</w:t>
      </w:r>
      <w:r>
        <w:rPr>
          <w:color w:val="231F20"/>
          <w:sz w:val="19"/>
        </w:rPr>
        <w:t>.</w:t>
      </w:r>
      <w:r>
        <w:rPr>
          <w:color w:val="231F20"/>
          <w:sz w:val="19"/>
          <w:vertAlign w:val="superscript"/>
        </w:rPr>
        <w:t>108</w:t>
      </w:r>
      <w:r>
        <w:rPr>
          <w:color w:val="231F20"/>
          <w:sz w:val="19"/>
          <w:vertAlign w:val="baseline"/>
        </w:rPr>
        <w:t> It also points to a civil law sanction consisting of the </w:t>
      </w:r>
      <w:r>
        <w:rPr>
          <w:color w:val="231F20"/>
          <w:sz w:val="19"/>
          <w:vertAlign w:val="baseline"/>
        </w:rPr>
        <w:t>non-application of national law, which would be justified in the reproachable conduct of using unfair</w:t>
      </w:r>
      <w:r>
        <w:rPr>
          <w:color w:val="231F20"/>
          <w:spacing w:val="40"/>
          <w:sz w:val="19"/>
          <w:vertAlign w:val="baseline"/>
        </w:rPr>
        <w:t> </w:t>
      </w:r>
      <w:r>
        <w:rPr>
          <w:color w:val="231F20"/>
          <w:sz w:val="19"/>
          <w:vertAlign w:val="baseline"/>
        </w:rPr>
        <w:t>terms.</w:t>
      </w:r>
      <w:r>
        <w:rPr>
          <w:color w:val="231F20"/>
          <w:sz w:val="19"/>
          <w:vertAlign w:val="superscript"/>
        </w:rPr>
        <w:t>109</w:t>
      </w:r>
    </w:p>
    <w:p>
      <w:pPr>
        <w:pStyle w:val="ListParagraph"/>
        <w:numPr>
          <w:ilvl w:val="0"/>
          <w:numId w:val="4"/>
        </w:numPr>
        <w:tabs>
          <w:tab w:pos="1324" w:val="left" w:leader="none"/>
        </w:tabs>
        <w:spacing w:line="288" w:lineRule="auto" w:before="130" w:after="0"/>
        <w:ind w:left="871" w:right="867" w:firstLine="0"/>
        <w:jc w:val="both"/>
        <w:rPr>
          <w:sz w:val="19"/>
        </w:rPr>
      </w:pPr>
      <w:r>
        <w:rPr>
          <w:color w:val="231F20"/>
          <w:sz w:val="19"/>
        </w:rPr>
        <w:t>It</w:t>
      </w:r>
      <w:r>
        <w:rPr>
          <w:color w:val="231F20"/>
          <w:spacing w:val="-2"/>
          <w:sz w:val="19"/>
        </w:rPr>
        <w:t> </w:t>
      </w:r>
      <w:r>
        <w:rPr>
          <w:color w:val="231F20"/>
          <w:sz w:val="19"/>
        </w:rPr>
        <w:t>should</w:t>
      </w:r>
      <w:r>
        <w:rPr>
          <w:color w:val="231F20"/>
          <w:spacing w:val="-2"/>
          <w:sz w:val="19"/>
        </w:rPr>
        <w:t> </w:t>
      </w:r>
      <w:r>
        <w:rPr>
          <w:color w:val="231F20"/>
          <w:sz w:val="19"/>
        </w:rPr>
        <w:t>be</w:t>
      </w:r>
      <w:r>
        <w:rPr>
          <w:color w:val="231F20"/>
          <w:spacing w:val="-2"/>
          <w:sz w:val="19"/>
        </w:rPr>
        <w:t> </w:t>
      </w:r>
      <w:r>
        <w:rPr>
          <w:color w:val="231F20"/>
          <w:sz w:val="19"/>
        </w:rPr>
        <w:t>clarified</w:t>
      </w:r>
      <w:r>
        <w:rPr>
          <w:color w:val="231F20"/>
          <w:spacing w:val="-2"/>
          <w:sz w:val="19"/>
        </w:rPr>
        <w:t> </w:t>
      </w:r>
      <w:r>
        <w:rPr>
          <w:color w:val="231F20"/>
          <w:sz w:val="19"/>
        </w:rPr>
        <w:t>that</w:t>
      </w:r>
      <w:r>
        <w:rPr>
          <w:color w:val="231F20"/>
          <w:spacing w:val="-2"/>
          <w:sz w:val="19"/>
        </w:rPr>
        <w:t> </w:t>
      </w:r>
      <w:r>
        <w:rPr>
          <w:color w:val="231F20"/>
          <w:sz w:val="19"/>
        </w:rPr>
        <w:t>not</w:t>
      </w:r>
      <w:r>
        <w:rPr>
          <w:color w:val="231F20"/>
          <w:spacing w:val="-2"/>
          <w:sz w:val="19"/>
        </w:rPr>
        <w:t> </w:t>
      </w:r>
      <w:r>
        <w:rPr>
          <w:color w:val="231F20"/>
          <w:sz w:val="19"/>
        </w:rPr>
        <w:t>every</w:t>
      </w:r>
      <w:r>
        <w:rPr>
          <w:color w:val="231F20"/>
          <w:spacing w:val="-2"/>
          <w:sz w:val="19"/>
        </w:rPr>
        <w:t> </w:t>
      </w:r>
      <w:r>
        <w:rPr>
          <w:color w:val="231F20"/>
          <w:sz w:val="19"/>
        </w:rPr>
        <w:t>private</w:t>
      </w:r>
      <w:r>
        <w:rPr>
          <w:color w:val="231F20"/>
          <w:spacing w:val="-2"/>
          <w:sz w:val="19"/>
        </w:rPr>
        <w:t> </w:t>
      </w:r>
      <w:r>
        <w:rPr>
          <w:color w:val="231F20"/>
          <w:sz w:val="19"/>
        </w:rPr>
        <w:t>law</w:t>
      </w:r>
      <w:r>
        <w:rPr>
          <w:color w:val="231F20"/>
          <w:spacing w:val="-2"/>
          <w:sz w:val="19"/>
        </w:rPr>
        <w:t> </w:t>
      </w:r>
      <w:r>
        <w:rPr>
          <w:color w:val="231F20"/>
          <w:sz w:val="19"/>
        </w:rPr>
        <w:t>remedy</w:t>
      </w:r>
      <w:r>
        <w:rPr>
          <w:color w:val="231F20"/>
          <w:spacing w:val="-2"/>
          <w:sz w:val="19"/>
        </w:rPr>
        <w:t> </w:t>
      </w:r>
      <w:r>
        <w:rPr>
          <w:color w:val="231F20"/>
          <w:sz w:val="19"/>
        </w:rPr>
        <w:t>aimed</w:t>
      </w:r>
      <w:r>
        <w:rPr>
          <w:color w:val="231F20"/>
          <w:spacing w:val="-2"/>
          <w:sz w:val="19"/>
        </w:rPr>
        <w:t> </w:t>
      </w:r>
      <w:r>
        <w:rPr>
          <w:color w:val="231F20"/>
          <w:sz w:val="19"/>
        </w:rPr>
        <w:t>at</w:t>
      </w:r>
      <w:r>
        <w:rPr>
          <w:color w:val="231F20"/>
          <w:spacing w:val="-2"/>
          <w:sz w:val="19"/>
        </w:rPr>
        <w:t> </w:t>
      </w:r>
      <w:r>
        <w:rPr>
          <w:color w:val="231F20"/>
          <w:sz w:val="19"/>
        </w:rPr>
        <w:t>dissuasive- ness contains a sanction.</w:t>
      </w:r>
      <w:r>
        <w:rPr>
          <w:color w:val="231F20"/>
          <w:sz w:val="19"/>
          <w:vertAlign w:val="superscript"/>
        </w:rPr>
        <w:t>110</w:t>
      </w:r>
      <w:r>
        <w:rPr>
          <w:color w:val="231F20"/>
          <w:sz w:val="19"/>
          <w:vertAlign w:val="baseline"/>
        </w:rPr>
        <w:t> Under the UCTD, for example, the right of </w:t>
      </w:r>
      <w:r>
        <w:rPr>
          <w:color w:val="231F20"/>
          <w:sz w:val="19"/>
          <w:vertAlign w:val="baseline"/>
        </w:rPr>
        <w:t>consumer associations to challenge unfair terms (Article 7(2) UCTD) has dissuasive effects but is not punitive. In the same vein, and in respect of Article 6(1) UCTD, I agree with the ECJ that the non-binding effects of unfair terms and the potential inva- lidity of the contract, do not punish.</w:t>
      </w:r>
      <w:r>
        <w:rPr>
          <w:color w:val="231F20"/>
          <w:sz w:val="19"/>
          <w:vertAlign w:val="superscript"/>
        </w:rPr>
        <w:t>111</w:t>
      </w:r>
      <w:r>
        <w:rPr>
          <w:color w:val="231F20"/>
          <w:sz w:val="19"/>
          <w:vertAlign w:val="baseline"/>
        </w:rPr>
        <w:t> The existence of a private law remedy that has dissuasive effects but does not sanction is not exclusive to the UCTD, as EU competition law demonstrates.</w:t>
      </w:r>
      <w:r>
        <w:rPr>
          <w:color w:val="231F20"/>
          <w:sz w:val="19"/>
          <w:vertAlign w:val="superscript"/>
        </w:rPr>
        <w:t>112</w:t>
      </w:r>
    </w:p>
    <w:p>
      <w:pPr>
        <w:pStyle w:val="ListParagraph"/>
        <w:numPr>
          <w:ilvl w:val="0"/>
          <w:numId w:val="4"/>
        </w:numPr>
        <w:tabs>
          <w:tab w:pos="1324" w:val="left" w:leader="none"/>
        </w:tabs>
        <w:spacing w:line="288" w:lineRule="auto" w:before="119" w:after="0"/>
        <w:ind w:left="871" w:right="866" w:firstLine="0"/>
        <w:jc w:val="both"/>
        <w:rPr>
          <w:sz w:val="19"/>
        </w:rPr>
      </w:pPr>
      <w:r>
        <w:rPr>
          <w:color w:val="231F20"/>
          <w:sz w:val="19"/>
        </w:rPr>
        <w:t>However, it is possible to think of private law remedies that aim at dissuasiveness by sanctioning. Sanctions, if appropriate, carry deterrence effects. The prohibition on filling in the gap that an unfair term creates, when it would compensate the business, sanctions the business by depriving it of the applica- tion of supplementary law. The purpose of this rule is to deter businesses from using</w:t>
      </w:r>
      <w:r>
        <w:rPr>
          <w:color w:val="231F20"/>
          <w:spacing w:val="19"/>
          <w:sz w:val="19"/>
        </w:rPr>
        <w:t> </w:t>
      </w:r>
      <w:r>
        <w:rPr>
          <w:color w:val="231F20"/>
          <w:sz w:val="19"/>
        </w:rPr>
        <w:t>unfair</w:t>
      </w:r>
      <w:r>
        <w:rPr>
          <w:color w:val="231F20"/>
          <w:spacing w:val="19"/>
          <w:sz w:val="19"/>
        </w:rPr>
        <w:t> </w:t>
      </w:r>
      <w:r>
        <w:rPr>
          <w:color w:val="231F20"/>
          <w:sz w:val="19"/>
        </w:rPr>
        <w:t>terms,</w:t>
      </w:r>
      <w:r>
        <w:rPr>
          <w:color w:val="231F20"/>
          <w:spacing w:val="18"/>
          <w:sz w:val="19"/>
        </w:rPr>
        <w:t> </w:t>
      </w:r>
      <w:r>
        <w:rPr>
          <w:color w:val="231F20"/>
          <w:sz w:val="19"/>
        </w:rPr>
        <w:t>thereby</w:t>
      </w:r>
      <w:r>
        <w:rPr>
          <w:color w:val="231F20"/>
          <w:spacing w:val="19"/>
          <w:sz w:val="19"/>
        </w:rPr>
        <w:t> </w:t>
      </w:r>
      <w:r>
        <w:rPr>
          <w:color w:val="231F20"/>
          <w:sz w:val="19"/>
        </w:rPr>
        <w:t>punishing</w:t>
      </w:r>
      <w:r>
        <w:rPr>
          <w:color w:val="231F20"/>
          <w:spacing w:val="19"/>
          <w:sz w:val="19"/>
        </w:rPr>
        <w:t> </w:t>
      </w:r>
      <w:r>
        <w:rPr>
          <w:color w:val="231F20"/>
          <w:sz w:val="19"/>
        </w:rPr>
        <w:t>them</w:t>
      </w:r>
      <w:r>
        <w:rPr>
          <w:color w:val="231F20"/>
          <w:spacing w:val="19"/>
          <w:sz w:val="19"/>
        </w:rPr>
        <w:t> </w:t>
      </w:r>
      <w:r>
        <w:rPr>
          <w:color w:val="231F20"/>
          <w:sz w:val="19"/>
        </w:rPr>
        <w:t>in</w:t>
      </w:r>
      <w:r>
        <w:rPr>
          <w:color w:val="231F20"/>
          <w:spacing w:val="18"/>
          <w:sz w:val="19"/>
        </w:rPr>
        <w:t> </w:t>
      </w:r>
      <w:r>
        <w:rPr>
          <w:color w:val="231F20"/>
          <w:sz w:val="19"/>
        </w:rPr>
        <w:t>order</w:t>
      </w:r>
      <w:r>
        <w:rPr>
          <w:color w:val="231F20"/>
          <w:spacing w:val="19"/>
          <w:sz w:val="19"/>
        </w:rPr>
        <w:t> </w:t>
      </w:r>
      <w:r>
        <w:rPr>
          <w:color w:val="231F20"/>
          <w:sz w:val="19"/>
        </w:rPr>
        <w:t>to</w:t>
      </w:r>
      <w:r>
        <w:rPr>
          <w:color w:val="231F20"/>
          <w:spacing w:val="19"/>
          <w:sz w:val="19"/>
        </w:rPr>
        <w:t> </w:t>
      </w:r>
      <w:r>
        <w:rPr>
          <w:color w:val="231F20"/>
          <w:sz w:val="19"/>
        </w:rPr>
        <w:t>achieve</w:t>
      </w:r>
      <w:r>
        <w:rPr>
          <w:color w:val="231F20"/>
          <w:spacing w:val="18"/>
          <w:sz w:val="19"/>
        </w:rPr>
        <w:t> </w:t>
      </w:r>
      <w:r>
        <w:rPr>
          <w:color w:val="231F20"/>
          <w:sz w:val="19"/>
        </w:rPr>
        <w:t>dissuasiveness.</w:t>
      </w:r>
    </w:p>
    <w:p>
      <w:pPr>
        <w:pStyle w:val="BodyText"/>
        <w:rPr>
          <w:sz w:val="20"/>
        </w:rPr>
      </w:pPr>
    </w:p>
    <w:p>
      <w:pPr>
        <w:pStyle w:val="BodyText"/>
        <w:rPr>
          <w:sz w:val="20"/>
        </w:rPr>
      </w:pPr>
    </w:p>
    <w:p>
      <w:pPr>
        <w:pStyle w:val="BodyText"/>
        <w:rPr>
          <w:sz w:val="20"/>
        </w:rPr>
      </w:pPr>
    </w:p>
    <w:p>
      <w:pPr>
        <w:pStyle w:val="BodyText"/>
        <w:spacing w:before="8"/>
        <w:rPr>
          <w:sz w:val="20"/>
        </w:rPr>
      </w:pPr>
      <w:r>
        <w:rPr/>
        <mc:AlternateContent>
          <mc:Choice Requires="wps">
            <w:drawing>
              <wp:anchor distT="0" distB="0" distL="0" distR="0" allowOverlap="1" layoutInCell="1" locked="0" behindDoc="1" simplePos="0" relativeHeight="487598080">
                <wp:simplePos x="0" y="0"/>
                <wp:positionH relativeFrom="page">
                  <wp:posOffset>1979993</wp:posOffset>
                </wp:positionH>
                <wp:positionV relativeFrom="paragraph">
                  <wp:posOffset>164995</wp:posOffset>
                </wp:positionV>
                <wp:extent cx="1656080" cy="4445"/>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2.991757pt;width:130.394pt;height:.34015pt;mso-position-horizontal-relative:page;mso-position-vertical-relative:paragraph;z-index:-15718400;mso-wrap-distance-left:0;mso-wrap-distance-right:0" id="docshape23"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88" w:lineRule="auto" w:before="0" w:after="0"/>
        <w:ind w:left="866" w:right="869" w:hanging="354"/>
        <w:jc w:val="left"/>
        <w:rPr>
          <w:sz w:val="16"/>
        </w:rPr>
      </w:pPr>
      <w:r>
        <w:rPr>
          <w:color w:val="231F20"/>
          <w:spacing w:val="-2"/>
          <w:sz w:val="16"/>
        </w:rPr>
        <w:t>ECJ 27 Jan. 2021, ECLI:EU:C:2021:68, </w:t>
      </w:r>
      <w:r>
        <w:rPr>
          <w:i/>
          <w:color w:val="231F20"/>
          <w:spacing w:val="-2"/>
          <w:sz w:val="16"/>
        </w:rPr>
        <w:t>Dexia Nederland BV </w:t>
      </w:r>
      <w:r>
        <w:rPr>
          <w:color w:val="231F20"/>
          <w:spacing w:val="-2"/>
          <w:sz w:val="16"/>
        </w:rPr>
        <w:t>v. </w:t>
      </w:r>
      <w:r>
        <w:rPr>
          <w:i/>
          <w:color w:val="231F20"/>
          <w:spacing w:val="-2"/>
          <w:sz w:val="16"/>
        </w:rPr>
        <w:t>XXX and Z</w:t>
      </w:r>
      <w:r>
        <w:rPr>
          <w:color w:val="231F20"/>
          <w:spacing w:val="-2"/>
          <w:sz w:val="16"/>
        </w:rPr>
        <w:t>, curia.europa.eu/juris/</w:t>
      </w:r>
      <w:r>
        <w:rPr>
          <w:color w:val="231F20"/>
          <w:spacing w:val="40"/>
          <w:sz w:val="16"/>
        </w:rPr>
        <w:t> </w:t>
      </w:r>
      <w:r>
        <w:rPr>
          <w:color w:val="231F20"/>
          <w:sz w:val="16"/>
        </w:rPr>
        <w:t>liste.jsf?num=C-229/19, para. 66.</w:t>
      </w:r>
    </w:p>
    <w:p>
      <w:pPr>
        <w:pStyle w:val="ListParagraph"/>
        <w:numPr>
          <w:ilvl w:val="0"/>
          <w:numId w:val="3"/>
        </w:numPr>
        <w:tabs>
          <w:tab w:pos="865" w:val="left" w:leader="none"/>
        </w:tabs>
        <w:spacing w:line="240" w:lineRule="auto" w:before="1"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81.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82.</w:t>
      </w:r>
    </w:p>
    <w:p>
      <w:pPr>
        <w:pStyle w:val="ListParagraph"/>
        <w:numPr>
          <w:ilvl w:val="0"/>
          <w:numId w:val="3"/>
        </w:numPr>
        <w:tabs>
          <w:tab w:pos="866" w:val="left" w:leader="none"/>
        </w:tabs>
        <w:spacing w:line="285" w:lineRule="auto" w:before="34" w:after="0"/>
        <w:ind w:left="866" w:right="868" w:hanging="354"/>
        <w:jc w:val="both"/>
        <w:rPr>
          <w:sz w:val="16"/>
        </w:rPr>
      </w:pPr>
      <w:r>
        <w:rPr>
          <w:color w:val="231F20"/>
          <w:sz w:val="16"/>
        </w:rPr>
        <w:t>F.</w:t>
      </w:r>
      <w:r>
        <w:rPr>
          <w:color w:val="231F20"/>
          <w:spacing w:val="-10"/>
          <w:sz w:val="16"/>
        </w:rPr>
        <w:t> </w:t>
      </w:r>
      <w:r>
        <w:rPr>
          <w:color w:val="231F20"/>
          <w:sz w:val="16"/>
        </w:rPr>
        <w:t>C</w:t>
      </w:r>
      <w:r>
        <w:rPr>
          <w:color w:val="231F20"/>
          <w:sz w:val="11"/>
        </w:rPr>
        <w:t>AFAGGI</w:t>
      </w:r>
      <w:r>
        <w:rPr>
          <w:color w:val="231F20"/>
          <w:spacing w:val="3"/>
          <w:sz w:val="11"/>
        </w:rPr>
        <w:t> </w:t>
      </w:r>
      <w:r>
        <w:rPr>
          <w:color w:val="231F20"/>
          <w:sz w:val="16"/>
        </w:rPr>
        <w:t>&amp;</w:t>
      </w:r>
      <w:r>
        <w:rPr>
          <w:color w:val="231F20"/>
          <w:spacing w:val="-8"/>
          <w:sz w:val="16"/>
        </w:rPr>
        <w:t> </w:t>
      </w:r>
      <w:r>
        <w:rPr>
          <w:color w:val="231F20"/>
          <w:sz w:val="16"/>
        </w:rPr>
        <w:t>P.</w:t>
      </w:r>
      <w:r>
        <w:rPr>
          <w:color w:val="231F20"/>
          <w:spacing w:val="-9"/>
          <w:sz w:val="16"/>
        </w:rPr>
        <w:t> </w:t>
      </w:r>
      <w:r>
        <w:rPr>
          <w:color w:val="231F20"/>
          <w:sz w:val="16"/>
        </w:rPr>
        <w:t>I</w:t>
      </w:r>
      <w:r>
        <w:rPr>
          <w:color w:val="231F20"/>
          <w:sz w:val="11"/>
        </w:rPr>
        <w:t>AMICELI</w:t>
      </w:r>
      <w:r>
        <w:rPr>
          <w:color w:val="231F20"/>
          <w:sz w:val="16"/>
        </w:rPr>
        <w:t>,</w:t>
      </w:r>
      <w:r>
        <w:rPr>
          <w:color w:val="231F20"/>
          <w:spacing w:val="-9"/>
          <w:sz w:val="16"/>
        </w:rPr>
        <w:t> </w:t>
      </w:r>
      <w:r>
        <w:rPr>
          <w:rFonts w:ascii="Arial" w:hAnsi="Arial"/>
          <w:color w:val="231F20"/>
          <w:sz w:val="16"/>
        </w:rPr>
        <w:t>‘</w:t>
      </w:r>
      <w:r>
        <w:rPr>
          <w:color w:val="231F20"/>
          <w:sz w:val="16"/>
        </w:rPr>
        <w:t>The</w:t>
      </w:r>
      <w:r>
        <w:rPr>
          <w:color w:val="231F20"/>
          <w:spacing w:val="-8"/>
          <w:sz w:val="16"/>
        </w:rPr>
        <w:t> </w:t>
      </w:r>
      <w:r>
        <w:rPr>
          <w:color w:val="231F20"/>
          <w:sz w:val="16"/>
        </w:rPr>
        <w:t>Principles</w:t>
      </w:r>
      <w:r>
        <w:rPr>
          <w:color w:val="231F20"/>
          <w:spacing w:val="-9"/>
          <w:sz w:val="16"/>
        </w:rPr>
        <w:t> </w:t>
      </w:r>
      <w:r>
        <w:rPr>
          <w:color w:val="231F20"/>
          <w:sz w:val="16"/>
        </w:rPr>
        <w:t>of</w:t>
      </w:r>
      <w:r>
        <w:rPr>
          <w:color w:val="231F20"/>
          <w:spacing w:val="-10"/>
          <w:sz w:val="16"/>
        </w:rPr>
        <w:t> </w:t>
      </w:r>
      <w:r>
        <w:rPr>
          <w:color w:val="231F20"/>
          <w:sz w:val="16"/>
        </w:rPr>
        <w:t>Effectiveness,</w:t>
      </w:r>
      <w:r>
        <w:rPr>
          <w:color w:val="231F20"/>
          <w:spacing w:val="-10"/>
          <w:sz w:val="16"/>
        </w:rPr>
        <w:t> </w:t>
      </w:r>
      <w:r>
        <w:rPr>
          <w:color w:val="231F20"/>
          <w:sz w:val="16"/>
        </w:rPr>
        <w:t>Proportionality</w:t>
      </w:r>
      <w:r>
        <w:rPr>
          <w:color w:val="231F20"/>
          <w:spacing w:val="-8"/>
          <w:sz w:val="16"/>
        </w:rPr>
        <w:t> </w:t>
      </w:r>
      <w:r>
        <w:rPr>
          <w:color w:val="231F20"/>
          <w:sz w:val="16"/>
        </w:rPr>
        <w:t>and</w:t>
      </w:r>
      <w:r>
        <w:rPr>
          <w:color w:val="231F20"/>
          <w:spacing w:val="-10"/>
          <w:sz w:val="16"/>
        </w:rPr>
        <w:t> </w:t>
      </w:r>
      <w:r>
        <w:rPr>
          <w:color w:val="231F20"/>
          <w:sz w:val="16"/>
        </w:rPr>
        <w:t>Dissuasiveness</w:t>
      </w:r>
      <w:r>
        <w:rPr>
          <w:color w:val="231F20"/>
          <w:spacing w:val="-10"/>
          <w:sz w:val="16"/>
        </w:rPr>
        <w:t> </w:t>
      </w:r>
      <w:r>
        <w:rPr>
          <w:color w:val="231F20"/>
          <w:sz w:val="16"/>
        </w:rPr>
        <w:t>in</w:t>
      </w:r>
      <w:r>
        <w:rPr>
          <w:color w:val="231F20"/>
          <w:spacing w:val="-8"/>
          <w:sz w:val="16"/>
        </w:rPr>
        <w:t> </w:t>
      </w:r>
      <w:r>
        <w:rPr>
          <w:color w:val="231F20"/>
          <w:sz w:val="16"/>
        </w:rPr>
        <w:t>the</w:t>
      </w:r>
      <w:r>
        <w:rPr>
          <w:color w:val="231F20"/>
          <w:spacing w:val="40"/>
          <w:sz w:val="16"/>
        </w:rPr>
        <w:t> </w:t>
      </w:r>
      <w:r>
        <w:rPr>
          <w:color w:val="231F20"/>
          <w:sz w:val="16"/>
        </w:rPr>
        <w:t>Enforcement of EU Consumer Law: The Impact of a Triad on the Choice of Civil Remedies and</w:t>
      </w:r>
      <w:r>
        <w:rPr>
          <w:color w:val="231F20"/>
          <w:spacing w:val="40"/>
          <w:sz w:val="16"/>
        </w:rPr>
        <w:t> </w:t>
      </w:r>
      <w:r>
        <w:rPr>
          <w:color w:val="231F20"/>
          <w:sz w:val="16"/>
        </w:rPr>
        <w:t>Administrative Sanctions</w:t>
      </w:r>
      <w:r>
        <w:rPr>
          <w:rFonts w:ascii="Arial" w:hAnsi="Arial"/>
          <w:color w:val="231F20"/>
          <w:sz w:val="16"/>
        </w:rPr>
        <w:t>’</w:t>
      </w:r>
      <w:r>
        <w:rPr>
          <w:color w:val="231F20"/>
          <w:sz w:val="16"/>
        </w:rPr>
        <w:t>, 25. </w:t>
      </w:r>
      <w:r>
        <w:rPr>
          <w:i/>
          <w:color w:val="231F20"/>
          <w:sz w:val="16"/>
        </w:rPr>
        <w:t>ERPL </w:t>
      </w:r>
      <w:r>
        <w:rPr>
          <w:color w:val="231F20"/>
          <w:sz w:val="16"/>
        </w:rPr>
        <w:t>2017, p (575) at 607, doi: 10.2139/ssrn.2898981.</w:t>
      </w:r>
    </w:p>
    <w:p>
      <w:pPr>
        <w:pStyle w:val="ListParagraph"/>
        <w:numPr>
          <w:ilvl w:val="0"/>
          <w:numId w:val="3"/>
        </w:numPr>
        <w:tabs>
          <w:tab w:pos="865" w:val="left" w:leader="none"/>
        </w:tabs>
        <w:spacing w:line="240" w:lineRule="auto" w:before="3" w:after="0"/>
        <w:ind w:left="865" w:right="0" w:hanging="353"/>
        <w:jc w:val="left"/>
        <w:rPr>
          <w:sz w:val="16"/>
        </w:rPr>
      </w:pPr>
      <w:r>
        <w:rPr>
          <w:color w:val="231F20"/>
          <w:sz w:val="16"/>
        </w:rPr>
        <w:t>ECJ</w:t>
      </w:r>
      <w:r>
        <w:rPr>
          <w:color w:val="231F20"/>
          <w:spacing w:val="7"/>
          <w:sz w:val="16"/>
        </w:rPr>
        <w:t> </w:t>
      </w:r>
      <w:r>
        <w:rPr>
          <w:color w:val="231F20"/>
          <w:sz w:val="16"/>
        </w:rPr>
        <w:t>29</w:t>
      </w:r>
      <w:r>
        <w:rPr>
          <w:color w:val="231F20"/>
          <w:spacing w:val="7"/>
          <w:sz w:val="16"/>
        </w:rPr>
        <w:t> </w:t>
      </w:r>
      <w:r>
        <w:rPr>
          <w:color w:val="231F20"/>
          <w:sz w:val="16"/>
        </w:rPr>
        <w:t>Apr.</w:t>
      </w:r>
      <w:r>
        <w:rPr>
          <w:color w:val="231F20"/>
          <w:spacing w:val="7"/>
          <w:sz w:val="16"/>
        </w:rPr>
        <w:t> </w:t>
      </w:r>
      <w:r>
        <w:rPr>
          <w:color w:val="231F20"/>
          <w:sz w:val="16"/>
        </w:rPr>
        <w:t>2021,</w:t>
      </w:r>
      <w:r>
        <w:rPr>
          <w:color w:val="231F20"/>
          <w:spacing w:val="7"/>
          <w:sz w:val="16"/>
        </w:rPr>
        <w:t> </w:t>
      </w:r>
      <w:r>
        <w:rPr>
          <w:color w:val="231F20"/>
          <w:sz w:val="16"/>
        </w:rPr>
        <w:t>ECLI:EU:C:2021:341,</w:t>
      </w:r>
      <w:r>
        <w:rPr>
          <w:color w:val="231F20"/>
          <w:spacing w:val="8"/>
          <w:sz w:val="16"/>
        </w:rPr>
        <w:t> </w:t>
      </w:r>
      <w:r>
        <w:rPr>
          <w:i/>
          <w:color w:val="231F20"/>
          <w:sz w:val="16"/>
        </w:rPr>
        <w:t>I.W.</w:t>
      </w:r>
      <w:r>
        <w:rPr>
          <w:i/>
          <w:color w:val="231F20"/>
          <w:spacing w:val="7"/>
          <w:sz w:val="16"/>
        </w:rPr>
        <w:t> </w:t>
      </w:r>
      <w:r>
        <w:rPr>
          <w:i/>
          <w:color w:val="231F20"/>
          <w:sz w:val="16"/>
        </w:rPr>
        <w:t>and</w:t>
      </w:r>
      <w:r>
        <w:rPr>
          <w:i/>
          <w:color w:val="231F20"/>
          <w:spacing w:val="8"/>
          <w:sz w:val="16"/>
        </w:rPr>
        <w:t> </w:t>
      </w:r>
      <w:r>
        <w:rPr>
          <w:i/>
          <w:color w:val="231F20"/>
          <w:sz w:val="16"/>
        </w:rPr>
        <w:t>R.W.</w:t>
      </w:r>
      <w:r>
        <w:rPr>
          <w:i/>
          <w:color w:val="231F20"/>
          <w:spacing w:val="8"/>
          <w:sz w:val="16"/>
        </w:rPr>
        <w:t> </w:t>
      </w:r>
      <w:r>
        <w:rPr>
          <w:color w:val="231F20"/>
          <w:sz w:val="16"/>
        </w:rPr>
        <w:t>v.</w:t>
      </w:r>
      <w:r>
        <w:rPr>
          <w:color w:val="231F20"/>
          <w:spacing w:val="7"/>
          <w:sz w:val="16"/>
        </w:rPr>
        <w:t> </w:t>
      </w:r>
      <w:r>
        <w:rPr>
          <w:i/>
          <w:color w:val="231F20"/>
          <w:sz w:val="16"/>
        </w:rPr>
        <w:t>Bank</w:t>
      </w:r>
      <w:r>
        <w:rPr>
          <w:i/>
          <w:color w:val="231F20"/>
          <w:spacing w:val="8"/>
          <w:sz w:val="16"/>
        </w:rPr>
        <w:t> </w:t>
      </w:r>
      <w:r>
        <w:rPr>
          <w:i/>
          <w:color w:val="231F20"/>
          <w:sz w:val="16"/>
        </w:rPr>
        <w:t>BPH</w:t>
      </w:r>
      <w:r>
        <w:rPr>
          <w:i/>
          <w:color w:val="231F20"/>
          <w:spacing w:val="8"/>
          <w:sz w:val="16"/>
        </w:rPr>
        <w:t> </w:t>
      </w:r>
      <w:r>
        <w:rPr>
          <w:i/>
          <w:color w:val="231F20"/>
          <w:sz w:val="16"/>
        </w:rPr>
        <w:t>S.A.</w:t>
      </w:r>
      <w:r>
        <w:rPr>
          <w:color w:val="231F20"/>
          <w:sz w:val="16"/>
        </w:rPr>
        <w:t>,</w:t>
      </w:r>
      <w:r>
        <w:rPr>
          <w:color w:val="231F20"/>
          <w:spacing w:val="9"/>
          <w:sz w:val="16"/>
        </w:rPr>
        <w:t> </w:t>
      </w:r>
      <w:r>
        <w:rPr>
          <w:color w:val="231F20"/>
          <w:sz w:val="16"/>
        </w:rPr>
        <w:t>para.</w:t>
      </w:r>
      <w:r>
        <w:rPr>
          <w:color w:val="231F20"/>
          <w:spacing w:val="7"/>
          <w:sz w:val="16"/>
        </w:rPr>
        <w:t> </w:t>
      </w:r>
      <w:r>
        <w:rPr>
          <w:color w:val="231F20"/>
          <w:spacing w:val="-5"/>
          <w:sz w:val="16"/>
        </w:rPr>
        <w:t>86.</w:t>
      </w:r>
    </w:p>
    <w:p>
      <w:pPr>
        <w:pStyle w:val="ListParagraph"/>
        <w:numPr>
          <w:ilvl w:val="0"/>
          <w:numId w:val="3"/>
        </w:numPr>
        <w:tabs>
          <w:tab w:pos="866" w:val="left" w:leader="none"/>
        </w:tabs>
        <w:spacing w:line="288" w:lineRule="auto" w:before="37" w:after="0"/>
        <w:ind w:left="866" w:right="868" w:hanging="354"/>
        <w:jc w:val="both"/>
        <w:rPr>
          <w:sz w:val="16"/>
        </w:rPr>
      </w:pPr>
      <w:r>
        <w:rPr>
          <w:color w:val="231F20"/>
          <w:sz w:val="16"/>
        </w:rPr>
        <w:t>ECJ</w:t>
      </w:r>
      <w:r>
        <w:rPr>
          <w:color w:val="231F20"/>
          <w:spacing w:val="-6"/>
          <w:sz w:val="16"/>
        </w:rPr>
        <w:t> </w:t>
      </w:r>
      <w:r>
        <w:rPr>
          <w:color w:val="231F20"/>
          <w:sz w:val="16"/>
        </w:rPr>
        <w:t>6</w:t>
      </w:r>
      <w:r>
        <w:rPr>
          <w:color w:val="231F20"/>
          <w:spacing w:val="-6"/>
          <w:sz w:val="16"/>
        </w:rPr>
        <w:t> </w:t>
      </w:r>
      <w:r>
        <w:rPr>
          <w:color w:val="231F20"/>
          <w:sz w:val="16"/>
        </w:rPr>
        <w:t>Oct.</w:t>
      </w:r>
      <w:r>
        <w:rPr>
          <w:color w:val="231F20"/>
          <w:spacing w:val="-6"/>
          <w:sz w:val="16"/>
        </w:rPr>
        <w:t> </w:t>
      </w:r>
      <w:r>
        <w:rPr>
          <w:color w:val="231F20"/>
          <w:sz w:val="16"/>
        </w:rPr>
        <w:t>2021,</w:t>
      </w:r>
      <w:r>
        <w:rPr>
          <w:color w:val="231F20"/>
          <w:spacing w:val="-7"/>
          <w:sz w:val="16"/>
        </w:rPr>
        <w:t> </w:t>
      </w:r>
      <w:r>
        <w:rPr>
          <w:color w:val="231F20"/>
          <w:sz w:val="16"/>
        </w:rPr>
        <w:t>ECLI:C:EU:2021:800,</w:t>
      </w:r>
      <w:r>
        <w:rPr>
          <w:color w:val="231F20"/>
          <w:spacing w:val="-6"/>
          <w:sz w:val="16"/>
        </w:rPr>
        <w:t> </w:t>
      </w:r>
      <w:r>
        <w:rPr>
          <w:i/>
          <w:color w:val="231F20"/>
          <w:sz w:val="16"/>
        </w:rPr>
        <w:t>Sumal,</w:t>
      </w:r>
      <w:r>
        <w:rPr>
          <w:i/>
          <w:color w:val="231F20"/>
          <w:spacing w:val="-7"/>
          <w:sz w:val="16"/>
        </w:rPr>
        <w:t> </w:t>
      </w:r>
      <w:r>
        <w:rPr>
          <w:i/>
          <w:color w:val="231F20"/>
          <w:sz w:val="16"/>
        </w:rPr>
        <w:t>S.L.</w:t>
      </w:r>
      <w:r>
        <w:rPr>
          <w:i/>
          <w:color w:val="231F20"/>
          <w:spacing w:val="-6"/>
          <w:sz w:val="16"/>
        </w:rPr>
        <w:t> </w:t>
      </w:r>
      <w:r>
        <w:rPr>
          <w:color w:val="231F20"/>
          <w:sz w:val="16"/>
        </w:rPr>
        <w:t>v.</w:t>
      </w:r>
      <w:r>
        <w:rPr>
          <w:color w:val="231F20"/>
          <w:spacing w:val="-7"/>
          <w:sz w:val="16"/>
        </w:rPr>
        <w:t> </w:t>
      </w:r>
      <w:r>
        <w:rPr>
          <w:i/>
          <w:color w:val="231F20"/>
          <w:sz w:val="16"/>
        </w:rPr>
        <w:t>Mercedes</w:t>
      </w:r>
      <w:r>
        <w:rPr>
          <w:i/>
          <w:color w:val="231F20"/>
          <w:spacing w:val="-6"/>
          <w:sz w:val="16"/>
        </w:rPr>
        <w:t> </w:t>
      </w:r>
      <w:r>
        <w:rPr>
          <w:i/>
          <w:color w:val="231F20"/>
          <w:sz w:val="16"/>
        </w:rPr>
        <w:t>Benz</w:t>
      </w:r>
      <w:r>
        <w:rPr>
          <w:i/>
          <w:color w:val="231F20"/>
          <w:spacing w:val="-7"/>
          <w:sz w:val="16"/>
        </w:rPr>
        <w:t> </w:t>
      </w:r>
      <w:r>
        <w:rPr>
          <w:i/>
          <w:color w:val="231F20"/>
          <w:sz w:val="16"/>
        </w:rPr>
        <w:t>Trucks</w:t>
      </w:r>
      <w:r>
        <w:rPr>
          <w:i/>
          <w:color w:val="231F20"/>
          <w:spacing w:val="-7"/>
          <w:sz w:val="16"/>
        </w:rPr>
        <w:t> </w:t>
      </w:r>
      <w:r>
        <w:rPr>
          <w:i/>
          <w:color w:val="231F20"/>
          <w:sz w:val="16"/>
        </w:rPr>
        <w:t>España,</w:t>
      </w:r>
      <w:r>
        <w:rPr>
          <w:i/>
          <w:color w:val="231F20"/>
          <w:spacing w:val="-6"/>
          <w:sz w:val="16"/>
        </w:rPr>
        <w:t> </w:t>
      </w:r>
      <w:r>
        <w:rPr>
          <w:i/>
          <w:color w:val="231F20"/>
          <w:sz w:val="16"/>
        </w:rPr>
        <w:t>S.L.</w:t>
      </w:r>
      <w:r>
        <w:rPr>
          <w:color w:val="231F20"/>
          <w:sz w:val="16"/>
        </w:rPr>
        <w:t>,</w:t>
      </w:r>
      <w:r>
        <w:rPr>
          <w:color w:val="231F20"/>
          <w:spacing w:val="-7"/>
          <w:sz w:val="16"/>
        </w:rPr>
        <w:t> </w:t>
      </w:r>
      <w:r>
        <w:rPr>
          <w:color w:val="231F20"/>
          <w:sz w:val="16"/>
        </w:rPr>
        <w:t>curia.</w:t>
      </w:r>
      <w:r>
        <w:rPr>
          <w:color w:val="231F20"/>
          <w:spacing w:val="40"/>
          <w:sz w:val="16"/>
        </w:rPr>
        <w:t> </w:t>
      </w:r>
      <w:r>
        <w:rPr>
          <w:color w:val="231F20"/>
          <w:sz w:val="16"/>
        </w:rPr>
        <w:t>europa.eu/juris/liste.jsf?num=C-882/19,</w:t>
      </w:r>
      <w:r>
        <w:rPr>
          <w:color w:val="231F20"/>
          <w:spacing w:val="-1"/>
          <w:sz w:val="16"/>
        </w:rPr>
        <w:t> </w:t>
      </w:r>
      <w:r>
        <w:rPr>
          <w:color w:val="231F20"/>
          <w:sz w:val="16"/>
        </w:rPr>
        <w:t>paras</w:t>
      </w:r>
      <w:r>
        <w:rPr>
          <w:color w:val="231F20"/>
          <w:spacing w:val="-1"/>
          <w:sz w:val="16"/>
        </w:rPr>
        <w:t> </w:t>
      </w:r>
      <w:r>
        <w:rPr>
          <w:color w:val="231F20"/>
          <w:sz w:val="16"/>
        </w:rPr>
        <w:t>36</w:t>
      </w:r>
      <w:r>
        <w:rPr>
          <w:rFonts w:ascii="Arial" w:hAnsi="Arial"/>
          <w:color w:val="231F20"/>
          <w:sz w:val="16"/>
        </w:rPr>
        <w:t>–</w:t>
      </w:r>
      <w:r>
        <w:rPr>
          <w:color w:val="231F20"/>
          <w:sz w:val="16"/>
        </w:rPr>
        <w:t>37;</w:t>
      </w:r>
      <w:r>
        <w:rPr>
          <w:color w:val="231F20"/>
          <w:spacing w:val="-1"/>
          <w:sz w:val="16"/>
        </w:rPr>
        <w:t> </w:t>
      </w:r>
      <w:r>
        <w:rPr>
          <w:color w:val="231F20"/>
          <w:sz w:val="16"/>
        </w:rPr>
        <w:t>ECJ 14</w:t>
      </w:r>
      <w:r>
        <w:rPr>
          <w:color w:val="231F20"/>
          <w:spacing w:val="-1"/>
          <w:sz w:val="16"/>
        </w:rPr>
        <w:t> </w:t>
      </w:r>
      <w:r>
        <w:rPr>
          <w:color w:val="231F20"/>
          <w:sz w:val="16"/>
        </w:rPr>
        <w:t>Mar.</w:t>
      </w:r>
      <w:r>
        <w:rPr>
          <w:color w:val="231F20"/>
          <w:spacing w:val="-1"/>
          <w:sz w:val="16"/>
        </w:rPr>
        <w:t> </w:t>
      </w:r>
      <w:r>
        <w:rPr>
          <w:color w:val="231F20"/>
          <w:sz w:val="16"/>
        </w:rPr>
        <w:t>2019,</w:t>
      </w:r>
      <w:r>
        <w:rPr>
          <w:color w:val="231F20"/>
          <w:spacing w:val="-1"/>
          <w:sz w:val="16"/>
        </w:rPr>
        <w:t> </w:t>
      </w:r>
      <w:r>
        <w:rPr>
          <w:color w:val="231F20"/>
          <w:sz w:val="16"/>
        </w:rPr>
        <w:t>ECLI:EU:C:2019:100,</w:t>
      </w:r>
      <w:r>
        <w:rPr>
          <w:color w:val="231F20"/>
          <w:spacing w:val="40"/>
          <w:sz w:val="16"/>
        </w:rPr>
        <w:t> </w:t>
      </w:r>
      <w:r>
        <w:rPr>
          <w:i/>
          <w:color w:val="231F20"/>
          <w:spacing w:val="-2"/>
          <w:sz w:val="16"/>
        </w:rPr>
        <w:t>Vantaan kaupunki </w:t>
      </w:r>
      <w:r>
        <w:rPr>
          <w:color w:val="231F20"/>
          <w:spacing w:val="-2"/>
          <w:sz w:val="16"/>
        </w:rPr>
        <w:t>v. </w:t>
      </w:r>
      <w:r>
        <w:rPr>
          <w:i/>
          <w:color w:val="231F20"/>
          <w:spacing w:val="-2"/>
          <w:sz w:val="16"/>
        </w:rPr>
        <w:t>Skanska Industrial Solutions Oy and Others</w:t>
      </w:r>
      <w:r>
        <w:rPr>
          <w:color w:val="231F20"/>
          <w:spacing w:val="-2"/>
          <w:sz w:val="16"/>
        </w:rPr>
        <w:t>, curia.europa.eu/juris/liste.jsf?</w:t>
      </w:r>
      <w:r>
        <w:rPr>
          <w:color w:val="231F20"/>
          <w:spacing w:val="40"/>
          <w:sz w:val="16"/>
        </w:rPr>
        <w:t> </w:t>
      </w:r>
      <w:r>
        <w:rPr>
          <w:color w:val="231F20"/>
          <w:sz w:val="16"/>
        </w:rPr>
        <w:t>num=C-724/17, para. 45.</w:t>
      </w:r>
    </w:p>
    <w:p>
      <w:pPr>
        <w:spacing w:after="0" w:line="288" w:lineRule="auto"/>
        <w:jc w:val="both"/>
        <w:rPr>
          <w:sz w:val="16"/>
        </w:rPr>
        <w:sectPr>
          <w:pgSz w:w="11910" w:h="16840"/>
          <w:pgMar w:header="0" w:footer="2585" w:top="1920" w:bottom="2780" w:left="1680" w:right="1680"/>
        </w:sectPr>
      </w:pPr>
    </w:p>
    <w:p>
      <w:pPr>
        <w:pStyle w:val="BodyText"/>
        <w:rPr>
          <w:sz w:val="22"/>
        </w:rPr>
      </w:pPr>
    </w:p>
    <w:p>
      <w:pPr>
        <w:pStyle w:val="BodyText"/>
        <w:spacing w:before="90"/>
        <w:rPr>
          <w:sz w:val="22"/>
        </w:rPr>
      </w:pPr>
    </w:p>
    <w:p>
      <w:pPr>
        <w:pStyle w:val="Heading2"/>
        <w:numPr>
          <w:ilvl w:val="1"/>
          <w:numId w:val="1"/>
        </w:numPr>
        <w:tabs>
          <w:tab w:pos="848" w:val="left" w:leader="none"/>
        </w:tabs>
        <w:spacing w:line="240" w:lineRule="auto" w:before="1" w:after="0"/>
        <w:ind w:left="848" w:right="0" w:hanging="545"/>
        <w:jc w:val="left"/>
        <w:rPr>
          <w:i/>
        </w:rPr>
      </w:pPr>
      <w:r>
        <w:rPr>
          <w:i/>
          <w:color w:val="231F20"/>
          <w:w w:val="105"/>
        </w:rPr>
        <w:t>Proportionality</w:t>
      </w:r>
      <w:r>
        <w:rPr>
          <w:i/>
          <w:color w:val="231F20"/>
          <w:spacing w:val="7"/>
          <w:w w:val="105"/>
        </w:rPr>
        <w:t> </w:t>
      </w:r>
      <w:r>
        <w:rPr>
          <w:i/>
          <w:color w:val="231F20"/>
          <w:w w:val="105"/>
        </w:rPr>
        <w:t>to</w:t>
      </w:r>
      <w:r>
        <w:rPr>
          <w:i/>
          <w:color w:val="231F20"/>
          <w:spacing w:val="8"/>
          <w:w w:val="105"/>
        </w:rPr>
        <w:t> </w:t>
      </w:r>
      <w:r>
        <w:rPr>
          <w:i/>
          <w:color w:val="231F20"/>
          <w:w w:val="105"/>
        </w:rPr>
        <w:t>Calibrate</w:t>
      </w:r>
      <w:r>
        <w:rPr>
          <w:i/>
          <w:color w:val="231F20"/>
          <w:spacing w:val="8"/>
          <w:w w:val="105"/>
        </w:rPr>
        <w:t> </w:t>
      </w:r>
      <w:r>
        <w:rPr>
          <w:i/>
          <w:color w:val="231F20"/>
          <w:w w:val="105"/>
        </w:rPr>
        <w:t>the</w:t>
      </w:r>
      <w:r>
        <w:rPr>
          <w:i/>
          <w:color w:val="231F20"/>
          <w:spacing w:val="7"/>
          <w:w w:val="105"/>
        </w:rPr>
        <w:t> </w:t>
      </w:r>
      <w:r>
        <w:rPr>
          <w:i/>
          <w:color w:val="231F20"/>
          <w:spacing w:val="-2"/>
          <w:w w:val="105"/>
        </w:rPr>
        <w:t>Sanction</w:t>
      </w:r>
    </w:p>
    <w:p>
      <w:pPr>
        <w:pStyle w:val="ListParagraph"/>
        <w:numPr>
          <w:ilvl w:val="0"/>
          <w:numId w:val="4"/>
        </w:numPr>
        <w:tabs>
          <w:tab w:pos="1324" w:val="left" w:leader="none"/>
        </w:tabs>
        <w:spacing w:line="288" w:lineRule="auto" w:before="166" w:after="0"/>
        <w:ind w:left="871" w:right="867" w:firstLine="0"/>
        <w:jc w:val="both"/>
        <w:rPr>
          <w:sz w:val="19"/>
        </w:rPr>
      </w:pPr>
      <w:r>
        <w:rPr>
          <w:color w:val="231F20"/>
          <w:sz w:val="19"/>
        </w:rPr>
        <w:t>The requirement that sanctions should be proportional is embedded in EU private law.</w:t>
      </w:r>
      <w:r>
        <w:rPr>
          <w:color w:val="231F20"/>
          <w:sz w:val="19"/>
          <w:vertAlign w:val="superscript"/>
        </w:rPr>
        <w:t>113</w:t>
      </w:r>
      <w:r>
        <w:rPr>
          <w:color w:val="231F20"/>
          <w:sz w:val="19"/>
          <w:vertAlign w:val="baseline"/>
        </w:rPr>
        <w:t> It is currently present in the main instruments of consumer legislation that apply horizontally: the UCTD (Art. 8b(1)), the Unfair</w:t>
      </w:r>
      <w:r>
        <w:rPr>
          <w:color w:val="231F20"/>
          <w:spacing w:val="80"/>
          <w:sz w:val="19"/>
          <w:vertAlign w:val="baseline"/>
        </w:rPr>
        <w:t> </w:t>
      </w:r>
      <w:r>
        <w:rPr>
          <w:color w:val="231F20"/>
          <w:sz w:val="19"/>
          <w:vertAlign w:val="baseline"/>
        </w:rPr>
        <w:t>Commercial</w:t>
      </w:r>
      <w:r>
        <w:rPr>
          <w:color w:val="231F20"/>
          <w:spacing w:val="40"/>
          <w:sz w:val="19"/>
          <w:vertAlign w:val="baseline"/>
        </w:rPr>
        <w:t> </w:t>
      </w:r>
      <w:r>
        <w:rPr>
          <w:color w:val="231F20"/>
          <w:sz w:val="19"/>
          <w:vertAlign w:val="baseline"/>
        </w:rPr>
        <w:t>Practices</w:t>
      </w:r>
      <w:r>
        <w:rPr>
          <w:color w:val="231F20"/>
          <w:spacing w:val="40"/>
          <w:sz w:val="19"/>
          <w:vertAlign w:val="baseline"/>
        </w:rPr>
        <w:t> </w:t>
      </w:r>
      <w:r>
        <w:rPr>
          <w:color w:val="231F20"/>
          <w:sz w:val="19"/>
          <w:vertAlign w:val="baseline"/>
        </w:rPr>
        <w:t>Directive</w:t>
      </w:r>
      <w:r>
        <w:rPr>
          <w:color w:val="231F20"/>
          <w:spacing w:val="40"/>
          <w:sz w:val="19"/>
          <w:vertAlign w:val="baseline"/>
        </w:rPr>
        <w:t> </w:t>
      </w:r>
      <w:r>
        <w:rPr>
          <w:color w:val="231F20"/>
          <w:sz w:val="19"/>
          <w:vertAlign w:val="baseline"/>
        </w:rPr>
        <w:t>(Art</w:t>
      </w:r>
      <w:r>
        <w:rPr>
          <w:color w:val="231F20"/>
          <w:spacing w:val="40"/>
          <w:sz w:val="19"/>
          <w:vertAlign w:val="baseline"/>
        </w:rPr>
        <w:t> </w:t>
      </w:r>
      <w:r>
        <w:rPr>
          <w:color w:val="231F20"/>
          <w:sz w:val="19"/>
          <w:vertAlign w:val="baseline"/>
        </w:rPr>
        <w:t>13(1)),</w:t>
      </w:r>
      <w:r>
        <w:rPr>
          <w:color w:val="231F20"/>
          <w:sz w:val="19"/>
          <w:vertAlign w:val="superscript"/>
        </w:rPr>
        <w:t>114</w:t>
      </w:r>
      <w:r>
        <w:rPr>
          <w:color w:val="231F20"/>
          <w:spacing w:val="40"/>
          <w:sz w:val="19"/>
          <w:vertAlign w:val="baseline"/>
        </w:rPr>
        <w:t> </w:t>
      </w:r>
      <w:r>
        <w:rPr>
          <w:color w:val="231F20"/>
          <w:sz w:val="19"/>
          <w:vertAlign w:val="baseline"/>
        </w:rPr>
        <w:t>and</w:t>
      </w:r>
      <w:r>
        <w:rPr>
          <w:color w:val="231F20"/>
          <w:spacing w:val="40"/>
          <w:sz w:val="19"/>
          <w:vertAlign w:val="baseline"/>
        </w:rPr>
        <w:t> </w:t>
      </w:r>
      <w:r>
        <w:rPr>
          <w:color w:val="231F20"/>
          <w:sz w:val="19"/>
          <w:vertAlign w:val="baseline"/>
        </w:rPr>
        <w:t>the</w:t>
      </w:r>
      <w:r>
        <w:rPr>
          <w:color w:val="231F20"/>
          <w:spacing w:val="40"/>
          <w:sz w:val="19"/>
          <w:vertAlign w:val="baseline"/>
        </w:rPr>
        <w:t> </w:t>
      </w:r>
      <w:r>
        <w:rPr>
          <w:color w:val="231F20"/>
          <w:sz w:val="19"/>
          <w:vertAlign w:val="baseline"/>
        </w:rPr>
        <w:t>Consumer</w:t>
      </w:r>
      <w:r>
        <w:rPr>
          <w:color w:val="231F20"/>
          <w:spacing w:val="40"/>
          <w:sz w:val="19"/>
          <w:vertAlign w:val="baseline"/>
        </w:rPr>
        <w:t> </w:t>
      </w:r>
      <w:r>
        <w:rPr>
          <w:color w:val="231F20"/>
          <w:sz w:val="19"/>
          <w:vertAlign w:val="baseline"/>
        </w:rPr>
        <w:t>Rights Directive (Art. 24(1)).</w:t>
      </w:r>
      <w:r>
        <w:rPr>
          <w:color w:val="231F20"/>
          <w:sz w:val="19"/>
          <w:vertAlign w:val="superscript"/>
        </w:rPr>
        <w:t>115</w:t>
      </w:r>
      <w:r>
        <w:rPr>
          <w:color w:val="231F20"/>
          <w:sz w:val="19"/>
          <w:vertAlign w:val="baseline"/>
        </w:rPr>
        <w:t> It is also present in sectorial legislation such as the Consumer Credit Directive.</w:t>
      </w:r>
      <w:r>
        <w:rPr>
          <w:color w:val="231F20"/>
          <w:sz w:val="19"/>
          <w:vertAlign w:val="superscript"/>
        </w:rPr>
        <w:t>116</w:t>
      </w:r>
      <w:r>
        <w:rPr>
          <w:color w:val="231F20"/>
          <w:sz w:val="19"/>
          <w:vertAlign w:val="baseline"/>
        </w:rPr>
        <w:t> They all require that penalties be effective, pro- portionate, and dissuasive.</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pacing w:val="-2"/>
          <w:sz w:val="19"/>
        </w:rPr>
        <w:t>To</w:t>
      </w:r>
      <w:r>
        <w:rPr>
          <w:color w:val="231F20"/>
          <w:spacing w:val="-10"/>
          <w:sz w:val="19"/>
        </w:rPr>
        <w:t> </w:t>
      </w:r>
      <w:r>
        <w:rPr>
          <w:color w:val="231F20"/>
          <w:spacing w:val="-2"/>
          <w:sz w:val="19"/>
        </w:rPr>
        <w:t>comply</w:t>
      </w:r>
      <w:r>
        <w:rPr>
          <w:color w:val="231F20"/>
          <w:spacing w:val="-9"/>
          <w:sz w:val="19"/>
        </w:rPr>
        <w:t> </w:t>
      </w:r>
      <w:r>
        <w:rPr>
          <w:color w:val="231F20"/>
          <w:spacing w:val="-2"/>
          <w:sz w:val="19"/>
        </w:rPr>
        <w:t>with</w:t>
      </w:r>
      <w:r>
        <w:rPr>
          <w:color w:val="231F20"/>
          <w:spacing w:val="-8"/>
          <w:sz w:val="19"/>
        </w:rPr>
        <w:t> </w:t>
      </w:r>
      <w:r>
        <w:rPr>
          <w:color w:val="231F20"/>
          <w:spacing w:val="-2"/>
          <w:sz w:val="19"/>
        </w:rPr>
        <w:t>those</w:t>
      </w:r>
      <w:r>
        <w:rPr>
          <w:color w:val="231F20"/>
          <w:spacing w:val="-9"/>
          <w:sz w:val="19"/>
        </w:rPr>
        <w:t> </w:t>
      </w:r>
      <w:r>
        <w:rPr>
          <w:color w:val="231F20"/>
          <w:spacing w:val="-2"/>
          <w:sz w:val="19"/>
        </w:rPr>
        <w:t>requirements,</w:t>
      </w:r>
      <w:r>
        <w:rPr>
          <w:color w:val="231F20"/>
          <w:spacing w:val="-8"/>
          <w:sz w:val="19"/>
        </w:rPr>
        <w:t> </w:t>
      </w:r>
      <w:r>
        <w:rPr>
          <w:color w:val="231F20"/>
          <w:spacing w:val="-2"/>
          <w:sz w:val="19"/>
        </w:rPr>
        <w:t>Member</w:t>
      </w:r>
      <w:r>
        <w:rPr>
          <w:color w:val="231F20"/>
          <w:spacing w:val="-10"/>
          <w:sz w:val="19"/>
        </w:rPr>
        <w:t> </w:t>
      </w:r>
      <w:r>
        <w:rPr>
          <w:color w:val="231F20"/>
          <w:spacing w:val="-2"/>
          <w:sz w:val="19"/>
        </w:rPr>
        <w:t>States</w:t>
      </w:r>
      <w:r>
        <w:rPr>
          <w:color w:val="231F20"/>
          <w:spacing w:val="-8"/>
          <w:sz w:val="19"/>
        </w:rPr>
        <w:t> </w:t>
      </w:r>
      <w:r>
        <w:rPr>
          <w:color w:val="231F20"/>
          <w:spacing w:val="-2"/>
          <w:sz w:val="19"/>
        </w:rPr>
        <w:t>must</w:t>
      </w:r>
      <w:r>
        <w:rPr>
          <w:color w:val="231F20"/>
          <w:spacing w:val="-8"/>
          <w:sz w:val="19"/>
        </w:rPr>
        <w:t> </w:t>
      </w:r>
      <w:r>
        <w:rPr>
          <w:color w:val="231F20"/>
          <w:spacing w:val="-2"/>
          <w:sz w:val="19"/>
        </w:rPr>
        <w:t>consider</w:t>
      </w:r>
      <w:r>
        <w:rPr>
          <w:color w:val="231F20"/>
          <w:spacing w:val="-8"/>
          <w:sz w:val="19"/>
        </w:rPr>
        <w:t> </w:t>
      </w:r>
      <w:r>
        <w:rPr>
          <w:color w:val="231F20"/>
          <w:spacing w:val="-2"/>
          <w:sz w:val="19"/>
        </w:rPr>
        <w:t>the</w:t>
      </w:r>
      <w:r>
        <w:rPr>
          <w:color w:val="231F20"/>
          <w:spacing w:val="-10"/>
          <w:sz w:val="19"/>
        </w:rPr>
        <w:t> </w:t>
      </w:r>
      <w:r>
        <w:rPr>
          <w:color w:val="231F20"/>
          <w:spacing w:val="-2"/>
          <w:sz w:val="19"/>
        </w:rPr>
        <w:t>nature, </w:t>
      </w:r>
      <w:r>
        <w:rPr>
          <w:color w:val="231F20"/>
          <w:sz w:val="19"/>
        </w:rPr>
        <w:t>gravity,</w:t>
      </w:r>
      <w:r>
        <w:rPr>
          <w:color w:val="231F20"/>
          <w:spacing w:val="-12"/>
          <w:sz w:val="19"/>
        </w:rPr>
        <w:t> </w:t>
      </w:r>
      <w:r>
        <w:rPr>
          <w:color w:val="231F20"/>
          <w:sz w:val="19"/>
        </w:rPr>
        <w:t>scale</w:t>
      </w:r>
      <w:r>
        <w:rPr>
          <w:color w:val="231F20"/>
          <w:spacing w:val="-11"/>
          <w:sz w:val="19"/>
        </w:rPr>
        <w:t> </w:t>
      </w:r>
      <w:r>
        <w:rPr>
          <w:color w:val="231F20"/>
          <w:sz w:val="19"/>
        </w:rPr>
        <w:t>and</w:t>
      </w:r>
      <w:r>
        <w:rPr>
          <w:color w:val="231F20"/>
          <w:spacing w:val="-12"/>
          <w:sz w:val="19"/>
        </w:rPr>
        <w:t> </w:t>
      </w:r>
      <w:r>
        <w:rPr>
          <w:color w:val="231F20"/>
          <w:sz w:val="19"/>
        </w:rPr>
        <w:t>duration</w:t>
      </w:r>
      <w:r>
        <w:rPr>
          <w:color w:val="231F20"/>
          <w:spacing w:val="-11"/>
          <w:sz w:val="19"/>
        </w:rPr>
        <w:t> </w:t>
      </w:r>
      <w:r>
        <w:rPr>
          <w:color w:val="231F20"/>
          <w:sz w:val="19"/>
        </w:rPr>
        <w:t>of</w:t>
      </w:r>
      <w:r>
        <w:rPr>
          <w:color w:val="231F20"/>
          <w:spacing w:val="-12"/>
          <w:sz w:val="19"/>
        </w:rPr>
        <w:t> </w:t>
      </w:r>
      <w:r>
        <w:rPr>
          <w:color w:val="231F20"/>
          <w:sz w:val="19"/>
        </w:rPr>
        <w:t>the</w:t>
      </w:r>
      <w:r>
        <w:rPr>
          <w:color w:val="231F20"/>
          <w:spacing w:val="-11"/>
          <w:sz w:val="19"/>
        </w:rPr>
        <w:t> </w:t>
      </w:r>
      <w:r>
        <w:rPr>
          <w:color w:val="231F20"/>
          <w:sz w:val="19"/>
        </w:rPr>
        <w:t>infringement;</w:t>
      </w:r>
      <w:r>
        <w:rPr>
          <w:color w:val="231F20"/>
          <w:spacing w:val="-12"/>
          <w:sz w:val="19"/>
        </w:rPr>
        <w:t> </w:t>
      </w:r>
      <w:r>
        <w:rPr>
          <w:color w:val="231F20"/>
          <w:sz w:val="19"/>
        </w:rPr>
        <w:t>any</w:t>
      </w:r>
      <w:r>
        <w:rPr>
          <w:color w:val="231F20"/>
          <w:spacing w:val="-11"/>
          <w:sz w:val="19"/>
        </w:rPr>
        <w:t> </w:t>
      </w:r>
      <w:r>
        <w:rPr>
          <w:color w:val="231F20"/>
          <w:sz w:val="19"/>
        </w:rPr>
        <w:t>action</w:t>
      </w:r>
      <w:r>
        <w:rPr>
          <w:color w:val="231F20"/>
          <w:spacing w:val="-11"/>
          <w:sz w:val="19"/>
        </w:rPr>
        <w:t> </w:t>
      </w:r>
      <w:r>
        <w:rPr>
          <w:color w:val="231F20"/>
          <w:sz w:val="19"/>
        </w:rPr>
        <w:t>taken</w:t>
      </w:r>
      <w:r>
        <w:rPr>
          <w:color w:val="231F20"/>
          <w:spacing w:val="-12"/>
          <w:sz w:val="19"/>
        </w:rPr>
        <w:t> </w:t>
      </w:r>
      <w:r>
        <w:rPr>
          <w:color w:val="231F20"/>
          <w:sz w:val="19"/>
        </w:rPr>
        <w:t>by</w:t>
      </w:r>
      <w:r>
        <w:rPr>
          <w:color w:val="231F20"/>
          <w:spacing w:val="-11"/>
          <w:sz w:val="19"/>
        </w:rPr>
        <w:t> </w:t>
      </w:r>
      <w:r>
        <w:rPr>
          <w:color w:val="231F20"/>
          <w:sz w:val="19"/>
        </w:rPr>
        <w:t>the</w:t>
      </w:r>
      <w:r>
        <w:rPr>
          <w:color w:val="231F20"/>
          <w:spacing w:val="-11"/>
          <w:sz w:val="19"/>
        </w:rPr>
        <w:t> </w:t>
      </w:r>
      <w:r>
        <w:rPr>
          <w:color w:val="231F20"/>
          <w:sz w:val="19"/>
        </w:rPr>
        <w:t>business</w:t>
      </w:r>
      <w:r>
        <w:rPr>
          <w:color w:val="231F20"/>
          <w:spacing w:val="-12"/>
          <w:sz w:val="19"/>
        </w:rPr>
        <w:t> </w:t>
      </w:r>
      <w:r>
        <w:rPr>
          <w:color w:val="231F20"/>
          <w:sz w:val="19"/>
        </w:rPr>
        <w:t>to mitigate the damage; any previous infringements by the business; the financial benefits gained or losses avoided by the business; and, among other things, any aggravating or mitigating factors.</w:t>
      </w:r>
      <w:r>
        <w:rPr>
          <w:color w:val="231F20"/>
          <w:sz w:val="19"/>
          <w:vertAlign w:val="superscript"/>
        </w:rPr>
        <w:t>117</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Under the UCTD, the legislative regulation of proportionality seems restricted to penalties imposed in public enforcement. However, this should not necessarily be so as the same requirement in a sectorial legal instrument that has often</w:t>
      </w:r>
      <w:r>
        <w:rPr>
          <w:color w:val="231F20"/>
          <w:spacing w:val="-2"/>
          <w:sz w:val="19"/>
        </w:rPr>
        <w:t> </w:t>
      </w:r>
      <w:r>
        <w:rPr>
          <w:color w:val="231F20"/>
          <w:sz w:val="19"/>
        </w:rPr>
        <w:t>interacted</w:t>
      </w:r>
      <w:r>
        <w:rPr>
          <w:color w:val="231F20"/>
          <w:spacing w:val="-3"/>
          <w:sz w:val="19"/>
        </w:rPr>
        <w:t> </w:t>
      </w:r>
      <w:r>
        <w:rPr>
          <w:color w:val="231F20"/>
          <w:sz w:val="19"/>
        </w:rPr>
        <w:t>with</w:t>
      </w:r>
      <w:r>
        <w:rPr>
          <w:color w:val="231F20"/>
          <w:spacing w:val="-2"/>
          <w:sz w:val="19"/>
        </w:rPr>
        <w:t> </w:t>
      </w:r>
      <w:r>
        <w:rPr>
          <w:color w:val="231F20"/>
          <w:sz w:val="19"/>
        </w:rPr>
        <w:t>the</w:t>
      </w:r>
      <w:r>
        <w:rPr>
          <w:color w:val="231F20"/>
          <w:spacing w:val="-3"/>
          <w:sz w:val="19"/>
        </w:rPr>
        <w:t> </w:t>
      </w:r>
      <w:r>
        <w:rPr>
          <w:color w:val="231F20"/>
          <w:sz w:val="19"/>
        </w:rPr>
        <w:t>UCTD,</w:t>
      </w:r>
      <w:r>
        <w:rPr>
          <w:color w:val="231F20"/>
          <w:spacing w:val="-1"/>
          <w:sz w:val="19"/>
        </w:rPr>
        <w:t> </w:t>
      </w:r>
      <w:r>
        <w:rPr>
          <w:color w:val="231F20"/>
          <w:sz w:val="19"/>
        </w:rPr>
        <w:t>the</w:t>
      </w:r>
      <w:r>
        <w:rPr>
          <w:color w:val="231F20"/>
          <w:spacing w:val="-3"/>
          <w:sz w:val="19"/>
        </w:rPr>
        <w:t> </w:t>
      </w:r>
      <w:r>
        <w:rPr>
          <w:color w:val="231F20"/>
          <w:sz w:val="19"/>
        </w:rPr>
        <w:t>2008</w:t>
      </w:r>
      <w:r>
        <w:rPr>
          <w:color w:val="231F20"/>
          <w:spacing w:val="-2"/>
          <w:sz w:val="19"/>
        </w:rPr>
        <w:t> </w:t>
      </w:r>
      <w:r>
        <w:rPr>
          <w:color w:val="231F20"/>
          <w:sz w:val="19"/>
        </w:rPr>
        <w:t>Consumer</w:t>
      </w:r>
      <w:r>
        <w:rPr>
          <w:color w:val="231F20"/>
          <w:spacing w:val="-2"/>
          <w:sz w:val="19"/>
        </w:rPr>
        <w:t> </w:t>
      </w:r>
      <w:r>
        <w:rPr>
          <w:color w:val="231F20"/>
          <w:sz w:val="19"/>
        </w:rPr>
        <w:t>Credit</w:t>
      </w:r>
      <w:r>
        <w:rPr>
          <w:color w:val="231F20"/>
          <w:spacing w:val="-3"/>
          <w:sz w:val="19"/>
        </w:rPr>
        <w:t> </w:t>
      </w:r>
      <w:r>
        <w:rPr>
          <w:color w:val="231F20"/>
          <w:sz w:val="19"/>
        </w:rPr>
        <w:t>Directive,</w:t>
      </w:r>
      <w:r>
        <w:rPr>
          <w:color w:val="231F20"/>
          <w:sz w:val="19"/>
          <w:vertAlign w:val="superscript"/>
        </w:rPr>
        <w:t>118</w:t>
      </w:r>
      <w:r>
        <w:rPr>
          <w:color w:val="231F20"/>
          <w:spacing w:val="-2"/>
          <w:sz w:val="19"/>
          <w:vertAlign w:val="baseline"/>
        </w:rPr>
        <w:t> </w:t>
      </w:r>
      <w:r>
        <w:rPr>
          <w:color w:val="231F20"/>
          <w:sz w:val="19"/>
          <w:vertAlign w:val="baseline"/>
        </w:rPr>
        <w:t>has</w:t>
      </w:r>
      <w:r>
        <w:rPr>
          <w:color w:val="231F20"/>
          <w:spacing w:val="-2"/>
          <w:sz w:val="19"/>
          <w:vertAlign w:val="baseline"/>
        </w:rPr>
        <w:t> </w:t>
      </w:r>
      <w:r>
        <w:rPr>
          <w:color w:val="231F20"/>
          <w:sz w:val="19"/>
          <w:vertAlign w:val="baseline"/>
        </w:rPr>
        <w:t>been interpreted to govern private law sanctions.</w:t>
      </w:r>
      <w:r>
        <w:rPr>
          <w:color w:val="231F20"/>
          <w:sz w:val="19"/>
          <w:vertAlign w:val="superscript"/>
        </w:rPr>
        <w:t>119</w:t>
      </w:r>
    </w:p>
    <w:p>
      <w:pPr>
        <w:pStyle w:val="BodyText"/>
        <w:rPr>
          <w:sz w:val="20"/>
        </w:rPr>
      </w:pPr>
    </w:p>
    <w:p>
      <w:pPr>
        <w:pStyle w:val="BodyText"/>
        <w:spacing w:before="133"/>
        <w:rPr>
          <w:sz w:val="20"/>
        </w:rPr>
      </w:pPr>
      <w:r>
        <w:rPr/>
        <mc:AlternateContent>
          <mc:Choice Requires="wps">
            <w:drawing>
              <wp:anchor distT="0" distB="0" distL="0" distR="0" allowOverlap="1" layoutInCell="1" locked="0" behindDoc="1" simplePos="0" relativeHeight="487598592">
                <wp:simplePos x="0" y="0"/>
                <wp:positionH relativeFrom="page">
                  <wp:posOffset>1979993</wp:posOffset>
                </wp:positionH>
                <wp:positionV relativeFrom="paragraph">
                  <wp:posOffset>244442</wp:posOffset>
                </wp:positionV>
                <wp:extent cx="1656080" cy="4445"/>
                <wp:effectExtent l="0" t="0" r="0" b="0"/>
                <wp:wrapTopAndBottom/>
                <wp:docPr id="24" name="Graphic 24"/>
                <wp:cNvGraphicFramePr>
                  <a:graphicFrameLocks/>
                </wp:cNvGraphicFramePr>
                <a:graphic>
                  <a:graphicData uri="http://schemas.microsoft.com/office/word/2010/wordprocessingShape">
                    <wps:wsp>
                      <wps:cNvPr id="24" name="Graphic 24"/>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9.247475pt;width:130.394pt;height:.34015pt;mso-position-horizontal-relative:page;mso-position-vertical-relative:paragraph;z-index:-15717888;mso-wrap-distance-left:0;mso-wrap-distance-right:0" id="docshape24"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85" w:lineRule="auto" w:before="0" w:after="0"/>
        <w:ind w:left="866" w:right="869" w:hanging="354"/>
        <w:jc w:val="both"/>
        <w:rPr>
          <w:sz w:val="16"/>
        </w:rPr>
      </w:pPr>
      <w:r>
        <w:rPr>
          <w:color w:val="231F20"/>
          <w:sz w:val="16"/>
        </w:rPr>
        <w:t>Proportionality is restricted here to the calibration of a sanction. On the different meanings of</w:t>
      </w:r>
      <w:r>
        <w:rPr>
          <w:color w:val="231F20"/>
          <w:spacing w:val="40"/>
          <w:sz w:val="16"/>
        </w:rPr>
        <w:t> </w:t>
      </w:r>
      <w:r>
        <w:rPr>
          <w:color w:val="231F20"/>
          <w:sz w:val="16"/>
        </w:rPr>
        <w:t>proportionality in EU private law, see F. B</w:t>
      </w:r>
      <w:r>
        <w:rPr>
          <w:color w:val="231F20"/>
          <w:sz w:val="11"/>
        </w:rPr>
        <w:t>AUER</w:t>
      </w:r>
      <w:r>
        <w:rPr>
          <w:color w:val="231F20"/>
          <w:spacing w:val="34"/>
          <w:sz w:val="11"/>
        </w:rPr>
        <w:t> </w:t>
      </w:r>
      <w:r>
        <w:rPr>
          <w:color w:val="231F20"/>
          <w:sz w:val="16"/>
        </w:rPr>
        <w:t>&amp; B. K</w:t>
      </w:r>
      <w:r>
        <w:rPr>
          <w:color w:val="231F20"/>
          <w:sz w:val="11"/>
        </w:rPr>
        <w:t>ÖHLER</w:t>
      </w:r>
      <w:r>
        <w:rPr>
          <w:color w:val="231F20"/>
          <w:sz w:val="16"/>
        </w:rPr>
        <w:t>, </w:t>
      </w:r>
      <w:r>
        <w:rPr>
          <w:i/>
          <w:color w:val="231F20"/>
          <w:sz w:val="16"/>
        </w:rPr>
        <w:t>Proportionality in Private Law</w:t>
      </w:r>
      <w:r>
        <w:rPr>
          <w:i/>
          <w:color w:val="231F20"/>
          <w:spacing w:val="40"/>
          <w:sz w:val="16"/>
        </w:rPr>
        <w:t> </w:t>
      </w:r>
      <w:r>
        <w:rPr>
          <w:color w:val="231F20"/>
          <w:sz w:val="16"/>
        </w:rPr>
        <w:t>(Tübingen: Mohr Siebeck 2023). See also C. C</w:t>
      </w:r>
      <w:r>
        <w:rPr>
          <w:color w:val="231F20"/>
          <w:sz w:val="11"/>
        </w:rPr>
        <w:t>AUFFMAN</w:t>
      </w:r>
      <w:r>
        <w:rPr>
          <w:color w:val="231F20"/>
          <w:sz w:val="16"/>
        </w:rPr>
        <w:t>, </w:t>
      </w:r>
      <w:r>
        <w:rPr>
          <w:rFonts w:ascii="Arial" w:hAnsi="Arial"/>
          <w:color w:val="231F20"/>
          <w:sz w:val="16"/>
        </w:rPr>
        <w:t>‘</w:t>
      </w:r>
      <w:r>
        <w:rPr>
          <w:color w:val="231F20"/>
          <w:sz w:val="16"/>
        </w:rPr>
        <w:t>The principle of proportionality</w:t>
      </w:r>
      <w:r>
        <w:rPr>
          <w:rFonts w:ascii="Arial" w:hAnsi="Arial"/>
          <w:color w:val="231F20"/>
          <w:sz w:val="16"/>
        </w:rPr>
        <w:t>’</w:t>
      </w:r>
      <w:r>
        <w:rPr>
          <w:color w:val="231F20"/>
          <w:sz w:val="16"/>
        </w:rPr>
        <w:t>, pp</w:t>
      </w:r>
      <w:r>
        <w:rPr>
          <w:color w:val="231F20"/>
          <w:spacing w:val="40"/>
          <w:sz w:val="16"/>
        </w:rPr>
        <w:t> </w:t>
      </w:r>
      <w:r>
        <w:rPr>
          <w:color w:val="231F20"/>
          <w:sz w:val="16"/>
        </w:rPr>
        <w:t>70</w:t>
      </w:r>
      <w:r>
        <w:rPr>
          <w:rFonts w:ascii="Arial" w:hAnsi="Arial"/>
          <w:color w:val="231F20"/>
          <w:sz w:val="16"/>
        </w:rPr>
        <w:t>–</w:t>
      </w:r>
      <w:r>
        <w:rPr>
          <w:color w:val="231F20"/>
          <w:sz w:val="16"/>
        </w:rPr>
        <w:t>81; F. C</w:t>
      </w:r>
      <w:r>
        <w:rPr>
          <w:color w:val="231F20"/>
          <w:sz w:val="11"/>
        </w:rPr>
        <w:t>AFAGGI</w:t>
      </w:r>
      <w:r>
        <w:rPr>
          <w:color w:val="231F20"/>
          <w:spacing w:val="40"/>
          <w:sz w:val="11"/>
        </w:rPr>
        <w:t> </w:t>
      </w:r>
      <w:r>
        <w:rPr>
          <w:color w:val="231F20"/>
          <w:sz w:val="16"/>
        </w:rPr>
        <w:t>&amp; P. I</w:t>
      </w:r>
      <w:r>
        <w:rPr>
          <w:color w:val="231F20"/>
          <w:sz w:val="11"/>
        </w:rPr>
        <w:t>AMICELI</w:t>
      </w:r>
      <w:r>
        <w:rPr>
          <w:color w:val="231F20"/>
          <w:sz w:val="16"/>
        </w:rPr>
        <w:t>, </w:t>
      </w:r>
      <w:r>
        <w:rPr>
          <w:rFonts w:ascii="Arial" w:hAnsi="Arial"/>
          <w:color w:val="231F20"/>
          <w:sz w:val="16"/>
        </w:rPr>
        <w:t>‘</w:t>
      </w:r>
      <w:r>
        <w:rPr>
          <w:color w:val="231F20"/>
          <w:sz w:val="16"/>
        </w:rPr>
        <w:t>The Principles of Effectiveness, Proportionality and</w:t>
      </w:r>
      <w:r>
        <w:rPr>
          <w:color w:val="231F20"/>
          <w:spacing w:val="40"/>
          <w:sz w:val="16"/>
        </w:rPr>
        <w:t> </w:t>
      </w:r>
      <w:r>
        <w:rPr>
          <w:color w:val="231F20"/>
          <w:sz w:val="16"/>
        </w:rPr>
        <w:t>Dissuasiveness</w:t>
      </w:r>
      <w:r>
        <w:rPr>
          <w:rFonts w:ascii="Arial" w:hAnsi="Arial"/>
          <w:color w:val="231F20"/>
          <w:sz w:val="16"/>
        </w:rPr>
        <w:t>’</w:t>
      </w:r>
      <w:r>
        <w:rPr>
          <w:color w:val="231F20"/>
          <w:sz w:val="16"/>
        </w:rPr>
        <w:t>, pp 594</w:t>
      </w:r>
      <w:r>
        <w:rPr>
          <w:rFonts w:ascii="Arial" w:hAnsi="Arial"/>
          <w:color w:val="231F20"/>
          <w:sz w:val="16"/>
        </w:rPr>
        <w:t>–</w:t>
      </w:r>
      <w:r>
        <w:rPr>
          <w:color w:val="231F20"/>
          <w:sz w:val="16"/>
        </w:rPr>
        <w:t>604.</w:t>
      </w:r>
    </w:p>
    <w:p>
      <w:pPr>
        <w:pStyle w:val="ListParagraph"/>
        <w:numPr>
          <w:ilvl w:val="0"/>
          <w:numId w:val="3"/>
        </w:numPr>
        <w:tabs>
          <w:tab w:pos="866" w:val="left" w:leader="none"/>
        </w:tabs>
        <w:spacing w:line="290" w:lineRule="auto" w:before="2" w:after="0"/>
        <w:ind w:left="866" w:right="868" w:hanging="354"/>
        <w:jc w:val="both"/>
        <w:rPr>
          <w:sz w:val="16"/>
        </w:rPr>
      </w:pPr>
      <w:r>
        <w:rPr>
          <w:color w:val="231F20"/>
          <w:sz w:val="16"/>
        </w:rPr>
        <w:t>Directive</w:t>
      </w:r>
      <w:r>
        <w:rPr>
          <w:color w:val="231F20"/>
          <w:spacing w:val="-7"/>
          <w:sz w:val="16"/>
        </w:rPr>
        <w:t> </w:t>
      </w:r>
      <w:r>
        <w:rPr>
          <w:color w:val="231F20"/>
          <w:sz w:val="16"/>
        </w:rPr>
        <w:t>2005/29/EC</w:t>
      </w:r>
      <w:r>
        <w:rPr>
          <w:color w:val="231F20"/>
          <w:spacing w:val="-6"/>
          <w:sz w:val="16"/>
        </w:rPr>
        <w:t> </w:t>
      </w:r>
      <w:r>
        <w:rPr>
          <w:color w:val="231F20"/>
          <w:sz w:val="16"/>
        </w:rPr>
        <w:t>of</w:t>
      </w:r>
      <w:r>
        <w:rPr>
          <w:color w:val="231F20"/>
          <w:spacing w:val="-3"/>
          <w:sz w:val="16"/>
        </w:rPr>
        <w:t> </w:t>
      </w:r>
      <w:r>
        <w:rPr>
          <w:color w:val="231F20"/>
          <w:sz w:val="16"/>
        </w:rPr>
        <w:t>the</w:t>
      </w:r>
      <w:r>
        <w:rPr>
          <w:color w:val="231F20"/>
          <w:spacing w:val="-6"/>
          <w:sz w:val="16"/>
        </w:rPr>
        <w:t> </w:t>
      </w:r>
      <w:r>
        <w:rPr>
          <w:color w:val="231F20"/>
          <w:sz w:val="16"/>
        </w:rPr>
        <w:t>European</w:t>
      </w:r>
      <w:r>
        <w:rPr>
          <w:color w:val="231F20"/>
          <w:spacing w:val="-6"/>
          <w:sz w:val="16"/>
        </w:rPr>
        <w:t> </w:t>
      </w:r>
      <w:r>
        <w:rPr>
          <w:color w:val="231F20"/>
          <w:sz w:val="16"/>
        </w:rPr>
        <w:t>Parliament</w:t>
      </w:r>
      <w:r>
        <w:rPr>
          <w:color w:val="231F20"/>
          <w:spacing w:val="-3"/>
          <w:sz w:val="16"/>
        </w:rPr>
        <w:t> </w:t>
      </w:r>
      <w:r>
        <w:rPr>
          <w:color w:val="231F20"/>
          <w:sz w:val="16"/>
        </w:rPr>
        <w:t>and</w:t>
      </w:r>
      <w:r>
        <w:rPr>
          <w:color w:val="231F20"/>
          <w:spacing w:val="-6"/>
          <w:sz w:val="16"/>
        </w:rPr>
        <w:t> </w:t>
      </w:r>
      <w:r>
        <w:rPr>
          <w:color w:val="231F20"/>
          <w:sz w:val="16"/>
        </w:rPr>
        <w:t>of</w:t>
      </w:r>
      <w:r>
        <w:rPr>
          <w:color w:val="231F20"/>
          <w:spacing w:val="-3"/>
          <w:sz w:val="16"/>
        </w:rPr>
        <w:t> </w:t>
      </w:r>
      <w:r>
        <w:rPr>
          <w:color w:val="231F20"/>
          <w:sz w:val="16"/>
        </w:rPr>
        <w:t>the</w:t>
      </w:r>
      <w:r>
        <w:rPr>
          <w:color w:val="231F20"/>
          <w:spacing w:val="-5"/>
          <w:sz w:val="16"/>
        </w:rPr>
        <w:t> </w:t>
      </w:r>
      <w:r>
        <w:rPr>
          <w:color w:val="231F20"/>
          <w:sz w:val="16"/>
        </w:rPr>
        <w:t>Council</w:t>
      </w:r>
      <w:r>
        <w:rPr>
          <w:color w:val="231F20"/>
          <w:spacing w:val="-6"/>
          <w:sz w:val="16"/>
        </w:rPr>
        <w:t> </w:t>
      </w:r>
      <w:r>
        <w:rPr>
          <w:color w:val="231F20"/>
          <w:sz w:val="16"/>
        </w:rPr>
        <w:t>of</w:t>
      </w:r>
      <w:r>
        <w:rPr>
          <w:color w:val="231F20"/>
          <w:spacing w:val="-6"/>
          <w:sz w:val="16"/>
        </w:rPr>
        <w:t> </w:t>
      </w:r>
      <w:r>
        <w:rPr>
          <w:color w:val="231F20"/>
          <w:sz w:val="16"/>
        </w:rPr>
        <w:t>11</w:t>
      </w:r>
      <w:r>
        <w:rPr>
          <w:color w:val="231F20"/>
          <w:spacing w:val="-6"/>
          <w:sz w:val="16"/>
        </w:rPr>
        <w:t> </w:t>
      </w:r>
      <w:r>
        <w:rPr>
          <w:color w:val="231F20"/>
          <w:sz w:val="16"/>
        </w:rPr>
        <w:t>May</w:t>
      </w:r>
      <w:r>
        <w:rPr>
          <w:color w:val="231F20"/>
          <w:spacing w:val="-6"/>
          <w:sz w:val="16"/>
        </w:rPr>
        <w:t> </w:t>
      </w:r>
      <w:r>
        <w:rPr>
          <w:color w:val="231F20"/>
          <w:sz w:val="16"/>
        </w:rPr>
        <w:t>2005</w:t>
      </w:r>
      <w:r>
        <w:rPr>
          <w:color w:val="231F20"/>
          <w:spacing w:val="-6"/>
          <w:sz w:val="16"/>
        </w:rPr>
        <w:t> </w:t>
      </w:r>
      <w:r>
        <w:rPr>
          <w:color w:val="231F20"/>
          <w:sz w:val="16"/>
        </w:rPr>
        <w:t>concerning</w:t>
      </w:r>
      <w:r>
        <w:rPr>
          <w:color w:val="231F20"/>
          <w:spacing w:val="40"/>
          <w:sz w:val="16"/>
        </w:rPr>
        <w:t> </w:t>
      </w:r>
      <w:r>
        <w:rPr>
          <w:color w:val="231F20"/>
          <w:sz w:val="16"/>
        </w:rPr>
        <w:t>unfair</w:t>
      </w:r>
      <w:r>
        <w:rPr>
          <w:color w:val="231F20"/>
          <w:spacing w:val="-2"/>
          <w:sz w:val="16"/>
        </w:rPr>
        <w:t> </w:t>
      </w:r>
      <w:r>
        <w:rPr>
          <w:color w:val="231F20"/>
          <w:sz w:val="16"/>
        </w:rPr>
        <w:t>business-to-consumer</w:t>
      </w:r>
      <w:r>
        <w:rPr>
          <w:color w:val="231F20"/>
          <w:spacing w:val="-3"/>
          <w:sz w:val="16"/>
        </w:rPr>
        <w:t> </w:t>
      </w:r>
      <w:r>
        <w:rPr>
          <w:color w:val="231F20"/>
          <w:sz w:val="16"/>
        </w:rPr>
        <w:t>commercial</w:t>
      </w:r>
      <w:r>
        <w:rPr>
          <w:color w:val="231F20"/>
          <w:spacing w:val="-2"/>
          <w:sz w:val="16"/>
        </w:rPr>
        <w:t> </w:t>
      </w:r>
      <w:r>
        <w:rPr>
          <w:color w:val="231F20"/>
          <w:sz w:val="16"/>
        </w:rPr>
        <w:t>practices</w:t>
      </w:r>
      <w:r>
        <w:rPr>
          <w:color w:val="231F20"/>
          <w:spacing w:val="-3"/>
          <w:sz w:val="16"/>
        </w:rPr>
        <w:t> </w:t>
      </w:r>
      <w:r>
        <w:rPr>
          <w:color w:val="231F20"/>
          <w:sz w:val="16"/>
        </w:rPr>
        <w:t>in</w:t>
      </w:r>
      <w:r>
        <w:rPr>
          <w:color w:val="231F20"/>
          <w:spacing w:val="-2"/>
          <w:sz w:val="16"/>
        </w:rPr>
        <w:t> </w:t>
      </w:r>
      <w:r>
        <w:rPr>
          <w:color w:val="231F20"/>
          <w:sz w:val="16"/>
        </w:rPr>
        <w:t>the</w:t>
      </w:r>
      <w:r>
        <w:rPr>
          <w:color w:val="231F20"/>
          <w:spacing w:val="-2"/>
          <w:sz w:val="16"/>
        </w:rPr>
        <w:t> </w:t>
      </w:r>
      <w:r>
        <w:rPr>
          <w:color w:val="231F20"/>
          <w:sz w:val="16"/>
        </w:rPr>
        <w:t>internal</w:t>
      </w:r>
      <w:r>
        <w:rPr>
          <w:color w:val="231F20"/>
          <w:spacing w:val="-2"/>
          <w:sz w:val="16"/>
        </w:rPr>
        <w:t> </w:t>
      </w:r>
      <w:r>
        <w:rPr>
          <w:color w:val="231F20"/>
          <w:sz w:val="16"/>
        </w:rPr>
        <w:t>market</w:t>
      </w:r>
      <w:r>
        <w:rPr>
          <w:color w:val="231F20"/>
          <w:spacing w:val="-2"/>
          <w:sz w:val="16"/>
        </w:rPr>
        <w:t> </w:t>
      </w:r>
      <w:r>
        <w:rPr>
          <w:color w:val="231F20"/>
          <w:sz w:val="16"/>
        </w:rPr>
        <w:t>and</w:t>
      </w:r>
      <w:r>
        <w:rPr>
          <w:color w:val="231F20"/>
          <w:spacing w:val="-2"/>
          <w:sz w:val="16"/>
        </w:rPr>
        <w:t> </w:t>
      </w:r>
      <w:r>
        <w:rPr>
          <w:color w:val="231F20"/>
          <w:sz w:val="16"/>
        </w:rPr>
        <w:t>amending</w:t>
      </w:r>
      <w:r>
        <w:rPr>
          <w:color w:val="231F20"/>
          <w:spacing w:val="-2"/>
          <w:sz w:val="16"/>
        </w:rPr>
        <w:t> </w:t>
      </w:r>
      <w:r>
        <w:rPr>
          <w:color w:val="231F20"/>
          <w:sz w:val="16"/>
        </w:rPr>
        <w:t>Council</w:t>
      </w:r>
      <w:r>
        <w:rPr>
          <w:color w:val="231F20"/>
          <w:spacing w:val="40"/>
          <w:sz w:val="16"/>
        </w:rPr>
        <w:t> </w:t>
      </w:r>
      <w:r>
        <w:rPr>
          <w:color w:val="231F20"/>
          <w:sz w:val="16"/>
        </w:rPr>
        <w:t>Directive 84/450/EEC, Directives 97/7/EC, 98/27/EC and 2002/65/EC of the </w:t>
      </w:r>
      <w:r>
        <w:rPr>
          <w:color w:val="231F20"/>
          <w:sz w:val="16"/>
        </w:rPr>
        <w:t>European</w:t>
      </w:r>
      <w:r>
        <w:rPr>
          <w:color w:val="231F20"/>
          <w:spacing w:val="40"/>
          <w:sz w:val="16"/>
        </w:rPr>
        <w:t> </w:t>
      </w:r>
      <w:r>
        <w:rPr>
          <w:color w:val="231F20"/>
          <w:sz w:val="16"/>
        </w:rPr>
        <w:t>Parliament and of the Council and Regulation (EC) No 2006/2004 of the European Parliament</w:t>
      </w:r>
      <w:r>
        <w:rPr>
          <w:color w:val="231F20"/>
          <w:spacing w:val="40"/>
          <w:sz w:val="16"/>
        </w:rPr>
        <w:t> </w:t>
      </w:r>
      <w:r>
        <w:rPr>
          <w:color w:val="231F20"/>
          <w:sz w:val="16"/>
        </w:rPr>
        <w:t>and of the Council (UCPD), data.europa.eu/eli/dir/2005/29/oj.</w:t>
      </w:r>
    </w:p>
    <w:p>
      <w:pPr>
        <w:pStyle w:val="ListParagraph"/>
        <w:numPr>
          <w:ilvl w:val="0"/>
          <w:numId w:val="3"/>
        </w:numPr>
        <w:tabs>
          <w:tab w:pos="866" w:val="left" w:leader="none"/>
        </w:tabs>
        <w:spacing w:line="290" w:lineRule="auto" w:before="0" w:after="0"/>
        <w:ind w:left="866" w:right="869" w:hanging="354"/>
        <w:jc w:val="both"/>
        <w:rPr>
          <w:sz w:val="16"/>
        </w:rPr>
      </w:pPr>
      <w:r>
        <w:rPr>
          <w:color w:val="231F20"/>
          <w:sz w:val="16"/>
        </w:rPr>
        <w:t>Directive 2011/83/EU of the European Parliament and of the Council of 25 Oct. 2011 on</w:t>
      </w:r>
      <w:r>
        <w:rPr>
          <w:color w:val="231F20"/>
          <w:spacing w:val="40"/>
          <w:sz w:val="16"/>
        </w:rPr>
        <w:t> </w:t>
      </w:r>
      <w:r>
        <w:rPr>
          <w:color w:val="231F20"/>
          <w:sz w:val="16"/>
        </w:rPr>
        <w:t>consumer rights, amending Council Directive 93/13/EEC and Directive 1999/44/EC of </w:t>
      </w:r>
      <w:r>
        <w:rPr>
          <w:color w:val="231F20"/>
          <w:sz w:val="16"/>
        </w:rPr>
        <w:t>the</w:t>
      </w:r>
      <w:r>
        <w:rPr>
          <w:color w:val="231F20"/>
          <w:spacing w:val="40"/>
          <w:sz w:val="16"/>
        </w:rPr>
        <w:t> </w:t>
      </w:r>
      <w:r>
        <w:rPr>
          <w:color w:val="231F20"/>
          <w:sz w:val="16"/>
        </w:rPr>
        <w:t>European Parliament and of the Council and repealing Council Directive 85/577/EEC and</w:t>
      </w:r>
      <w:r>
        <w:rPr>
          <w:color w:val="231F20"/>
          <w:spacing w:val="40"/>
          <w:sz w:val="16"/>
        </w:rPr>
        <w:t> </w:t>
      </w:r>
      <w:r>
        <w:rPr>
          <w:color w:val="231F20"/>
          <w:sz w:val="16"/>
        </w:rPr>
        <w:t>Directive 97/7/EC of the European Parliament and of the Council (CRD), data.europa.eu/eli/</w:t>
      </w:r>
      <w:r>
        <w:rPr>
          <w:color w:val="231F20"/>
          <w:spacing w:val="40"/>
          <w:sz w:val="16"/>
        </w:rPr>
        <w:t> </w:t>
      </w:r>
      <w:r>
        <w:rPr>
          <w:color w:val="231F20"/>
          <w:spacing w:val="-2"/>
          <w:sz w:val="16"/>
        </w:rPr>
        <w:t>dir/2011/83/oj.</w:t>
      </w:r>
    </w:p>
    <w:p>
      <w:pPr>
        <w:pStyle w:val="ListParagraph"/>
        <w:numPr>
          <w:ilvl w:val="0"/>
          <w:numId w:val="3"/>
        </w:numPr>
        <w:tabs>
          <w:tab w:pos="865" w:val="left" w:leader="none"/>
        </w:tabs>
        <w:spacing w:line="177" w:lineRule="exact" w:before="0" w:after="0"/>
        <w:ind w:left="865" w:right="0" w:hanging="353"/>
        <w:jc w:val="both"/>
        <w:rPr>
          <w:sz w:val="16"/>
        </w:rPr>
      </w:pPr>
      <w:r>
        <w:rPr>
          <w:color w:val="231F20"/>
          <w:sz w:val="16"/>
        </w:rPr>
        <w:t>Article</w:t>
      </w:r>
      <w:r>
        <w:rPr>
          <w:color w:val="231F20"/>
          <w:spacing w:val="1"/>
          <w:sz w:val="16"/>
        </w:rPr>
        <w:t> </w:t>
      </w:r>
      <w:r>
        <w:rPr>
          <w:color w:val="231F20"/>
          <w:sz w:val="16"/>
        </w:rPr>
        <w:t>44(1)</w:t>
      </w:r>
      <w:r>
        <w:rPr>
          <w:color w:val="231F20"/>
          <w:spacing w:val="1"/>
          <w:sz w:val="16"/>
        </w:rPr>
        <w:t> </w:t>
      </w:r>
      <w:r>
        <w:rPr>
          <w:color w:val="231F20"/>
          <w:sz w:val="16"/>
        </w:rPr>
        <w:t>of</w:t>
      </w:r>
      <w:r>
        <w:rPr>
          <w:color w:val="231F20"/>
          <w:spacing w:val="2"/>
          <w:sz w:val="16"/>
        </w:rPr>
        <w:t> </w:t>
      </w:r>
      <w:r>
        <w:rPr>
          <w:color w:val="231F20"/>
          <w:sz w:val="16"/>
        </w:rPr>
        <w:t>Directive</w:t>
      </w:r>
      <w:r>
        <w:rPr>
          <w:color w:val="231F20"/>
          <w:spacing w:val="1"/>
          <w:sz w:val="16"/>
        </w:rPr>
        <w:t> </w:t>
      </w:r>
      <w:r>
        <w:rPr>
          <w:color w:val="231F20"/>
          <w:sz w:val="16"/>
        </w:rPr>
        <w:t>(EU)</w:t>
      </w:r>
      <w:r>
        <w:rPr>
          <w:color w:val="231F20"/>
          <w:spacing w:val="2"/>
          <w:sz w:val="16"/>
        </w:rPr>
        <w:t> </w:t>
      </w:r>
      <w:r>
        <w:rPr>
          <w:color w:val="231F20"/>
          <w:sz w:val="16"/>
        </w:rPr>
        <w:t>2023/2225</w:t>
      </w:r>
      <w:r>
        <w:rPr>
          <w:color w:val="231F20"/>
          <w:spacing w:val="1"/>
          <w:sz w:val="16"/>
        </w:rPr>
        <w:t> </w:t>
      </w:r>
      <w:r>
        <w:rPr>
          <w:color w:val="231F20"/>
          <w:sz w:val="16"/>
        </w:rPr>
        <w:t>of</w:t>
      </w:r>
      <w:r>
        <w:rPr>
          <w:color w:val="231F20"/>
          <w:spacing w:val="4"/>
          <w:sz w:val="16"/>
        </w:rPr>
        <w:t> </w:t>
      </w:r>
      <w:r>
        <w:rPr>
          <w:color w:val="231F20"/>
          <w:sz w:val="16"/>
        </w:rPr>
        <w:t>the</w:t>
      </w:r>
      <w:r>
        <w:rPr>
          <w:color w:val="231F20"/>
          <w:spacing w:val="2"/>
          <w:sz w:val="16"/>
        </w:rPr>
        <w:t> </w:t>
      </w:r>
      <w:r>
        <w:rPr>
          <w:color w:val="231F20"/>
          <w:sz w:val="16"/>
        </w:rPr>
        <w:t>European</w:t>
      </w:r>
      <w:r>
        <w:rPr>
          <w:color w:val="231F20"/>
          <w:spacing w:val="1"/>
          <w:sz w:val="16"/>
        </w:rPr>
        <w:t> </w:t>
      </w:r>
      <w:r>
        <w:rPr>
          <w:color w:val="231F20"/>
          <w:sz w:val="16"/>
        </w:rPr>
        <w:t>Parliament</w:t>
      </w:r>
      <w:r>
        <w:rPr>
          <w:color w:val="231F20"/>
          <w:spacing w:val="2"/>
          <w:sz w:val="16"/>
        </w:rPr>
        <w:t> </w:t>
      </w:r>
      <w:r>
        <w:rPr>
          <w:color w:val="231F20"/>
          <w:sz w:val="16"/>
        </w:rPr>
        <w:t>and</w:t>
      </w:r>
      <w:r>
        <w:rPr>
          <w:color w:val="231F20"/>
          <w:spacing w:val="2"/>
          <w:sz w:val="16"/>
        </w:rPr>
        <w:t> </w:t>
      </w:r>
      <w:r>
        <w:rPr>
          <w:color w:val="231F20"/>
          <w:sz w:val="16"/>
        </w:rPr>
        <w:t>of</w:t>
      </w:r>
      <w:r>
        <w:rPr>
          <w:color w:val="231F20"/>
          <w:spacing w:val="4"/>
          <w:sz w:val="16"/>
        </w:rPr>
        <w:t> </w:t>
      </w:r>
      <w:r>
        <w:rPr>
          <w:color w:val="231F20"/>
          <w:sz w:val="16"/>
        </w:rPr>
        <w:t>the</w:t>
      </w:r>
      <w:r>
        <w:rPr>
          <w:color w:val="231F20"/>
          <w:spacing w:val="2"/>
          <w:sz w:val="16"/>
        </w:rPr>
        <w:t> </w:t>
      </w:r>
      <w:r>
        <w:rPr>
          <w:color w:val="231F20"/>
          <w:sz w:val="16"/>
        </w:rPr>
        <w:t>Council</w:t>
      </w:r>
      <w:r>
        <w:rPr>
          <w:color w:val="231F20"/>
          <w:spacing w:val="1"/>
          <w:sz w:val="16"/>
        </w:rPr>
        <w:t> </w:t>
      </w:r>
      <w:r>
        <w:rPr>
          <w:color w:val="231F20"/>
          <w:spacing w:val="-5"/>
          <w:sz w:val="16"/>
        </w:rPr>
        <w:t>of</w:t>
      </w:r>
    </w:p>
    <w:p>
      <w:pPr>
        <w:spacing w:line="288" w:lineRule="auto" w:before="34"/>
        <w:ind w:left="866" w:right="869" w:firstLine="0"/>
        <w:jc w:val="both"/>
        <w:rPr>
          <w:sz w:val="16"/>
        </w:rPr>
      </w:pPr>
      <w:r>
        <w:rPr>
          <w:color w:val="231F20"/>
          <w:sz w:val="16"/>
        </w:rPr>
        <w:t>18 Oct. 2023 on credit agreements for consumers and repealing Directive 2008/48/EC, data.</w:t>
      </w:r>
      <w:r>
        <w:rPr>
          <w:color w:val="231F20"/>
          <w:spacing w:val="40"/>
          <w:sz w:val="16"/>
        </w:rPr>
        <w:t> </w:t>
      </w:r>
      <w:r>
        <w:rPr>
          <w:color w:val="231F20"/>
          <w:spacing w:val="-2"/>
          <w:sz w:val="16"/>
        </w:rPr>
        <w:t>europa.eu/eli/dir/2023/2225/oj.</w:t>
      </w:r>
    </w:p>
    <w:p>
      <w:pPr>
        <w:pStyle w:val="ListParagraph"/>
        <w:numPr>
          <w:ilvl w:val="0"/>
          <w:numId w:val="3"/>
        </w:numPr>
        <w:tabs>
          <w:tab w:pos="865" w:val="left" w:leader="none"/>
        </w:tabs>
        <w:spacing w:line="240" w:lineRule="auto" w:before="1" w:after="0"/>
        <w:ind w:left="865" w:right="0" w:hanging="353"/>
        <w:jc w:val="both"/>
        <w:rPr>
          <w:sz w:val="16"/>
        </w:rPr>
      </w:pPr>
      <w:r>
        <w:rPr>
          <w:color w:val="231F20"/>
          <w:sz w:val="16"/>
        </w:rPr>
        <w:t>Article</w:t>
      </w:r>
      <w:r>
        <w:rPr>
          <w:color w:val="231F20"/>
          <w:spacing w:val="7"/>
          <w:sz w:val="16"/>
        </w:rPr>
        <w:t> </w:t>
      </w:r>
      <w:r>
        <w:rPr>
          <w:color w:val="231F20"/>
          <w:sz w:val="16"/>
        </w:rPr>
        <w:t>8b(3)</w:t>
      </w:r>
      <w:r>
        <w:rPr>
          <w:color w:val="231F20"/>
          <w:spacing w:val="7"/>
          <w:sz w:val="16"/>
        </w:rPr>
        <w:t> </w:t>
      </w:r>
      <w:r>
        <w:rPr>
          <w:color w:val="231F20"/>
          <w:sz w:val="16"/>
        </w:rPr>
        <w:t>Dir.</w:t>
      </w:r>
      <w:r>
        <w:rPr>
          <w:color w:val="231F20"/>
          <w:spacing w:val="7"/>
          <w:sz w:val="16"/>
        </w:rPr>
        <w:t> </w:t>
      </w:r>
      <w:r>
        <w:rPr>
          <w:color w:val="231F20"/>
          <w:sz w:val="16"/>
        </w:rPr>
        <w:t>93/13,</w:t>
      </w:r>
      <w:r>
        <w:rPr>
          <w:color w:val="231F20"/>
          <w:spacing w:val="7"/>
          <w:sz w:val="16"/>
        </w:rPr>
        <w:t> </w:t>
      </w:r>
      <w:r>
        <w:rPr>
          <w:color w:val="231F20"/>
          <w:sz w:val="16"/>
        </w:rPr>
        <w:t>Art.</w:t>
      </w:r>
      <w:r>
        <w:rPr>
          <w:color w:val="231F20"/>
          <w:spacing w:val="7"/>
          <w:sz w:val="16"/>
        </w:rPr>
        <w:t> </w:t>
      </w:r>
      <w:r>
        <w:rPr>
          <w:color w:val="231F20"/>
          <w:sz w:val="16"/>
        </w:rPr>
        <w:t>13(2)</w:t>
      </w:r>
      <w:r>
        <w:rPr>
          <w:color w:val="231F20"/>
          <w:spacing w:val="8"/>
          <w:sz w:val="16"/>
        </w:rPr>
        <w:t> </w:t>
      </w:r>
      <w:r>
        <w:rPr>
          <w:color w:val="231F20"/>
          <w:sz w:val="16"/>
        </w:rPr>
        <w:t>Dir.</w:t>
      </w:r>
      <w:r>
        <w:rPr>
          <w:color w:val="231F20"/>
          <w:spacing w:val="7"/>
          <w:sz w:val="16"/>
        </w:rPr>
        <w:t> </w:t>
      </w:r>
      <w:r>
        <w:rPr>
          <w:color w:val="231F20"/>
          <w:sz w:val="16"/>
        </w:rPr>
        <w:t>2005/29</w:t>
      </w:r>
      <w:r>
        <w:rPr>
          <w:color w:val="231F20"/>
          <w:spacing w:val="6"/>
          <w:sz w:val="16"/>
        </w:rPr>
        <w:t> </w:t>
      </w:r>
      <w:r>
        <w:rPr>
          <w:color w:val="231F20"/>
          <w:sz w:val="16"/>
        </w:rPr>
        <w:t>and</w:t>
      </w:r>
      <w:r>
        <w:rPr>
          <w:color w:val="231F20"/>
          <w:spacing w:val="8"/>
          <w:sz w:val="16"/>
        </w:rPr>
        <w:t> </w:t>
      </w:r>
      <w:r>
        <w:rPr>
          <w:color w:val="231F20"/>
          <w:sz w:val="16"/>
        </w:rPr>
        <w:t>Art.</w:t>
      </w:r>
      <w:r>
        <w:rPr>
          <w:color w:val="231F20"/>
          <w:spacing w:val="7"/>
          <w:sz w:val="16"/>
        </w:rPr>
        <w:t> </w:t>
      </w:r>
      <w:r>
        <w:rPr>
          <w:color w:val="231F20"/>
          <w:sz w:val="16"/>
        </w:rPr>
        <w:t>24(2)</w:t>
      </w:r>
      <w:r>
        <w:rPr>
          <w:color w:val="231F20"/>
          <w:spacing w:val="8"/>
          <w:sz w:val="16"/>
        </w:rPr>
        <w:t> </w:t>
      </w:r>
      <w:r>
        <w:rPr>
          <w:color w:val="231F20"/>
          <w:sz w:val="16"/>
        </w:rPr>
        <w:t>Dir.</w:t>
      </w:r>
      <w:r>
        <w:rPr>
          <w:color w:val="231F20"/>
          <w:spacing w:val="6"/>
          <w:sz w:val="16"/>
        </w:rPr>
        <w:t> </w:t>
      </w:r>
      <w:r>
        <w:rPr>
          <w:color w:val="231F20"/>
          <w:spacing w:val="-2"/>
          <w:sz w:val="16"/>
        </w:rPr>
        <w:t>2011/83.</w:t>
      </w:r>
    </w:p>
    <w:p>
      <w:pPr>
        <w:pStyle w:val="ListParagraph"/>
        <w:numPr>
          <w:ilvl w:val="0"/>
          <w:numId w:val="3"/>
        </w:numPr>
        <w:tabs>
          <w:tab w:pos="866" w:val="left" w:leader="none"/>
        </w:tabs>
        <w:spacing w:line="290" w:lineRule="auto" w:before="37" w:after="0"/>
        <w:ind w:left="866" w:right="869" w:hanging="354"/>
        <w:jc w:val="both"/>
        <w:rPr>
          <w:sz w:val="16"/>
        </w:rPr>
      </w:pPr>
      <w:r>
        <w:rPr>
          <w:color w:val="231F20"/>
          <w:sz w:val="16"/>
        </w:rPr>
        <w:t>Article 23 of Directive 2008/48/EC of the European Parliament and of the Council of 23 Apr.</w:t>
      </w:r>
      <w:r>
        <w:rPr>
          <w:color w:val="231F20"/>
          <w:spacing w:val="40"/>
          <w:sz w:val="16"/>
        </w:rPr>
        <w:t> </w:t>
      </w:r>
      <w:r>
        <w:rPr>
          <w:color w:val="231F20"/>
          <w:sz w:val="16"/>
        </w:rPr>
        <w:t>2008 on credit agreements for consumers and repealing Council Directive 87/102/EEC, </w:t>
      </w:r>
      <w:r>
        <w:rPr>
          <w:color w:val="231F20"/>
          <w:sz w:val="16"/>
        </w:rPr>
        <w:t>data.</w:t>
      </w:r>
      <w:r>
        <w:rPr>
          <w:color w:val="231F20"/>
          <w:spacing w:val="40"/>
          <w:sz w:val="16"/>
        </w:rPr>
        <w:t> </w:t>
      </w:r>
      <w:r>
        <w:rPr>
          <w:color w:val="231F20"/>
          <w:spacing w:val="-2"/>
          <w:sz w:val="16"/>
        </w:rPr>
        <w:t>europa.eu/eli/dir/2008/48/oj.</w:t>
      </w:r>
    </w:p>
    <w:p>
      <w:pPr>
        <w:pStyle w:val="ListParagraph"/>
        <w:numPr>
          <w:ilvl w:val="0"/>
          <w:numId w:val="3"/>
        </w:numPr>
        <w:tabs>
          <w:tab w:pos="866" w:val="left" w:leader="none"/>
        </w:tabs>
        <w:spacing w:line="288" w:lineRule="auto" w:before="0" w:after="0"/>
        <w:ind w:left="866" w:right="871" w:hanging="354"/>
        <w:jc w:val="both"/>
        <w:rPr>
          <w:sz w:val="16"/>
        </w:rPr>
      </w:pPr>
      <w:r>
        <w:rPr>
          <w:color w:val="231F20"/>
          <w:sz w:val="16"/>
        </w:rPr>
        <w:t>ECJ 9 Nov. 2016, ECLI:EU:C:2016:842, </w:t>
      </w:r>
      <w:r>
        <w:rPr>
          <w:i/>
          <w:color w:val="231F20"/>
          <w:sz w:val="16"/>
        </w:rPr>
        <w:t>Home Credit Slovakia, a.s. </w:t>
      </w:r>
      <w:r>
        <w:rPr>
          <w:color w:val="231F20"/>
          <w:sz w:val="16"/>
        </w:rPr>
        <w:t>v. </w:t>
      </w:r>
      <w:r>
        <w:rPr>
          <w:i/>
          <w:color w:val="231F20"/>
          <w:sz w:val="16"/>
        </w:rPr>
        <w:t>Klára Bíróová</w:t>
      </w:r>
      <w:r>
        <w:rPr>
          <w:color w:val="231F20"/>
          <w:sz w:val="16"/>
        </w:rPr>
        <w:t>, curia.</w:t>
      </w:r>
      <w:r>
        <w:rPr>
          <w:color w:val="231F20"/>
          <w:spacing w:val="40"/>
          <w:sz w:val="16"/>
        </w:rPr>
        <w:t> </w:t>
      </w:r>
      <w:r>
        <w:rPr>
          <w:color w:val="231F20"/>
          <w:sz w:val="16"/>
        </w:rPr>
        <w:t>europa.eu/juris/liste.jsf?num=C-42/15, para. 71.</w:t>
      </w:r>
    </w:p>
    <w:p>
      <w:pPr>
        <w:spacing w:after="0" w:line="288" w:lineRule="auto"/>
        <w:jc w:val="both"/>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324" w:val="left" w:leader="none"/>
        </w:tabs>
        <w:spacing w:line="288" w:lineRule="auto" w:before="0" w:after="0"/>
        <w:ind w:left="871" w:right="868" w:firstLine="0"/>
        <w:jc w:val="both"/>
        <w:rPr>
          <w:sz w:val="19"/>
        </w:rPr>
      </w:pPr>
      <w:r>
        <w:rPr>
          <w:i/>
          <w:color w:val="231F20"/>
          <w:spacing w:val="-2"/>
          <w:sz w:val="19"/>
        </w:rPr>
        <w:t>Mutatis</w:t>
      </w:r>
      <w:r>
        <w:rPr>
          <w:i/>
          <w:color w:val="231F20"/>
          <w:spacing w:val="-10"/>
          <w:sz w:val="19"/>
        </w:rPr>
        <w:t> </w:t>
      </w:r>
      <w:r>
        <w:rPr>
          <w:i/>
          <w:color w:val="231F20"/>
          <w:spacing w:val="-2"/>
          <w:sz w:val="19"/>
        </w:rPr>
        <w:t>mutandis</w:t>
      </w:r>
      <w:r>
        <w:rPr>
          <w:color w:val="231F20"/>
          <w:spacing w:val="-2"/>
          <w:sz w:val="19"/>
        </w:rPr>
        <w:t>,</w:t>
      </w:r>
      <w:r>
        <w:rPr>
          <w:color w:val="231F20"/>
          <w:spacing w:val="-9"/>
          <w:sz w:val="19"/>
        </w:rPr>
        <w:t> </w:t>
      </w:r>
      <w:r>
        <w:rPr>
          <w:color w:val="231F20"/>
          <w:spacing w:val="-2"/>
          <w:sz w:val="19"/>
        </w:rPr>
        <w:t>proportionality</w:t>
      </w:r>
      <w:r>
        <w:rPr>
          <w:color w:val="231F20"/>
          <w:spacing w:val="-10"/>
          <w:sz w:val="19"/>
        </w:rPr>
        <w:t> </w:t>
      </w:r>
      <w:r>
        <w:rPr>
          <w:color w:val="231F20"/>
          <w:spacing w:val="-2"/>
          <w:sz w:val="19"/>
        </w:rPr>
        <w:t>should</w:t>
      </w:r>
      <w:r>
        <w:rPr>
          <w:color w:val="231F20"/>
          <w:spacing w:val="-9"/>
          <w:sz w:val="19"/>
        </w:rPr>
        <w:t> </w:t>
      </w:r>
      <w:r>
        <w:rPr>
          <w:color w:val="231F20"/>
          <w:spacing w:val="-2"/>
          <w:sz w:val="19"/>
        </w:rPr>
        <w:t>also</w:t>
      </w:r>
      <w:r>
        <w:rPr>
          <w:color w:val="231F20"/>
          <w:spacing w:val="-9"/>
          <w:sz w:val="19"/>
        </w:rPr>
        <w:t> </w:t>
      </w:r>
      <w:r>
        <w:rPr>
          <w:color w:val="231F20"/>
          <w:spacing w:val="-2"/>
          <w:sz w:val="19"/>
        </w:rPr>
        <w:t>calibrate</w:t>
      </w:r>
      <w:r>
        <w:rPr>
          <w:color w:val="231F20"/>
          <w:spacing w:val="-10"/>
          <w:sz w:val="19"/>
        </w:rPr>
        <w:t> </w:t>
      </w:r>
      <w:r>
        <w:rPr>
          <w:color w:val="231F20"/>
          <w:spacing w:val="-2"/>
          <w:sz w:val="19"/>
        </w:rPr>
        <w:t>a</w:t>
      </w:r>
      <w:r>
        <w:rPr>
          <w:color w:val="231F20"/>
          <w:spacing w:val="-9"/>
          <w:sz w:val="19"/>
        </w:rPr>
        <w:t> </w:t>
      </w:r>
      <w:r>
        <w:rPr>
          <w:color w:val="231F20"/>
          <w:spacing w:val="-2"/>
          <w:sz w:val="19"/>
        </w:rPr>
        <w:t>private</w:t>
      </w:r>
      <w:r>
        <w:rPr>
          <w:color w:val="231F20"/>
          <w:spacing w:val="-9"/>
          <w:sz w:val="19"/>
        </w:rPr>
        <w:t> </w:t>
      </w:r>
      <w:r>
        <w:rPr>
          <w:color w:val="231F20"/>
          <w:spacing w:val="-2"/>
          <w:sz w:val="19"/>
        </w:rPr>
        <w:t>law</w:t>
      </w:r>
      <w:r>
        <w:rPr>
          <w:color w:val="231F20"/>
          <w:spacing w:val="-9"/>
          <w:sz w:val="19"/>
        </w:rPr>
        <w:t> </w:t>
      </w:r>
      <w:r>
        <w:rPr>
          <w:color w:val="231F20"/>
          <w:spacing w:val="-2"/>
          <w:sz w:val="19"/>
        </w:rPr>
        <w:t>sanction </w:t>
      </w:r>
      <w:r>
        <w:rPr>
          <w:color w:val="231F20"/>
          <w:sz w:val="19"/>
        </w:rPr>
        <w:t>under</w:t>
      </w:r>
      <w:r>
        <w:rPr>
          <w:color w:val="231F20"/>
          <w:spacing w:val="-2"/>
          <w:sz w:val="19"/>
        </w:rPr>
        <w:t> </w:t>
      </w:r>
      <w:r>
        <w:rPr>
          <w:color w:val="231F20"/>
          <w:sz w:val="19"/>
        </w:rPr>
        <w:t>the</w:t>
      </w:r>
      <w:r>
        <w:rPr>
          <w:color w:val="231F20"/>
          <w:spacing w:val="-1"/>
          <w:sz w:val="19"/>
        </w:rPr>
        <w:t> </w:t>
      </w:r>
      <w:r>
        <w:rPr>
          <w:color w:val="231F20"/>
          <w:sz w:val="19"/>
        </w:rPr>
        <w:t>UCTD.</w:t>
      </w:r>
      <w:r>
        <w:rPr>
          <w:color w:val="231F20"/>
          <w:sz w:val="19"/>
          <w:vertAlign w:val="superscript"/>
        </w:rPr>
        <w:t>120</w:t>
      </w:r>
      <w:r>
        <w:rPr>
          <w:color w:val="231F20"/>
          <w:spacing w:val="-1"/>
          <w:sz w:val="19"/>
          <w:vertAlign w:val="baseline"/>
        </w:rPr>
        <w:t> </w:t>
      </w:r>
      <w:r>
        <w:rPr>
          <w:color w:val="231F20"/>
          <w:sz w:val="19"/>
          <w:vertAlign w:val="baseline"/>
        </w:rPr>
        <w:t>A</w:t>
      </w:r>
      <w:r>
        <w:rPr>
          <w:color w:val="231F20"/>
          <w:spacing w:val="-2"/>
          <w:sz w:val="19"/>
          <w:vertAlign w:val="baseline"/>
        </w:rPr>
        <w:t> </w:t>
      </w:r>
      <w:r>
        <w:rPr>
          <w:color w:val="231F20"/>
          <w:sz w:val="19"/>
          <w:vertAlign w:val="baseline"/>
        </w:rPr>
        <w:t>disproportionate</w:t>
      </w:r>
      <w:r>
        <w:rPr>
          <w:color w:val="231F20"/>
          <w:spacing w:val="-1"/>
          <w:sz w:val="19"/>
          <w:vertAlign w:val="baseline"/>
        </w:rPr>
        <w:t> </w:t>
      </w:r>
      <w:r>
        <w:rPr>
          <w:color w:val="231F20"/>
          <w:sz w:val="19"/>
          <w:vertAlign w:val="baseline"/>
        </w:rPr>
        <w:t>sanction</w:t>
      </w:r>
      <w:r>
        <w:rPr>
          <w:color w:val="231F20"/>
          <w:spacing w:val="-2"/>
          <w:sz w:val="19"/>
          <w:vertAlign w:val="baseline"/>
        </w:rPr>
        <w:t> </w:t>
      </w:r>
      <w:r>
        <w:rPr>
          <w:color w:val="231F20"/>
          <w:sz w:val="19"/>
          <w:vertAlign w:val="baseline"/>
        </w:rPr>
        <w:t>could</w:t>
      </w:r>
      <w:r>
        <w:rPr>
          <w:color w:val="231F20"/>
          <w:spacing w:val="-2"/>
          <w:sz w:val="19"/>
          <w:vertAlign w:val="baseline"/>
        </w:rPr>
        <w:t> </w:t>
      </w:r>
      <w:r>
        <w:rPr>
          <w:color w:val="231F20"/>
          <w:sz w:val="19"/>
          <w:vertAlign w:val="baseline"/>
        </w:rPr>
        <w:t>affect</w:t>
      </w:r>
      <w:r>
        <w:rPr>
          <w:color w:val="231F20"/>
          <w:spacing w:val="-3"/>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right</w:t>
      </w:r>
      <w:r>
        <w:rPr>
          <w:color w:val="231F20"/>
          <w:spacing w:val="-1"/>
          <w:sz w:val="19"/>
          <w:vertAlign w:val="baseline"/>
        </w:rPr>
        <w:t> </w:t>
      </w:r>
      <w:r>
        <w:rPr>
          <w:color w:val="231F20"/>
          <w:sz w:val="19"/>
          <w:vertAlign w:val="baseline"/>
        </w:rPr>
        <w:t>to</w:t>
      </w:r>
      <w:r>
        <w:rPr>
          <w:color w:val="231F20"/>
          <w:spacing w:val="-3"/>
          <w:sz w:val="19"/>
          <w:vertAlign w:val="baseline"/>
        </w:rPr>
        <w:t> </w:t>
      </w:r>
      <w:r>
        <w:rPr>
          <w:color w:val="231F20"/>
          <w:sz w:val="19"/>
          <w:vertAlign w:val="baseline"/>
        </w:rPr>
        <w:t>property and the freedom to conduct business by the targets of the sanction.</w:t>
      </w:r>
      <w:r>
        <w:rPr>
          <w:color w:val="231F20"/>
          <w:sz w:val="19"/>
          <w:vertAlign w:val="superscript"/>
        </w:rPr>
        <w:t>121</w:t>
      </w:r>
      <w:r>
        <w:rPr>
          <w:color w:val="231F20"/>
          <w:sz w:val="19"/>
          <w:vertAlign w:val="baseline"/>
        </w:rPr>
        <w:t> On this, it has been suggested that the criteria for effective, dissuasive and proportional penalties in public enforcement could guide civil courts in the application of private law sanctions.</w:t>
      </w:r>
      <w:r>
        <w:rPr>
          <w:color w:val="231F20"/>
          <w:sz w:val="19"/>
          <w:vertAlign w:val="superscript"/>
        </w:rPr>
        <w:t>122</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The</w:t>
      </w:r>
      <w:r>
        <w:rPr>
          <w:color w:val="231F20"/>
          <w:spacing w:val="-10"/>
          <w:sz w:val="19"/>
        </w:rPr>
        <w:t> </w:t>
      </w:r>
      <w:r>
        <w:rPr>
          <w:color w:val="231F20"/>
          <w:sz w:val="19"/>
        </w:rPr>
        <w:t>claim</w:t>
      </w:r>
      <w:r>
        <w:rPr>
          <w:color w:val="231F20"/>
          <w:spacing w:val="-10"/>
          <w:sz w:val="19"/>
        </w:rPr>
        <w:t> </w:t>
      </w:r>
      <w:r>
        <w:rPr>
          <w:color w:val="231F20"/>
          <w:sz w:val="19"/>
        </w:rPr>
        <w:t>that</w:t>
      </w:r>
      <w:r>
        <w:rPr>
          <w:color w:val="231F20"/>
          <w:spacing w:val="-10"/>
          <w:sz w:val="19"/>
        </w:rPr>
        <w:t> </w:t>
      </w:r>
      <w:r>
        <w:rPr>
          <w:color w:val="231F20"/>
          <w:sz w:val="19"/>
        </w:rPr>
        <w:t>this</w:t>
      </w:r>
      <w:r>
        <w:rPr>
          <w:color w:val="231F20"/>
          <w:spacing w:val="-10"/>
          <w:sz w:val="19"/>
        </w:rPr>
        <w:t> </w:t>
      </w:r>
      <w:r>
        <w:rPr>
          <w:color w:val="231F20"/>
          <w:sz w:val="19"/>
        </w:rPr>
        <w:t>section</w:t>
      </w:r>
      <w:r>
        <w:rPr>
          <w:color w:val="231F20"/>
          <w:spacing w:val="-10"/>
          <w:sz w:val="19"/>
        </w:rPr>
        <w:t> </w:t>
      </w:r>
      <w:r>
        <w:rPr>
          <w:color w:val="231F20"/>
          <w:sz w:val="19"/>
        </w:rPr>
        <w:t>makes</w:t>
      </w:r>
      <w:r>
        <w:rPr>
          <w:color w:val="231F20"/>
          <w:spacing w:val="-11"/>
          <w:sz w:val="19"/>
        </w:rPr>
        <w:t> </w:t>
      </w:r>
      <w:r>
        <w:rPr>
          <w:color w:val="231F20"/>
          <w:sz w:val="19"/>
        </w:rPr>
        <w:t>is</w:t>
      </w:r>
      <w:r>
        <w:rPr>
          <w:color w:val="231F20"/>
          <w:spacing w:val="-9"/>
          <w:sz w:val="19"/>
        </w:rPr>
        <w:t> </w:t>
      </w:r>
      <w:r>
        <w:rPr>
          <w:color w:val="231F20"/>
          <w:sz w:val="19"/>
        </w:rPr>
        <w:t>that,</w:t>
      </w:r>
      <w:r>
        <w:rPr>
          <w:color w:val="231F20"/>
          <w:spacing w:val="-10"/>
          <w:sz w:val="19"/>
        </w:rPr>
        <w:t> </w:t>
      </w:r>
      <w:r>
        <w:rPr>
          <w:color w:val="231F20"/>
          <w:sz w:val="19"/>
        </w:rPr>
        <w:t>even</w:t>
      </w:r>
      <w:r>
        <w:rPr>
          <w:color w:val="231F20"/>
          <w:spacing w:val="-11"/>
          <w:sz w:val="19"/>
        </w:rPr>
        <w:t> </w:t>
      </w:r>
      <w:r>
        <w:rPr>
          <w:color w:val="231F20"/>
          <w:sz w:val="19"/>
        </w:rPr>
        <w:t>in</w:t>
      </w:r>
      <w:r>
        <w:rPr>
          <w:color w:val="231F20"/>
          <w:spacing w:val="-9"/>
          <w:sz w:val="19"/>
        </w:rPr>
        <w:t> </w:t>
      </w:r>
      <w:r>
        <w:rPr>
          <w:color w:val="231F20"/>
          <w:sz w:val="19"/>
        </w:rPr>
        <w:t>the</w:t>
      </w:r>
      <w:r>
        <w:rPr>
          <w:color w:val="231F20"/>
          <w:spacing w:val="-10"/>
          <w:sz w:val="19"/>
        </w:rPr>
        <w:t> </w:t>
      </w:r>
      <w:r>
        <w:rPr>
          <w:color w:val="231F20"/>
          <w:sz w:val="19"/>
        </w:rPr>
        <w:t>absence</w:t>
      </w:r>
      <w:r>
        <w:rPr>
          <w:color w:val="231F20"/>
          <w:spacing w:val="-10"/>
          <w:sz w:val="19"/>
        </w:rPr>
        <w:t> </w:t>
      </w:r>
      <w:r>
        <w:rPr>
          <w:color w:val="231F20"/>
          <w:sz w:val="19"/>
        </w:rPr>
        <w:t>of</w:t>
      </w:r>
      <w:r>
        <w:rPr>
          <w:color w:val="231F20"/>
          <w:spacing w:val="-10"/>
          <w:sz w:val="19"/>
        </w:rPr>
        <w:t> </w:t>
      </w:r>
      <w:r>
        <w:rPr>
          <w:color w:val="231F20"/>
          <w:sz w:val="19"/>
        </w:rPr>
        <w:t>a</w:t>
      </w:r>
      <w:r>
        <w:rPr>
          <w:color w:val="231F20"/>
          <w:spacing w:val="-10"/>
          <w:sz w:val="19"/>
        </w:rPr>
        <w:t> </w:t>
      </w:r>
      <w:r>
        <w:rPr>
          <w:color w:val="231F20"/>
          <w:sz w:val="19"/>
        </w:rPr>
        <w:t>black-letter requirement</w:t>
      </w:r>
      <w:r>
        <w:rPr>
          <w:color w:val="231F20"/>
          <w:spacing w:val="-10"/>
          <w:sz w:val="19"/>
        </w:rPr>
        <w:t> </w:t>
      </w:r>
      <w:r>
        <w:rPr>
          <w:color w:val="231F20"/>
          <w:sz w:val="19"/>
        </w:rPr>
        <w:t>of</w:t>
      </w:r>
      <w:r>
        <w:rPr>
          <w:color w:val="231F20"/>
          <w:spacing w:val="-9"/>
          <w:sz w:val="19"/>
        </w:rPr>
        <w:t> </w:t>
      </w:r>
      <w:r>
        <w:rPr>
          <w:color w:val="231F20"/>
          <w:sz w:val="19"/>
        </w:rPr>
        <w:t>proportionality</w:t>
      </w:r>
      <w:r>
        <w:rPr>
          <w:color w:val="231F20"/>
          <w:spacing w:val="-9"/>
          <w:sz w:val="19"/>
        </w:rPr>
        <w:t> </w:t>
      </w:r>
      <w:r>
        <w:rPr>
          <w:color w:val="231F20"/>
          <w:sz w:val="19"/>
        </w:rPr>
        <w:t>in</w:t>
      </w:r>
      <w:r>
        <w:rPr>
          <w:color w:val="231F20"/>
          <w:spacing w:val="-9"/>
          <w:sz w:val="19"/>
        </w:rPr>
        <w:t> </w:t>
      </w:r>
      <w:r>
        <w:rPr>
          <w:color w:val="231F20"/>
          <w:sz w:val="19"/>
        </w:rPr>
        <w:t>the</w:t>
      </w:r>
      <w:r>
        <w:rPr>
          <w:color w:val="231F20"/>
          <w:spacing w:val="-9"/>
          <w:sz w:val="19"/>
        </w:rPr>
        <w:t> </w:t>
      </w:r>
      <w:r>
        <w:rPr>
          <w:color w:val="231F20"/>
          <w:sz w:val="19"/>
        </w:rPr>
        <w:t>imposition</w:t>
      </w:r>
      <w:r>
        <w:rPr>
          <w:color w:val="231F20"/>
          <w:spacing w:val="-10"/>
          <w:sz w:val="19"/>
        </w:rPr>
        <w:t> </w:t>
      </w:r>
      <w:r>
        <w:rPr>
          <w:color w:val="231F20"/>
          <w:sz w:val="19"/>
        </w:rPr>
        <w:t>of</w:t>
      </w:r>
      <w:r>
        <w:rPr>
          <w:color w:val="231F20"/>
          <w:spacing w:val="-6"/>
          <w:sz w:val="19"/>
        </w:rPr>
        <w:t> </w:t>
      </w:r>
      <w:r>
        <w:rPr>
          <w:color w:val="231F20"/>
          <w:sz w:val="19"/>
        </w:rPr>
        <w:t>the</w:t>
      </w:r>
      <w:r>
        <w:rPr>
          <w:color w:val="231F20"/>
          <w:spacing w:val="-9"/>
          <w:sz w:val="19"/>
        </w:rPr>
        <w:t> </w:t>
      </w:r>
      <w:r>
        <w:rPr>
          <w:color w:val="231F20"/>
          <w:sz w:val="19"/>
        </w:rPr>
        <w:t>private</w:t>
      </w:r>
      <w:r>
        <w:rPr>
          <w:color w:val="231F20"/>
          <w:spacing w:val="-10"/>
          <w:sz w:val="19"/>
        </w:rPr>
        <w:t> </w:t>
      </w:r>
      <w:r>
        <w:rPr>
          <w:color w:val="231F20"/>
          <w:sz w:val="19"/>
        </w:rPr>
        <w:t>law</w:t>
      </w:r>
      <w:r>
        <w:rPr>
          <w:color w:val="231F20"/>
          <w:spacing w:val="-9"/>
          <w:sz w:val="19"/>
        </w:rPr>
        <w:t> </w:t>
      </w:r>
      <w:r>
        <w:rPr>
          <w:color w:val="231F20"/>
          <w:sz w:val="19"/>
        </w:rPr>
        <w:t>sanction</w:t>
      </w:r>
      <w:r>
        <w:rPr>
          <w:color w:val="231F20"/>
          <w:spacing w:val="-8"/>
          <w:sz w:val="19"/>
        </w:rPr>
        <w:t> </w:t>
      </w:r>
      <w:r>
        <w:rPr>
          <w:color w:val="231F20"/>
          <w:sz w:val="19"/>
        </w:rPr>
        <w:t>under the</w:t>
      </w:r>
      <w:r>
        <w:rPr>
          <w:color w:val="231F20"/>
          <w:spacing w:val="-9"/>
          <w:sz w:val="19"/>
        </w:rPr>
        <w:t> </w:t>
      </w:r>
      <w:r>
        <w:rPr>
          <w:color w:val="231F20"/>
          <w:sz w:val="19"/>
        </w:rPr>
        <w:t>UCTD</w:t>
      </w:r>
      <w:r>
        <w:rPr>
          <w:color w:val="231F20"/>
          <w:spacing w:val="-9"/>
          <w:sz w:val="19"/>
        </w:rPr>
        <w:t> </w:t>
      </w:r>
      <w:r>
        <w:rPr>
          <w:color w:val="231F20"/>
          <w:sz w:val="19"/>
        </w:rPr>
        <w:t>(at</w:t>
      </w:r>
      <w:r>
        <w:rPr>
          <w:color w:val="231F20"/>
          <w:spacing w:val="-9"/>
          <w:sz w:val="19"/>
        </w:rPr>
        <w:t> </w:t>
      </w:r>
      <w:r>
        <w:rPr>
          <w:color w:val="231F20"/>
          <w:sz w:val="19"/>
        </w:rPr>
        <w:t>least</w:t>
      </w:r>
      <w:r>
        <w:rPr>
          <w:color w:val="231F20"/>
          <w:spacing w:val="-9"/>
          <w:sz w:val="19"/>
        </w:rPr>
        <w:t> </w:t>
      </w:r>
      <w:r>
        <w:rPr>
          <w:color w:val="231F20"/>
          <w:sz w:val="19"/>
        </w:rPr>
        <w:t>prior</w:t>
      </w:r>
      <w:r>
        <w:rPr>
          <w:color w:val="231F20"/>
          <w:spacing w:val="-9"/>
          <w:sz w:val="19"/>
        </w:rPr>
        <w:t> </w:t>
      </w:r>
      <w:r>
        <w:rPr>
          <w:color w:val="231F20"/>
          <w:sz w:val="19"/>
        </w:rPr>
        <w:t>to</w:t>
      </w:r>
      <w:r>
        <w:rPr>
          <w:color w:val="231F20"/>
          <w:spacing w:val="-9"/>
          <w:sz w:val="19"/>
        </w:rPr>
        <w:t> </w:t>
      </w:r>
      <w:r>
        <w:rPr>
          <w:color w:val="231F20"/>
          <w:sz w:val="19"/>
        </w:rPr>
        <w:t>its</w:t>
      </w:r>
      <w:r>
        <w:rPr>
          <w:color w:val="231F20"/>
          <w:spacing w:val="-9"/>
          <w:sz w:val="19"/>
        </w:rPr>
        <w:t> </w:t>
      </w:r>
      <w:r>
        <w:rPr>
          <w:color w:val="231F20"/>
          <w:sz w:val="19"/>
        </w:rPr>
        <w:t>reform</w:t>
      </w:r>
      <w:r>
        <w:rPr>
          <w:color w:val="231F20"/>
          <w:spacing w:val="-11"/>
          <w:sz w:val="19"/>
        </w:rPr>
        <w:t> </w:t>
      </w:r>
      <w:r>
        <w:rPr>
          <w:color w:val="231F20"/>
          <w:sz w:val="19"/>
        </w:rPr>
        <w:t>in</w:t>
      </w:r>
      <w:r>
        <w:rPr>
          <w:color w:val="231F20"/>
          <w:spacing w:val="-9"/>
          <w:sz w:val="19"/>
        </w:rPr>
        <w:t> </w:t>
      </w:r>
      <w:r>
        <w:rPr>
          <w:color w:val="231F20"/>
          <w:sz w:val="19"/>
        </w:rPr>
        <w:t>2019),</w:t>
      </w:r>
      <w:r>
        <w:rPr>
          <w:color w:val="231F20"/>
          <w:spacing w:val="-9"/>
          <w:sz w:val="19"/>
        </w:rPr>
        <w:t> </w:t>
      </w:r>
      <w:r>
        <w:rPr>
          <w:color w:val="231F20"/>
          <w:sz w:val="19"/>
        </w:rPr>
        <w:t>it</w:t>
      </w:r>
      <w:r>
        <w:rPr>
          <w:color w:val="231F20"/>
          <w:spacing w:val="-9"/>
          <w:sz w:val="19"/>
        </w:rPr>
        <w:t> </w:t>
      </w:r>
      <w:r>
        <w:rPr>
          <w:color w:val="231F20"/>
          <w:sz w:val="19"/>
        </w:rPr>
        <w:t>can</w:t>
      </w:r>
      <w:r>
        <w:rPr>
          <w:color w:val="231F20"/>
          <w:spacing w:val="-9"/>
          <w:sz w:val="19"/>
        </w:rPr>
        <w:t> </w:t>
      </w:r>
      <w:r>
        <w:rPr>
          <w:color w:val="231F20"/>
          <w:sz w:val="19"/>
        </w:rPr>
        <w:t>be</w:t>
      </w:r>
      <w:r>
        <w:rPr>
          <w:color w:val="231F20"/>
          <w:spacing w:val="-9"/>
          <w:sz w:val="19"/>
        </w:rPr>
        <w:t> </w:t>
      </w:r>
      <w:r>
        <w:rPr>
          <w:color w:val="231F20"/>
          <w:sz w:val="19"/>
        </w:rPr>
        <w:t>deduced</w:t>
      </w:r>
      <w:r>
        <w:rPr>
          <w:color w:val="231F20"/>
          <w:spacing w:val="-9"/>
          <w:sz w:val="19"/>
        </w:rPr>
        <w:t> </w:t>
      </w:r>
      <w:r>
        <w:rPr>
          <w:color w:val="231F20"/>
          <w:sz w:val="19"/>
        </w:rPr>
        <w:t>from</w:t>
      </w:r>
      <w:r>
        <w:rPr>
          <w:color w:val="231F20"/>
          <w:spacing w:val="-9"/>
          <w:sz w:val="19"/>
        </w:rPr>
        <w:t> </w:t>
      </w:r>
      <w:r>
        <w:rPr>
          <w:color w:val="231F20"/>
          <w:sz w:val="19"/>
        </w:rPr>
        <w:t>the</w:t>
      </w:r>
      <w:r>
        <w:rPr>
          <w:color w:val="231F20"/>
          <w:spacing w:val="-9"/>
          <w:sz w:val="19"/>
        </w:rPr>
        <w:t> </w:t>
      </w:r>
      <w:r>
        <w:rPr>
          <w:color w:val="231F20"/>
          <w:sz w:val="19"/>
        </w:rPr>
        <w:t>case</w:t>
      </w:r>
      <w:r>
        <w:rPr>
          <w:color w:val="231F20"/>
          <w:spacing w:val="-9"/>
          <w:sz w:val="19"/>
        </w:rPr>
        <w:t> </w:t>
      </w:r>
      <w:r>
        <w:rPr>
          <w:color w:val="231F20"/>
          <w:sz w:val="19"/>
        </w:rPr>
        <w:t>law of the ECJ.</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To</w:t>
      </w:r>
      <w:r>
        <w:rPr>
          <w:color w:val="231F20"/>
          <w:spacing w:val="-11"/>
          <w:sz w:val="19"/>
        </w:rPr>
        <w:t> </w:t>
      </w:r>
      <w:r>
        <w:rPr>
          <w:color w:val="231F20"/>
          <w:sz w:val="19"/>
        </w:rPr>
        <w:t>shape</w:t>
      </w:r>
      <w:r>
        <w:rPr>
          <w:color w:val="231F20"/>
          <w:spacing w:val="-11"/>
          <w:sz w:val="19"/>
        </w:rPr>
        <w:t> </w:t>
      </w:r>
      <w:r>
        <w:rPr>
          <w:color w:val="231F20"/>
          <w:sz w:val="19"/>
        </w:rPr>
        <w:t>the</w:t>
      </w:r>
      <w:r>
        <w:rPr>
          <w:color w:val="231F20"/>
          <w:spacing w:val="-11"/>
          <w:sz w:val="19"/>
        </w:rPr>
        <w:t> </w:t>
      </w:r>
      <w:r>
        <w:rPr>
          <w:color w:val="231F20"/>
          <w:sz w:val="19"/>
        </w:rPr>
        <w:t>private</w:t>
      </w:r>
      <w:r>
        <w:rPr>
          <w:color w:val="231F20"/>
          <w:spacing w:val="-11"/>
          <w:sz w:val="19"/>
        </w:rPr>
        <w:t> </w:t>
      </w:r>
      <w:r>
        <w:rPr>
          <w:color w:val="231F20"/>
          <w:sz w:val="19"/>
        </w:rPr>
        <w:t>consequences</w:t>
      </w:r>
      <w:r>
        <w:rPr>
          <w:color w:val="231F20"/>
          <w:spacing w:val="-11"/>
          <w:sz w:val="19"/>
        </w:rPr>
        <w:t> </w:t>
      </w:r>
      <w:r>
        <w:rPr>
          <w:color w:val="231F20"/>
          <w:sz w:val="19"/>
        </w:rPr>
        <w:t>for</w:t>
      </w:r>
      <w:r>
        <w:rPr>
          <w:color w:val="231F20"/>
          <w:spacing w:val="-12"/>
          <w:sz w:val="19"/>
        </w:rPr>
        <w:t> </w:t>
      </w:r>
      <w:r>
        <w:rPr>
          <w:color w:val="231F20"/>
          <w:sz w:val="19"/>
        </w:rPr>
        <w:t>unfair</w:t>
      </w:r>
      <w:r>
        <w:rPr>
          <w:color w:val="231F20"/>
          <w:spacing w:val="-10"/>
          <w:sz w:val="19"/>
        </w:rPr>
        <w:t> </w:t>
      </w:r>
      <w:r>
        <w:rPr>
          <w:color w:val="231F20"/>
          <w:sz w:val="19"/>
        </w:rPr>
        <w:t>terms</w:t>
      </w:r>
      <w:r>
        <w:rPr>
          <w:color w:val="231F20"/>
          <w:spacing w:val="-11"/>
          <w:sz w:val="19"/>
        </w:rPr>
        <w:t> </w:t>
      </w:r>
      <w:r>
        <w:rPr>
          <w:color w:val="231F20"/>
          <w:sz w:val="19"/>
        </w:rPr>
        <w:t>under</w:t>
      </w:r>
      <w:r>
        <w:rPr>
          <w:color w:val="231F20"/>
          <w:spacing w:val="-11"/>
          <w:sz w:val="19"/>
        </w:rPr>
        <w:t> </w:t>
      </w:r>
      <w:r>
        <w:rPr>
          <w:color w:val="231F20"/>
          <w:sz w:val="19"/>
        </w:rPr>
        <w:t>Article</w:t>
      </w:r>
      <w:r>
        <w:rPr>
          <w:color w:val="231F20"/>
          <w:spacing w:val="-11"/>
          <w:sz w:val="19"/>
        </w:rPr>
        <w:t> </w:t>
      </w:r>
      <w:r>
        <w:rPr>
          <w:color w:val="231F20"/>
          <w:sz w:val="19"/>
        </w:rPr>
        <w:t>6(1)</w:t>
      </w:r>
      <w:r>
        <w:rPr>
          <w:color w:val="231F20"/>
          <w:spacing w:val="-11"/>
          <w:sz w:val="19"/>
        </w:rPr>
        <w:t> </w:t>
      </w:r>
      <w:r>
        <w:rPr>
          <w:color w:val="231F20"/>
          <w:sz w:val="19"/>
        </w:rPr>
        <w:t>UCTD, the Court has largely relied on two of the principles that guide sanctions, namely effectiveness and dissuasiveness.</w:t>
      </w:r>
      <w:r>
        <w:rPr>
          <w:color w:val="231F20"/>
          <w:sz w:val="19"/>
          <w:vertAlign w:val="superscript"/>
        </w:rPr>
        <w:t>123</w:t>
      </w:r>
      <w:r>
        <w:rPr>
          <w:color w:val="231F20"/>
          <w:sz w:val="19"/>
          <w:vertAlign w:val="baseline"/>
        </w:rPr>
        <w:t> The third principle, proportionality, has sel- dom been mentioned, although reference to it has increased in recent times.</w:t>
      </w:r>
      <w:r>
        <w:rPr>
          <w:color w:val="231F20"/>
          <w:sz w:val="19"/>
          <w:vertAlign w:val="superscript"/>
        </w:rPr>
        <w:t>124</w:t>
      </w:r>
      <w:r>
        <w:rPr>
          <w:color w:val="231F20"/>
          <w:sz w:val="19"/>
          <w:vertAlign w:val="baseline"/>
        </w:rPr>
        <w:t> </w:t>
      </w:r>
      <w:r>
        <w:rPr>
          <w:color w:val="231F20"/>
          <w:spacing w:val="-2"/>
          <w:sz w:val="19"/>
          <w:vertAlign w:val="baseline"/>
        </w:rPr>
        <w:t>However,</w:t>
      </w:r>
      <w:r>
        <w:rPr>
          <w:color w:val="231F20"/>
          <w:spacing w:val="-5"/>
          <w:sz w:val="19"/>
          <w:vertAlign w:val="baseline"/>
        </w:rPr>
        <w:t> </w:t>
      </w:r>
      <w:r>
        <w:rPr>
          <w:color w:val="231F20"/>
          <w:spacing w:val="-2"/>
          <w:sz w:val="19"/>
          <w:vertAlign w:val="baseline"/>
        </w:rPr>
        <w:t>so</w:t>
      </w:r>
      <w:r>
        <w:rPr>
          <w:color w:val="231F20"/>
          <w:spacing w:val="-4"/>
          <w:sz w:val="19"/>
          <w:vertAlign w:val="baseline"/>
        </w:rPr>
        <w:t> </w:t>
      </w:r>
      <w:r>
        <w:rPr>
          <w:color w:val="231F20"/>
          <w:spacing w:val="-2"/>
          <w:sz w:val="19"/>
          <w:vertAlign w:val="baseline"/>
        </w:rPr>
        <w:t>far,</w:t>
      </w:r>
      <w:r>
        <w:rPr>
          <w:color w:val="231F20"/>
          <w:spacing w:val="-4"/>
          <w:sz w:val="19"/>
          <w:vertAlign w:val="baseline"/>
        </w:rPr>
        <w:t> </w:t>
      </w:r>
      <w:r>
        <w:rPr>
          <w:color w:val="231F20"/>
          <w:spacing w:val="-2"/>
          <w:sz w:val="19"/>
          <w:vertAlign w:val="baseline"/>
        </w:rPr>
        <w:t>the</w:t>
      </w:r>
      <w:r>
        <w:rPr>
          <w:color w:val="231F20"/>
          <w:spacing w:val="-3"/>
          <w:sz w:val="19"/>
          <w:vertAlign w:val="baseline"/>
        </w:rPr>
        <w:t> </w:t>
      </w:r>
      <w:r>
        <w:rPr>
          <w:color w:val="231F20"/>
          <w:spacing w:val="-2"/>
          <w:sz w:val="19"/>
          <w:vertAlign w:val="baseline"/>
        </w:rPr>
        <w:t>ECJ</w:t>
      </w:r>
      <w:r>
        <w:rPr>
          <w:color w:val="231F20"/>
          <w:spacing w:val="-4"/>
          <w:sz w:val="19"/>
          <w:vertAlign w:val="baseline"/>
        </w:rPr>
        <w:t> </w:t>
      </w:r>
      <w:r>
        <w:rPr>
          <w:color w:val="231F20"/>
          <w:spacing w:val="-2"/>
          <w:sz w:val="19"/>
          <w:vertAlign w:val="baseline"/>
        </w:rPr>
        <w:t>has</w:t>
      </w:r>
      <w:r>
        <w:rPr>
          <w:color w:val="231F20"/>
          <w:spacing w:val="-4"/>
          <w:sz w:val="19"/>
          <w:vertAlign w:val="baseline"/>
        </w:rPr>
        <w:t> </w:t>
      </w:r>
      <w:r>
        <w:rPr>
          <w:color w:val="231F20"/>
          <w:spacing w:val="-2"/>
          <w:sz w:val="19"/>
          <w:vertAlign w:val="baseline"/>
        </w:rPr>
        <w:t>not</w:t>
      </w:r>
      <w:r>
        <w:rPr>
          <w:color w:val="231F20"/>
          <w:spacing w:val="-4"/>
          <w:sz w:val="19"/>
          <w:vertAlign w:val="baseline"/>
        </w:rPr>
        <w:t> </w:t>
      </w:r>
      <w:r>
        <w:rPr>
          <w:color w:val="231F20"/>
          <w:spacing w:val="-2"/>
          <w:sz w:val="19"/>
          <w:vertAlign w:val="baseline"/>
        </w:rPr>
        <w:t>explicitly</w:t>
      </w:r>
      <w:r>
        <w:rPr>
          <w:color w:val="231F20"/>
          <w:spacing w:val="-3"/>
          <w:sz w:val="19"/>
          <w:vertAlign w:val="baseline"/>
        </w:rPr>
        <w:t> </w:t>
      </w:r>
      <w:r>
        <w:rPr>
          <w:color w:val="231F20"/>
          <w:spacing w:val="-2"/>
          <w:sz w:val="19"/>
          <w:vertAlign w:val="baseline"/>
        </w:rPr>
        <w:t>argued</w:t>
      </w:r>
      <w:r>
        <w:rPr>
          <w:color w:val="231F20"/>
          <w:spacing w:val="-3"/>
          <w:sz w:val="19"/>
          <w:vertAlign w:val="baseline"/>
        </w:rPr>
        <w:t> </w:t>
      </w:r>
      <w:r>
        <w:rPr>
          <w:color w:val="231F20"/>
          <w:spacing w:val="-2"/>
          <w:sz w:val="19"/>
          <w:vertAlign w:val="baseline"/>
        </w:rPr>
        <w:t>upon</w:t>
      </w:r>
      <w:r>
        <w:rPr>
          <w:color w:val="231F20"/>
          <w:spacing w:val="-6"/>
          <w:sz w:val="19"/>
          <w:vertAlign w:val="baseline"/>
        </w:rPr>
        <w:t> </w:t>
      </w:r>
      <w:r>
        <w:rPr>
          <w:color w:val="231F20"/>
          <w:spacing w:val="-2"/>
          <w:sz w:val="19"/>
          <w:vertAlign w:val="baseline"/>
        </w:rPr>
        <w:t>proportionality</w:t>
      </w:r>
      <w:r>
        <w:rPr>
          <w:color w:val="231F20"/>
          <w:spacing w:val="-3"/>
          <w:sz w:val="19"/>
          <w:vertAlign w:val="baseline"/>
        </w:rPr>
        <w:t> </w:t>
      </w:r>
      <w:r>
        <w:rPr>
          <w:color w:val="231F20"/>
          <w:spacing w:val="-2"/>
          <w:sz w:val="19"/>
          <w:vertAlign w:val="baseline"/>
        </w:rPr>
        <w:t>to</w:t>
      </w:r>
      <w:r>
        <w:rPr>
          <w:color w:val="231F20"/>
          <w:spacing w:val="-4"/>
          <w:sz w:val="19"/>
          <w:vertAlign w:val="baseline"/>
        </w:rPr>
        <w:t> </w:t>
      </w:r>
      <w:r>
        <w:rPr>
          <w:color w:val="231F20"/>
          <w:spacing w:val="-2"/>
          <w:sz w:val="19"/>
          <w:vertAlign w:val="baseline"/>
        </w:rPr>
        <w:t>calibrate </w:t>
      </w:r>
      <w:r>
        <w:rPr>
          <w:color w:val="231F20"/>
          <w:sz w:val="19"/>
          <w:vertAlign w:val="baseline"/>
        </w:rPr>
        <w:t>the</w:t>
      </w:r>
      <w:r>
        <w:rPr>
          <w:color w:val="231F20"/>
          <w:spacing w:val="-7"/>
          <w:sz w:val="19"/>
          <w:vertAlign w:val="baseline"/>
        </w:rPr>
        <w:t> </w:t>
      </w:r>
      <w:r>
        <w:rPr>
          <w:color w:val="231F20"/>
          <w:sz w:val="19"/>
          <w:vertAlign w:val="baseline"/>
        </w:rPr>
        <w:t>private</w:t>
      </w:r>
      <w:r>
        <w:rPr>
          <w:color w:val="231F20"/>
          <w:spacing w:val="-8"/>
          <w:sz w:val="19"/>
          <w:vertAlign w:val="baseline"/>
        </w:rPr>
        <w:t> </w:t>
      </w:r>
      <w:r>
        <w:rPr>
          <w:color w:val="231F20"/>
          <w:sz w:val="19"/>
          <w:vertAlign w:val="baseline"/>
        </w:rPr>
        <w:t>law</w:t>
      </w:r>
      <w:r>
        <w:rPr>
          <w:color w:val="231F20"/>
          <w:spacing w:val="-7"/>
          <w:sz w:val="19"/>
          <w:vertAlign w:val="baseline"/>
        </w:rPr>
        <w:t> </w:t>
      </w:r>
      <w:r>
        <w:rPr>
          <w:color w:val="231F20"/>
          <w:sz w:val="19"/>
          <w:vertAlign w:val="baseline"/>
        </w:rPr>
        <w:t>sanction</w:t>
      </w:r>
      <w:r>
        <w:rPr>
          <w:color w:val="231F20"/>
          <w:spacing w:val="-7"/>
          <w:sz w:val="19"/>
          <w:vertAlign w:val="baseline"/>
        </w:rPr>
        <w:t> </w:t>
      </w:r>
      <w:r>
        <w:rPr>
          <w:color w:val="231F20"/>
          <w:sz w:val="19"/>
          <w:vertAlign w:val="baseline"/>
        </w:rPr>
        <w:t>that</w:t>
      </w:r>
      <w:r>
        <w:rPr>
          <w:color w:val="231F20"/>
          <w:spacing w:val="-7"/>
          <w:sz w:val="19"/>
          <w:vertAlign w:val="baseline"/>
        </w:rPr>
        <w:t> </w:t>
      </w:r>
      <w:r>
        <w:rPr>
          <w:color w:val="231F20"/>
          <w:sz w:val="19"/>
          <w:vertAlign w:val="baseline"/>
        </w:rPr>
        <w:t>impedes</w:t>
      </w:r>
      <w:r>
        <w:rPr>
          <w:color w:val="231F20"/>
          <w:spacing w:val="-9"/>
          <w:sz w:val="19"/>
          <w:vertAlign w:val="baseline"/>
        </w:rPr>
        <w:t> </w:t>
      </w:r>
      <w:r>
        <w:rPr>
          <w:color w:val="231F20"/>
          <w:sz w:val="19"/>
          <w:vertAlign w:val="baseline"/>
        </w:rPr>
        <w:t>gap-filling</w:t>
      </w:r>
      <w:r>
        <w:rPr>
          <w:color w:val="231F20"/>
          <w:spacing w:val="-7"/>
          <w:sz w:val="19"/>
          <w:vertAlign w:val="baseline"/>
        </w:rPr>
        <w:t> </w:t>
      </w:r>
      <w:r>
        <w:rPr>
          <w:color w:val="231F20"/>
          <w:sz w:val="19"/>
          <w:vertAlign w:val="baseline"/>
        </w:rPr>
        <w:t>following</w:t>
      </w:r>
      <w:r>
        <w:rPr>
          <w:color w:val="231F20"/>
          <w:spacing w:val="-7"/>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finding</w:t>
      </w:r>
      <w:r>
        <w:rPr>
          <w:color w:val="231F20"/>
          <w:spacing w:val="-7"/>
          <w:sz w:val="19"/>
          <w:vertAlign w:val="baseline"/>
        </w:rPr>
        <w:t> </w:t>
      </w:r>
      <w:r>
        <w:rPr>
          <w:color w:val="231F20"/>
          <w:sz w:val="19"/>
          <w:vertAlign w:val="baseline"/>
        </w:rPr>
        <w:t>of</w:t>
      </w:r>
      <w:r>
        <w:rPr>
          <w:color w:val="231F20"/>
          <w:spacing w:val="-7"/>
          <w:sz w:val="19"/>
          <w:vertAlign w:val="baseline"/>
        </w:rPr>
        <w:t> </w:t>
      </w:r>
      <w:r>
        <w:rPr>
          <w:color w:val="231F20"/>
          <w:sz w:val="19"/>
          <w:vertAlign w:val="baseline"/>
        </w:rPr>
        <w:t>an</w:t>
      </w:r>
      <w:r>
        <w:rPr>
          <w:color w:val="231F20"/>
          <w:spacing w:val="-7"/>
          <w:sz w:val="19"/>
          <w:vertAlign w:val="baseline"/>
        </w:rPr>
        <w:t> </w:t>
      </w:r>
      <w:r>
        <w:rPr>
          <w:color w:val="231F20"/>
          <w:sz w:val="19"/>
          <w:vertAlign w:val="baseline"/>
        </w:rPr>
        <w:t>unfair term. It is claimed here that, even in the absence of an express mention, it is present in its case law.</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The sanction that the ECJ developed is the impossibility of revising the contract</w:t>
      </w:r>
      <w:r>
        <w:rPr>
          <w:color w:val="231F20"/>
          <w:spacing w:val="-7"/>
          <w:sz w:val="19"/>
        </w:rPr>
        <w:t> </w:t>
      </w:r>
      <w:r>
        <w:rPr>
          <w:color w:val="231F20"/>
          <w:sz w:val="19"/>
        </w:rPr>
        <w:t>to</w:t>
      </w:r>
      <w:r>
        <w:rPr>
          <w:color w:val="231F20"/>
          <w:spacing w:val="-6"/>
          <w:sz w:val="19"/>
        </w:rPr>
        <w:t> </w:t>
      </w:r>
      <w:r>
        <w:rPr>
          <w:color w:val="231F20"/>
          <w:sz w:val="19"/>
        </w:rPr>
        <w:t>fill</w:t>
      </w:r>
      <w:r>
        <w:rPr>
          <w:color w:val="231F20"/>
          <w:spacing w:val="-8"/>
          <w:sz w:val="19"/>
        </w:rPr>
        <w:t> </w:t>
      </w:r>
      <w:r>
        <w:rPr>
          <w:color w:val="231F20"/>
          <w:sz w:val="19"/>
        </w:rPr>
        <w:t>in</w:t>
      </w:r>
      <w:r>
        <w:rPr>
          <w:color w:val="231F20"/>
          <w:spacing w:val="-7"/>
          <w:sz w:val="19"/>
        </w:rPr>
        <w:t> </w:t>
      </w:r>
      <w:r>
        <w:rPr>
          <w:color w:val="231F20"/>
          <w:sz w:val="19"/>
        </w:rPr>
        <w:t>the</w:t>
      </w:r>
      <w:r>
        <w:rPr>
          <w:color w:val="231F20"/>
          <w:spacing w:val="-6"/>
          <w:sz w:val="19"/>
        </w:rPr>
        <w:t> </w:t>
      </w:r>
      <w:r>
        <w:rPr>
          <w:color w:val="231F20"/>
          <w:sz w:val="19"/>
        </w:rPr>
        <w:t>gap</w:t>
      </w:r>
      <w:r>
        <w:rPr>
          <w:color w:val="231F20"/>
          <w:spacing w:val="-7"/>
          <w:sz w:val="19"/>
        </w:rPr>
        <w:t> </w:t>
      </w:r>
      <w:r>
        <w:rPr>
          <w:color w:val="231F20"/>
          <w:sz w:val="19"/>
        </w:rPr>
        <w:t>left</w:t>
      </w:r>
      <w:r>
        <w:rPr>
          <w:color w:val="231F20"/>
          <w:spacing w:val="-7"/>
          <w:sz w:val="19"/>
        </w:rPr>
        <w:t> </w:t>
      </w:r>
      <w:r>
        <w:rPr>
          <w:color w:val="231F20"/>
          <w:sz w:val="19"/>
        </w:rPr>
        <w:t>by</w:t>
      </w:r>
      <w:r>
        <w:rPr>
          <w:color w:val="231F20"/>
          <w:spacing w:val="-6"/>
          <w:sz w:val="19"/>
        </w:rPr>
        <w:t> </w:t>
      </w:r>
      <w:r>
        <w:rPr>
          <w:color w:val="231F20"/>
          <w:sz w:val="19"/>
        </w:rPr>
        <w:t>finding</w:t>
      </w:r>
      <w:r>
        <w:rPr>
          <w:color w:val="231F20"/>
          <w:spacing w:val="-5"/>
          <w:sz w:val="19"/>
        </w:rPr>
        <w:t> </w:t>
      </w:r>
      <w:r>
        <w:rPr>
          <w:color w:val="231F20"/>
          <w:sz w:val="19"/>
        </w:rPr>
        <w:t>an</w:t>
      </w:r>
      <w:r>
        <w:rPr>
          <w:color w:val="231F20"/>
          <w:spacing w:val="-7"/>
          <w:sz w:val="19"/>
        </w:rPr>
        <w:t> </w:t>
      </w:r>
      <w:r>
        <w:rPr>
          <w:color w:val="231F20"/>
          <w:sz w:val="19"/>
        </w:rPr>
        <w:t>unfair</w:t>
      </w:r>
      <w:r>
        <w:rPr>
          <w:color w:val="231F20"/>
          <w:spacing w:val="-6"/>
          <w:sz w:val="19"/>
        </w:rPr>
        <w:t> </w:t>
      </w:r>
      <w:r>
        <w:rPr>
          <w:color w:val="231F20"/>
          <w:sz w:val="19"/>
        </w:rPr>
        <w:t>term</w:t>
      </w:r>
      <w:r>
        <w:rPr>
          <w:color w:val="231F20"/>
          <w:spacing w:val="-7"/>
          <w:sz w:val="19"/>
        </w:rPr>
        <w:t> </w:t>
      </w:r>
      <w:r>
        <w:rPr>
          <w:color w:val="231F20"/>
          <w:sz w:val="19"/>
        </w:rPr>
        <w:t>if</w:t>
      </w:r>
      <w:r>
        <w:rPr>
          <w:color w:val="231F20"/>
          <w:spacing w:val="-4"/>
          <w:sz w:val="19"/>
        </w:rPr>
        <w:t> </w:t>
      </w:r>
      <w:r>
        <w:rPr>
          <w:color w:val="231F20"/>
          <w:sz w:val="19"/>
        </w:rPr>
        <w:t>the</w:t>
      </w:r>
      <w:r>
        <w:rPr>
          <w:color w:val="231F20"/>
          <w:spacing w:val="-7"/>
          <w:sz w:val="19"/>
        </w:rPr>
        <w:t> </w:t>
      </w:r>
      <w:r>
        <w:rPr>
          <w:color w:val="231F20"/>
          <w:sz w:val="19"/>
        </w:rPr>
        <w:t>contract</w:t>
      </w:r>
      <w:r>
        <w:rPr>
          <w:color w:val="231F20"/>
          <w:spacing w:val="-7"/>
          <w:sz w:val="19"/>
        </w:rPr>
        <w:t> </w:t>
      </w:r>
      <w:r>
        <w:rPr>
          <w:color w:val="231F20"/>
          <w:sz w:val="19"/>
        </w:rPr>
        <w:t>can</w:t>
      </w:r>
      <w:r>
        <w:rPr>
          <w:color w:val="231F20"/>
          <w:spacing w:val="-7"/>
          <w:sz w:val="19"/>
        </w:rPr>
        <w:t> </w:t>
      </w:r>
      <w:r>
        <w:rPr>
          <w:color w:val="231F20"/>
          <w:sz w:val="19"/>
        </w:rPr>
        <w:t>continue in existence without it. Following the ruling of the ECJ in Case C-618/10, </w:t>
      </w:r>
      <w:r>
        <w:rPr>
          <w:i/>
          <w:color w:val="231F20"/>
          <w:sz w:val="19"/>
        </w:rPr>
        <w:t>Banco</w:t>
      </w:r>
      <w:r>
        <w:rPr>
          <w:i/>
          <w:color w:val="231F20"/>
          <w:sz w:val="19"/>
        </w:rPr>
        <w:t> Español,</w:t>
      </w:r>
      <w:r>
        <w:rPr>
          <w:i/>
          <w:color w:val="231F20"/>
          <w:spacing w:val="-2"/>
          <w:sz w:val="19"/>
        </w:rPr>
        <w:t> </w:t>
      </w:r>
      <w:r>
        <w:rPr>
          <w:color w:val="231F20"/>
          <w:sz w:val="19"/>
        </w:rPr>
        <w:t>and</w:t>
      </w:r>
      <w:r>
        <w:rPr>
          <w:color w:val="231F20"/>
          <w:spacing w:val="-1"/>
          <w:sz w:val="19"/>
        </w:rPr>
        <w:t> </w:t>
      </w:r>
      <w:r>
        <w:rPr>
          <w:color w:val="231F20"/>
          <w:sz w:val="19"/>
        </w:rPr>
        <w:t>those</w:t>
      </w:r>
      <w:r>
        <w:rPr>
          <w:color w:val="231F20"/>
          <w:spacing w:val="-2"/>
          <w:sz w:val="19"/>
        </w:rPr>
        <w:t> </w:t>
      </w:r>
      <w:r>
        <w:rPr>
          <w:color w:val="231F20"/>
          <w:sz w:val="19"/>
        </w:rPr>
        <w:t>that</w:t>
      </w:r>
      <w:r>
        <w:rPr>
          <w:color w:val="231F20"/>
          <w:spacing w:val="-2"/>
          <w:sz w:val="19"/>
        </w:rPr>
        <w:t> </w:t>
      </w:r>
      <w:r>
        <w:rPr>
          <w:color w:val="231F20"/>
          <w:sz w:val="19"/>
        </w:rPr>
        <w:t>relied</w:t>
      </w:r>
      <w:r>
        <w:rPr>
          <w:color w:val="231F20"/>
          <w:spacing w:val="-2"/>
          <w:sz w:val="19"/>
        </w:rPr>
        <w:t> </w:t>
      </w:r>
      <w:r>
        <w:rPr>
          <w:color w:val="231F20"/>
          <w:sz w:val="19"/>
        </w:rPr>
        <w:t>on</w:t>
      </w:r>
      <w:r>
        <w:rPr>
          <w:color w:val="231F20"/>
          <w:spacing w:val="-1"/>
          <w:sz w:val="19"/>
        </w:rPr>
        <w:t> </w:t>
      </w:r>
      <w:r>
        <w:rPr>
          <w:color w:val="231F20"/>
          <w:sz w:val="19"/>
        </w:rPr>
        <w:t>it,</w:t>
      </w:r>
      <w:r>
        <w:rPr>
          <w:color w:val="231F20"/>
          <w:spacing w:val="-1"/>
          <w:sz w:val="19"/>
        </w:rPr>
        <w:t> </w:t>
      </w:r>
      <w:r>
        <w:rPr>
          <w:color w:val="231F20"/>
          <w:sz w:val="19"/>
        </w:rPr>
        <w:t>it</w:t>
      </w:r>
      <w:r>
        <w:rPr>
          <w:color w:val="231F20"/>
          <w:spacing w:val="-2"/>
          <w:sz w:val="19"/>
        </w:rPr>
        <w:t> </w:t>
      </w:r>
      <w:r>
        <w:rPr>
          <w:color w:val="231F20"/>
          <w:sz w:val="19"/>
        </w:rPr>
        <w:t>seemed</w:t>
      </w:r>
      <w:r>
        <w:rPr>
          <w:color w:val="231F20"/>
          <w:spacing w:val="-2"/>
          <w:sz w:val="19"/>
        </w:rPr>
        <w:t> </w:t>
      </w:r>
      <w:r>
        <w:rPr>
          <w:color w:val="231F20"/>
          <w:sz w:val="19"/>
        </w:rPr>
        <w:t>that</w:t>
      </w:r>
      <w:r>
        <w:rPr>
          <w:color w:val="231F20"/>
          <w:spacing w:val="-1"/>
          <w:sz w:val="19"/>
        </w:rPr>
        <w:t> </w:t>
      </w:r>
      <w:r>
        <w:rPr>
          <w:color w:val="231F20"/>
          <w:sz w:val="19"/>
        </w:rPr>
        <w:t>the</w:t>
      </w:r>
      <w:r>
        <w:rPr>
          <w:color w:val="231F20"/>
          <w:spacing w:val="-2"/>
          <w:sz w:val="19"/>
        </w:rPr>
        <w:t> </w:t>
      </w:r>
      <w:r>
        <w:rPr>
          <w:color w:val="231F20"/>
          <w:sz w:val="19"/>
        </w:rPr>
        <w:t>sanction</w:t>
      </w:r>
      <w:r>
        <w:rPr>
          <w:color w:val="231F20"/>
          <w:spacing w:val="-1"/>
          <w:sz w:val="19"/>
        </w:rPr>
        <w:t> </w:t>
      </w:r>
      <w:r>
        <w:rPr>
          <w:color w:val="231F20"/>
          <w:sz w:val="19"/>
        </w:rPr>
        <w:t>had</w:t>
      </w:r>
      <w:r>
        <w:rPr>
          <w:color w:val="231F20"/>
          <w:spacing w:val="-1"/>
          <w:sz w:val="19"/>
        </w:rPr>
        <w:t> </w:t>
      </w:r>
      <w:r>
        <w:rPr>
          <w:color w:val="231F20"/>
          <w:sz w:val="19"/>
        </w:rPr>
        <w:t>to</w:t>
      </w:r>
      <w:r>
        <w:rPr>
          <w:color w:val="231F20"/>
          <w:spacing w:val="-1"/>
          <w:sz w:val="19"/>
        </w:rPr>
        <w:t> </w:t>
      </w:r>
      <w:r>
        <w:rPr>
          <w:color w:val="231F20"/>
          <w:sz w:val="19"/>
        </w:rPr>
        <w:t>be</w:t>
      </w:r>
      <w:r>
        <w:rPr>
          <w:color w:val="231F20"/>
          <w:spacing w:val="-2"/>
          <w:sz w:val="19"/>
        </w:rPr>
        <w:t> </w:t>
      </w:r>
      <w:r>
        <w:rPr>
          <w:color w:val="231F20"/>
          <w:sz w:val="19"/>
        </w:rPr>
        <w:t>applied </w:t>
      </w:r>
      <w:r>
        <w:rPr>
          <w:color w:val="231F20"/>
          <w:spacing w:val="-2"/>
          <w:sz w:val="19"/>
        </w:rPr>
        <w:t>unnuanced.</w:t>
      </w:r>
      <w:r>
        <w:rPr>
          <w:color w:val="231F20"/>
          <w:spacing w:val="-6"/>
          <w:sz w:val="19"/>
        </w:rPr>
        <w:t> </w:t>
      </w:r>
      <w:r>
        <w:rPr>
          <w:color w:val="231F20"/>
          <w:spacing w:val="-2"/>
          <w:sz w:val="19"/>
        </w:rPr>
        <w:t>I</w:t>
      </w:r>
      <w:r>
        <w:rPr>
          <w:color w:val="231F20"/>
          <w:spacing w:val="-6"/>
          <w:sz w:val="19"/>
        </w:rPr>
        <w:t> </w:t>
      </w:r>
      <w:r>
        <w:rPr>
          <w:color w:val="231F20"/>
          <w:spacing w:val="-2"/>
          <w:sz w:val="19"/>
        </w:rPr>
        <w:t>believe</w:t>
      </w:r>
      <w:r>
        <w:rPr>
          <w:color w:val="231F20"/>
          <w:spacing w:val="-7"/>
          <w:sz w:val="19"/>
        </w:rPr>
        <w:t> </w:t>
      </w:r>
      <w:r>
        <w:rPr>
          <w:color w:val="231F20"/>
          <w:spacing w:val="-2"/>
          <w:sz w:val="19"/>
        </w:rPr>
        <w:t>that</w:t>
      </w:r>
      <w:r>
        <w:rPr>
          <w:color w:val="231F20"/>
          <w:spacing w:val="-6"/>
          <w:sz w:val="19"/>
        </w:rPr>
        <w:t> </w:t>
      </w:r>
      <w:r>
        <w:rPr>
          <w:color w:val="231F20"/>
          <w:spacing w:val="-2"/>
          <w:sz w:val="19"/>
        </w:rPr>
        <w:t>pinpointing</w:t>
      </w:r>
      <w:r>
        <w:rPr>
          <w:color w:val="231F20"/>
          <w:spacing w:val="-7"/>
          <w:sz w:val="19"/>
        </w:rPr>
        <w:t> </w:t>
      </w:r>
      <w:r>
        <w:rPr>
          <w:color w:val="231F20"/>
          <w:spacing w:val="-2"/>
          <w:sz w:val="19"/>
        </w:rPr>
        <w:t>some</w:t>
      </w:r>
      <w:r>
        <w:rPr>
          <w:color w:val="231F20"/>
          <w:spacing w:val="-6"/>
          <w:sz w:val="19"/>
        </w:rPr>
        <w:t> </w:t>
      </w:r>
      <w:r>
        <w:rPr>
          <w:color w:val="231F20"/>
          <w:spacing w:val="-2"/>
          <w:sz w:val="19"/>
        </w:rPr>
        <w:t>distinctions</w:t>
      </w:r>
      <w:r>
        <w:rPr>
          <w:color w:val="231F20"/>
          <w:spacing w:val="-6"/>
          <w:sz w:val="19"/>
        </w:rPr>
        <w:t> </w:t>
      </w:r>
      <w:r>
        <w:rPr>
          <w:color w:val="231F20"/>
          <w:spacing w:val="-2"/>
          <w:sz w:val="19"/>
        </w:rPr>
        <w:t>could</w:t>
      </w:r>
      <w:r>
        <w:rPr>
          <w:color w:val="231F20"/>
          <w:spacing w:val="-5"/>
          <w:sz w:val="19"/>
        </w:rPr>
        <w:t> </w:t>
      </w:r>
      <w:r>
        <w:rPr>
          <w:color w:val="231F20"/>
          <w:spacing w:val="-2"/>
          <w:sz w:val="19"/>
        </w:rPr>
        <w:t>help</w:t>
      </w:r>
      <w:r>
        <w:rPr>
          <w:color w:val="231F20"/>
          <w:spacing w:val="-6"/>
          <w:sz w:val="19"/>
        </w:rPr>
        <w:t> </w:t>
      </w:r>
      <w:r>
        <w:rPr>
          <w:color w:val="231F20"/>
          <w:spacing w:val="-2"/>
          <w:sz w:val="19"/>
        </w:rPr>
        <w:t>to</w:t>
      </w:r>
      <w:r>
        <w:rPr>
          <w:color w:val="231F20"/>
          <w:spacing w:val="-5"/>
          <w:sz w:val="19"/>
        </w:rPr>
        <w:t> </w:t>
      </w:r>
      <w:r>
        <w:rPr>
          <w:color w:val="231F20"/>
          <w:spacing w:val="-2"/>
          <w:sz w:val="19"/>
        </w:rPr>
        <w:t>better</w:t>
      </w:r>
      <w:r>
        <w:rPr>
          <w:color w:val="231F20"/>
          <w:spacing w:val="-6"/>
          <w:sz w:val="19"/>
        </w:rPr>
        <w:t> </w:t>
      </w:r>
      <w:r>
        <w:rPr>
          <w:color w:val="231F20"/>
          <w:spacing w:val="-2"/>
          <w:sz w:val="19"/>
        </w:rPr>
        <w:t>under- </w:t>
      </w:r>
      <w:r>
        <w:rPr>
          <w:color w:val="231F20"/>
          <w:sz w:val="19"/>
        </w:rPr>
        <w:t>stand the case law of the Court.</w:t>
      </w:r>
    </w:p>
    <w:p>
      <w:pPr>
        <w:pStyle w:val="ListParagraph"/>
        <w:numPr>
          <w:ilvl w:val="0"/>
          <w:numId w:val="4"/>
        </w:numPr>
        <w:tabs>
          <w:tab w:pos="871" w:val="left" w:leader="none"/>
          <w:tab w:pos="1323" w:val="left" w:leader="none"/>
        </w:tabs>
        <w:spacing w:line="288" w:lineRule="auto" w:before="121" w:after="0"/>
        <w:ind w:left="871" w:right="867" w:hanging="1"/>
        <w:jc w:val="both"/>
        <w:rPr>
          <w:sz w:val="19"/>
        </w:rPr>
      </w:pPr>
      <w:r>
        <w:rPr>
          <w:color w:val="231F20"/>
          <w:sz w:val="19"/>
        </w:rPr>
        <w:t>In</w:t>
      </w:r>
      <w:r>
        <w:rPr>
          <w:color w:val="231F20"/>
          <w:spacing w:val="-12"/>
          <w:sz w:val="19"/>
        </w:rPr>
        <w:t> </w:t>
      </w:r>
      <w:r>
        <w:rPr>
          <w:color w:val="231F20"/>
          <w:sz w:val="19"/>
        </w:rPr>
        <w:t>Case</w:t>
      </w:r>
      <w:r>
        <w:rPr>
          <w:color w:val="231F20"/>
          <w:spacing w:val="-11"/>
          <w:sz w:val="19"/>
        </w:rPr>
        <w:t> </w:t>
      </w:r>
      <w:r>
        <w:rPr>
          <w:color w:val="231F20"/>
          <w:sz w:val="19"/>
        </w:rPr>
        <w:t>C-618/10,</w:t>
      </w:r>
      <w:r>
        <w:rPr>
          <w:color w:val="231F20"/>
          <w:spacing w:val="-12"/>
          <w:sz w:val="19"/>
        </w:rPr>
        <w:t> </w:t>
      </w:r>
      <w:r>
        <w:rPr>
          <w:i/>
          <w:color w:val="231F20"/>
          <w:sz w:val="19"/>
        </w:rPr>
        <w:t>Banco</w:t>
      </w:r>
      <w:r>
        <w:rPr>
          <w:i/>
          <w:color w:val="231F20"/>
          <w:spacing w:val="-11"/>
          <w:sz w:val="19"/>
        </w:rPr>
        <w:t> </w:t>
      </w:r>
      <w:r>
        <w:rPr>
          <w:i/>
          <w:color w:val="231F20"/>
          <w:sz w:val="19"/>
        </w:rPr>
        <w:t>Español</w:t>
      </w:r>
      <w:r>
        <w:rPr>
          <w:color w:val="231F20"/>
          <w:sz w:val="19"/>
        </w:rPr>
        <w:t>,</w:t>
      </w:r>
      <w:r>
        <w:rPr>
          <w:color w:val="231F20"/>
          <w:spacing w:val="-12"/>
          <w:sz w:val="19"/>
        </w:rPr>
        <w:t> </w:t>
      </w:r>
      <w:r>
        <w:rPr>
          <w:color w:val="231F20"/>
          <w:sz w:val="19"/>
        </w:rPr>
        <w:t>the</w:t>
      </w:r>
      <w:r>
        <w:rPr>
          <w:color w:val="231F20"/>
          <w:spacing w:val="-11"/>
          <w:sz w:val="19"/>
        </w:rPr>
        <w:t> </w:t>
      </w:r>
      <w:r>
        <w:rPr>
          <w:color w:val="231F20"/>
          <w:sz w:val="19"/>
        </w:rPr>
        <w:t>ECJ</w:t>
      </w:r>
      <w:r>
        <w:rPr>
          <w:color w:val="231F20"/>
          <w:spacing w:val="-12"/>
          <w:sz w:val="19"/>
        </w:rPr>
        <w:t> </w:t>
      </w:r>
      <w:r>
        <w:rPr>
          <w:color w:val="231F20"/>
          <w:sz w:val="19"/>
        </w:rPr>
        <w:t>had</w:t>
      </w:r>
      <w:r>
        <w:rPr>
          <w:color w:val="231F20"/>
          <w:spacing w:val="-11"/>
          <w:sz w:val="19"/>
        </w:rPr>
        <w:t> </w:t>
      </w:r>
      <w:r>
        <w:rPr>
          <w:color w:val="231F20"/>
          <w:sz w:val="19"/>
        </w:rPr>
        <w:t>to</w:t>
      </w:r>
      <w:r>
        <w:rPr>
          <w:color w:val="231F20"/>
          <w:spacing w:val="-12"/>
          <w:sz w:val="19"/>
        </w:rPr>
        <w:t> </w:t>
      </w:r>
      <w:r>
        <w:rPr>
          <w:color w:val="231F20"/>
          <w:sz w:val="19"/>
        </w:rPr>
        <w:t>deal</w:t>
      </w:r>
      <w:r>
        <w:rPr>
          <w:color w:val="231F20"/>
          <w:spacing w:val="-11"/>
          <w:sz w:val="19"/>
        </w:rPr>
        <w:t> </w:t>
      </w:r>
      <w:r>
        <w:rPr>
          <w:color w:val="231F20"/>
          <w:sz w:val="19"/>
        </w:rPr>
        <w:t>with</w:t>
      </w:r>
      <w:r>
        <w:rPr>
          <w:color w:val="231F20"/>
          <w:spacing w:val="-12"/>
          <w:sz w:val="19"/>
        </w:rPr>
        <w:t> </w:t>
      </w:r>
      <w:r>
        <w:rPr>
          <w:color w:val="231F20"/>
          <w:sz w:val="19"/>
        </w:rPr>
        <w:t>the</w:t>
      </w:r>
      <w:r>
        <w:rPr>
          <w:color w:val="231F20"/>
          <w:spacing w:val="-11"/>
          <w:sz w:val="19"/>
        </w:rPr>
        <w:t> </w:t>
      </w:r>
      <w:r>
        <w:rPr>
          <w:color w:val="231F20"/>
          <w:sz w:val="19"/>
        </w:rPr>
        <w:t>consequences of a default interest rate that was found to be unfair. The national court had integrated the gap with reference to a combination of statutory interest rates.</w:t>
      </w:r>
      <w:r>
        <w:rPr>
          <w:color w:val="231F20"/>
          <w:spacing w:val="80"/>
          <w:sz w:val="19"/>
        </w:rPr>
        <w:t> </w:t>
      </w:r>
      <w:r>
        <w:rPr>
          <w:color w:val="231F20"/>
          <w:sz w:val="19"/>
        </w:rPr>
        <w:t>The</w:t>
      </w:r>
      <w:r>
        <w:rPr>
          <w:color w:val="231F20"/>
          <w:spacing w:val="-10"/>
          <w:sz w:val="19"/>
        </w:rPr>
        <w:t> </w:t>
      </w:r>
      <w:r>
        <w:rPr>
          <w:color w:val="231F20"/>
          <w:sz w:val="19"/>
        </w:rPr>
        <w:t>ECJ</w:t>
      </w:r>
      <w:r>
        <w:rPr>
          <w:color w:val="231F20"/>
          <w:spacing w:val="-10"/>
          <w:sz w:val="19"/>
        </w:rPr>
        <w:t> </w:t>
      </w:r>
      <w:r>
        <w:rPr>
          <w:color w:val="231F20"/>
          <w:sz w:val="19"/>
        </w:rPr>
        <w:t>rejected</w:t>
      </w:r>
      <w:r>
        <w:rPr>
          <w:color w:val="231F20"/>
          <w:spacing w:val="-11"/>
          <w:sz w:val="19"/>
        </w:rPr>
        <w:t> </w:t>
      </w:r>
      <w:r>
        <w:rPr>
          <w:color w:val="231F20"/>
          <w:sz w:val="19"/>
        </w:rPr>
        <w:t>that</w:t>
      </w:r>
      <w:r>
        <w:rPr>
          <w:color w:val="231F20"/>
          <w:spacing w:val="-10"/>
          <w:sz w:val="19"/>
        </w:rPr>
        <w:t> </w:t>
      </w:r>
      <w:r>
        <w:rPr>
          <w:color w:val="231F20"/>
          <w:sz w:val="19"/>
        </w:rPr>
        <w:t>interpretation</w:t>
      </w:r>
      <w:r>
        <w:rPr>
          <w:color w:val="231F20"/>
          <w:spacing w:val="-11"/>
          <w:sz w:val="19"/>
        </w:rPr>
        <w:t> </w:t>
      </w:r>
      <w:r>
        <w:rPr>
          <w:color w:val="231F20"/>
          <w:sz w:val="19"/>
        </w:rPr>
        <w:t>of</w:t>
      </w:r>
      <w:r>
        <w:rPr>
          <w:color w:val="231F20"/>
          <w:spacing w:val="-8"/>
          <w:sz w:val="19"/>
        </w:rPr>
        <w:t> </w:t>
      </w:r>
      <w:r>
        <w:rPr>
          <w:color w:val="231F20"/>
          <w:sz w:val="19"/>
        </w:rPr>
        <w:t>the</w:t>
      </w:r>
      <w:r>
        <w:rPr>
          <w:color w:val="231F20"/>
          <w:spacing w:val="-11"/>
          <w:sz w:val="19"/>
        </w:rPr>
        <w:t> </w:t>
      </w:r>
      <w:r>
        <w:rPr>
          <w:color w:val="231F20"/>
          <w:sz w:val="19"/>
        </w:rPr>
        <w:t>UCTD</w:t>
      </w:r>
      <w:r>
        <w:rPr>
          <w:color w:val="231F20"/>
          <w:spacing w:val="-10"/>
          <w:sz w:val="19"/>
        </w:rPr>
        <w:t> </w:t>
      </w:r>
      <w:r>
        <w:rPr>
          <w:color w:val="231F20"/>
          <w:sz w:val="19"/>
        </w:rPr>
        <w:t>as</w:t>
      </w:r>
      <w:r>
        <w:rPr>
          <w:color w:val="231F20"/>
          <w:spacing w:val="-10"/>
          <w:sz w:val="19"/>
        </w:rPr>
        <w:t> </w:t>
      </w:r>
      <w:r>
        <w:rPr>
          <w:color w:val="231F20"/>
          <w:sz w:val="19"/>
        </w:rPr>
        <w:t>it</w:t>
      </w:r>
      <w:r>
        <w:rPr>
          <w:color w:val="231F20"/>
          <w:spacing w:val="-11"/>
          <w:sz w:val="19"/>
        </w:rPr>
        <w:t> </w:t>
      </w:r>
      <w:r>
        <w:rPr>
          <w:color w:val="231F20"/>
          <w:sz w:val="19"/>
        </w:rPr>
        <w:t>would</w:t>
      </w:r>
      <w:r>
        <w:rPr>
          <w:color w:val="231F20"/>
          <w:spacing w:val="-12"/>
          <w:sz w:val="19"/>
        </w:rPr>
        <w:t> </w:t>
      </w:r>
      <w:r>
        <w:rPr>
          <w:color w:val="231F20"/>
          <w:sz w:val="19"/>
        </w:rPr>
        <w:t>hinder</w:t>
      </w:r>
      <w:r>
        <w:rPr>
          <w:color w:val="231F20"/>
          <w:spacing w:val="-11"/>
          <w:sz w:val="19"/>
        </w:rPr>
        <w:t> </w:t>
      </w:r>
      <w:r>
        <w:rPr>
          <w:color w:val="231F20"/>
          <w:sz w:val="19"/>
        </w:rPr>
        <w:t>the</w:t>
      </w:r>
      <w:r>
        <w:rPr>
          <w:color w:val="231F20"/>
          <w:spacing w:val="-10"/>
          <w:sz w:val="19"/>
        </w:rPr>
        <w:t> </w:t>
      </w:r>
      <w:r>
        <w:rPr>
          <w:color w:val="231F20"/>
          <w:sz w:val="19"/>
        </w:rPr>
        <w:t>dissuasive aims</w:t>
      </w:r>
      <w:r>
        <w:rPr>
          <w:color w:val="231F20"/>
          <w:spacing w:val="-5"/>
          <w:sz w:val="19"/>
        </w:rPr>
        <w:t> </w:t>
      </w:r>
      <w:r>
        <w:rPr>
          <w:color w:val="231F20"/>
          <w:sz w:val="19"/>
        </w:rPr>
        <w:t>of</w:t>
      </w:r>
      <w:r>
        <w:rPr>
          <w:color w:val="231F20"/>
          <w:spacing w:val="-5"/>
          <w:sz w:val="19"/>
        </w:rPr>
        <w:t> </w:t>
      </w:r>
      <w:r>
        <w:rPr>
          <w:color w:val="231F20"/>
          <w:sz w:val="19"/>
        </w:rPr>
        <w:t>Articles</w:t>
      </w:r>
      <w:r>
        <w:rPr>
          <w:color w:val="231F20"/>
          <w:spacing w:val="-5"/>
          <w:sz w:val="19"/>
        </w:rPr>
        <w:t> </w:t>
      </w:r>
      <w:r>
        <w:rPr>
          <w:color w:val="231F20"/>
          <w:sz w:val="19"/>
        </w:rPr>
        <w:t>6(1)</w:t>
      </w:r>
      <w:r>
        <w:rPr>
          <w:color w:val="231F20"/>
          <w:spacing w:val="-4"/>
          <w:sz w:val="19"/>
        </w:rPr>
        <w:t> </w:t>
      </w:r>
      <w:r>
        <w:rPr>
          <w:color w:val="231F20"/>
          <w:sz w:val="19"/>
        </w:rPr>
        <w:t>and</w:t>
      </w:r>
      <w:r>
        <w:rPr>
          <w:color w:val="231F20"/>
          <w:spacing w:val="-5"/>
          <w:sz w:val="19"/>
        </w:rPr>
        <w:t> </w:t>
      </w:r>
      <w:r>
        <w:rPr>
          <w:color w:val="231F20"/>
          <w:sz w:val="19"/>
        </w:rPr>
        <w:t>7(1)</w:t>
      </w:r>
      <w:r>
        <w:rPr>
          <w:color w:val="231F20"/>
          <w:spacing w:val="-4"/>
          <w:sz w:val="19"/>
        </w:rPr>
        <w:t> </w:t>
      </w:r>
      <w:r>
        <w:rPr>
          <w:color w:val="231F20"/>
          <w:sz w:val="19"/>
        </w:rPr>
        <w:t>UCTD.</w:t>
      </w:r>
      <w:r>
        <w:rPr>
          <w:color w:val="231F20"/>
          <w:spacing w:val="-4"/>
          <w:sz w:val="19"/>
        </w:rPr>
        <w:t> </w:t>
      </w:r>
      <w:r>
        <w:rPr>
          <w:color w:val="231F20"/>
          <w:sz w:val="19"/>
        </w:rPr>
        <w:t>The</w:t>
      </w:r>
      <w:r>
        <w:rPr>
          <w:color w:val="231F20"/>
          <w:spacing w:val="-5"/>
          <w:sz w:val="19"/>
        </w:rPr>
        <w:t> </w:t>
      </w:r>
      <w:r>
        <w:rPr>
          <w:color w:val="231F20"/>
          <w:sz w:val="19"/>
        </w:rPr>
        <w:t>ruling</w:t>
      </w:r>
      <w:r>
        <w:rPr>
          <w:color w:val="231F20"/>
          <w:spacing w:val="-4"/>
          <w:sz w:val="19"/>
        </w:rPr>
        <w:t> </w:t>
      </w:r>
      <w:r>
        <w:rPr>
          <w:color w:val="231F20"/>
          <w:sz w:val="19"/>
        </w:rPr>
        <w:t>in</w:t>
      </w:r>
      <w:r>
        <w:rPr>
          <w:color w:val="231F20"/>
          <w:spacing w:val="-5"/>
          <w:sz w:val="19"/>
        </w:rPr>
        <w:t> </w:t>
      </w:r>
      <w:r>
        <w:rPr>
          <w:i/>
          <w:color w:val="231F20"/>
          <w:sz w:val="19"/>
        </w:rPr>
        <w:t>Banco</w:t>
      </w:r>
      <w:r>
        <w:rPr>
          <w:i/>
          <w:color w:val="231F20"/>
          <w:spacing w:val="-5"/>
          <w:sz w:val="19"/>
        </w:rPr>
        <w:t> </w:t>
      </w:r>
      <w:r>
        <w:rPr>
          <w:i/>
          <w:color w:val="231F20"/>
          <w:sz w:val="19"/>
        </w:rPr>
        <w:t>Español</w:t>
      </w:r>
      <w:r>
        <w:rPr>
          <w:i/>
          <w:color w:val="231F20"/>
          <w:spacing w:val="-5"/>
          <w:sz w:val="19"/>
        </w:rPr>
        <w:t> </w:t>
      </w:r>
      <w:r>
        <w:rPr>
          <w:color w:val="231F20"/>
          <w:sz w:val="19"/>
        </w:rPr>
        <w:t>has</w:t>
      </w:r>
      <w:r>
        <w:rPr>
          <w:color w:val="231F20"/>
          <w:spacing w:val="-4"/>
          <w:sz w:val="19"/>
        </w:rPr>
        <w:t> </w:t>
      </w:r>
      <w:r>
        <w:rPr>
          <w:color w:val="231F20"/>
          <w:spacing w:val="-2"/>
          <w:sz w:val="19"/>
        </w:rPr>
        <w:t>consistently</w:t>
      </w:r>
    </w:p>
    <w:p>
      <w:pPr>
        <w:pStyle w:val="BodyText"/>
        <w:rPr>
          <w:sz w:val="20"/>
        </w:rPr>
      </w:pPr>
    </w:p>
    <w:p>
      <w:pPr>
        <w:pStyle w:val="BodyText"/>
        <w:spacing w:before="43"/>
        <w:rPr>
          <w:sz w:val="20"/>
        </w:rPr>
      </w:pPr>
      <w:r>
        <w:rPr/>
        <mc:AlternateContent>
          <mc:Choice Requires="wps">
            <w:drawing>
              <wp:anchor distT="0" distB="0" distL="0" distR="0" allowOverlap="1" layoutInCell="1" locked="0" behindDoc="1" simplePos="0" relativeHeight="487599104">
                <wp:simplePos x="0" y="0"/>
                <wp:positionH relativeFrom="page">
                  <wp:posOffset>1979993</wp:posOffset>
                </wp:positionH>
                <wp:positionV relativeFrom="paragraph">
                  <wp:posOffset>187164</wp:posOffset>
                </wp:positionV>
                <wp:extent cx="1656080" cy="4445"/>
                <wp:effectExtent l="0" t="0" r="0" b="0"/>
                <wp:wrapTopAndBottom/>
                <wp:docPr id="25" name="Graphic 25"/>
                <wp:cNvGraphicFramePr>
                  <a:graphicFrameLocks/>
                </wp:cNvGraphicFramePr>
                <a:graphic>
                  <a:graphicData uri="http://schemas.microsoft.com/office/word/2010/wordprocessingShape">
                    <wps:wsp>
                      <wps:cNvPr id="25" name="Graphic 25"/>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4.737373pt;width:130.394pt;height:.34015pt;mso-position-horizontal-relative:page;mso-position-vertical-relative:paragraph;z-index:-15717376;mso-wrap-distance-left:0;mso-wrap-distance-right:0" id="docshape25"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5" w:val="left" w:leader="none"/>
        </w:tabs>
        <w:spacing w:line="240" w:lineRule="auto" w:before="1" w:after="0"/>
        <w:ind w:left="865" w:right="0" w:hanging="353"/>
        <w:jc w:val="left"/>
        <w:rPr>
          <w:sz w:val="16"/>
        </w:rPr>
      </w:pPr>
      <w:r>
        <w:rPr>
          <w:color w:val="231F20"/>
          <w:sz w:val="16"/>
        </w:rPr>
        <w:t>C.</w:t>
      </w:r>
      <w:r>
        <w:rPr>
          <w:color w:val="231F20"/>
          <w:spacing w:val="5"/>
          <w:sz w:val="16"/>
        </w:rPr>
        <w:t> </w:t>
      </w:r>
      <w:r>
        <w:rPr>
          <w:color w:val="231F20"/>
          <w:sz w:val="16"/>
        </w:rPr>
        <w:t>P</w:t>
      </w:r>
      <w:r>
        <w:rPr>
          <w:color w:val="231F20"/>
          <w:sz w:val="11"/>
        </w:rPr>
        <w:t>AVILLON</w:t>
      </w:r>
      <w:r>
        <w:rPr>
          <w:color w:val="231F20"/>
          <w:sz w:val="16"/>
        </w:rPr>
        <w:t>,</w:t>
      </w:r>
      <w:r>
        <w:rPr>
          <w:color w:val="231F20"/>
          <w:spacing w:val="6"/>
          <w:sz w:val="16"/>
        </w:rPr>
        <w:t> </w:t>
      </w:r>
      <w:r>
        <w:rPr>
          <w:rFonts w:ascii="Arial" w:hAnsi="Arial"/>
          <w:color w:val="231F20"/>
          <w:sz w:val="16"/>
        </w:rPr>
        <w:t>‘</w:t>
      </w:r>
      <w:r>
        <w:rPr>
          <w:color w:val="231F20"/>
          <w:sz w:val="16"/>
        </w:rPr>
        <w:t>Private</w:t>
      </w:r>
      <w:r>
        <w:rPr>
          <w:color w:val="231F20"/>
          <w:spacing w:val="5"/>
          <w:sz w:val="16"/>
        </w:rPr>
        <w:t> </w:t>
      </w:r>
      <w:r>
        <w:rPr>
          <w:color w:val="231F20"/>
          <w:sz w:val="16"/>
        </w:rPr>
        <w:t>Enforcement</w:t>
      </w:r>
      <w:r>
        <w:rPr>
          <w:rFonts w:ascii="Arial" w:hAnsi="Arial"/>
          <w:color w:val="231F20"/>
          <w:sz w:val="16"/>
        </w:rPr>
        <w:t>’</w:t>
      </w:r>
      <w:r>
        <w:rPr>
          <w:color w:val="231F20"/>
          <w:sz w:val="16"/>
        </w:rPr>
        <w:t>,</w:t>
      </w:r>
      <w:r>
        <w:rPr>
          <w:color w:val="231F20"/>
          <w:spacing w:val="6"/>
          <w:sz w:val="16"/>
        </w:rPr>
        <w:t> </w:t>
      </w:r>
      <w:r>
        <w:rPr>
          <w:color w:val="231F20"/>
          <w:sz w:val="16"/>
        </w:rPr>
        <w:t>p</w:t>
      </w:r>
      <w:r>
        <w:rPr>
          <w:color w:val="231F20"/>
          <w:spacing w:val="5"/>
          <w:sz w:val="16"/>
        </w:rPr>
        <w:t> </w:t>
      </w:r>
      <w:r>
        <w:rPr>
          <w:color w:val="231F20"/>
          <w:spacing w:val="-2"/>
          <w:sz w:val="16"/>
        </w:rPr>
        <w:t>1304.</w:t>
      </w:r>
    </w:p>
    <w:p>
      <w:pPr>
        <w:pStyle w:val="ListParagraph"/>
        <w:numPr>
          <w:ilvl w:val="0"/>
          <w:numId w:val="3"/>
        </w:numPr>
        <w:tabs>
          <w:tab w:pos="866" w:val="left" w:leader="none"/>
        </w:tabs>
        <w:spacing w:line="288" w:lineRule="auto" w:before="37" w:after="0"/>
        <w:ind w:left="866" w:right="868" w:hanging="354"/>
        <w:jc w:val="both"/>
        <w:rPr>
          <w:sz w:val="16"/>
        </w:rPr>
      </w:pPr>
      <w:r>
        <w:rPr>
          <w:color w:val="231F20"/>
          <w:sz w:val="16"/>
        </w:rPr>
        <w:t>On the latter, for Dir. 2011/83, see ECLI:EU:C:2019:576, </w:t>
      </w:r>
      <w:r>
        <w:rPr>
          <w:i/>
          <w:color w:val="231F20"/>
          <w:sz w:val="16"/>
        </w:rPr>
        <w:t>Amazon</w:t>
      </w:r>
      <w:r>
        <w:rPr>
          <w:color w:val="231F20"/>
          <w:sz w:val="16"/>
        </w:rPr>
        <w:t>, curia.europa.eu/juris/liste.</w:t>
      </w:r>
      <w:r>
        <w:rPr>
          <w:color w:val="231F20"/>
          <w:spacing w:val="40"/>
          <w:sz w:val="16"/>
        </w:rPr>
        <w:t> </w:t>
      </w:r>
      <w:r>
        <w:rPr>
          <w:color w:val="231F20"/>
          <w:sz w:val="16"/>
        </w:rPr>
        <w:t>jsf?num=C-649/17, para. 44.</w:t>
      </w:r>
    </w:p>
    <w:p>
      <w:pPr>
        <w:pStyle w:val="ListParagraph"/>
        <w:numPr>
          <w:ilvl w:val="0"/>
          <w:numId w:val="3"/>
        </w:numPr>
        <w:tabs>
          <w:tab w:pos="866" w:val="left" w:leader="none"/>
        </w:tabs>
        <w:spacing w:line="283" w:lineRule="auto" w:before="0" w:after="0"/>
        <w:ind w:left="866" w:right="869" w:hanging="354"/>
        <w:jc w:val="both"/>
        <w:rPr>
          <w:sz w:val="16"/>
        </w:rPr>
      </w:pPr>
      <w:r>
        <w:rPr>
          <w:color w:val="231F20"/>
          <w:sz w:val="16"/>
        </w:rPr>
        <w:t>C. P</w:t>
      </w:r>
      <w:r>
        <w:rPr>
          <w:color w:val="231F20"/>
          <w:sz w:val="11"/>
        </w:rPr>
        <w:t>AVILLON</w:t>
      </w:r>
      <w:r>
        <w:rPr>
          <w:color w:val="231F20"/>
          <w:sz w:val="16"/>
        </w:rPr>
        <w:t>, </w:t>
      </w:r>
      <w:r>
        <w:rPr>
          <w:rFonts w:ascii="Arial" w:hAnsi="Arial"/>
          <w:color w:val="231F20"/>
          <w:sz w:val="16"/>
        </w:rPr>
        <w:t>‘</w:t>
      </w:r>
      <w:r>
        <w:rPr>
          <w:color w:val="231F20"/>
          <w:sz w:val="16"/>
        </w:rPr>
        <w:t>Private Enforcement</w:t>
      </w:r>
      <w:r>
        <w:rPr>
          <w:rFonts w:ascii="Arial" w:hAnsi="Arial"/>
          <w:color w:val="231F20"/>
          <w:sz w:val="16"/>
        </w:rPr>
        <w:t>’</w:t>
      </w:r>
      <w:r>
        <w:rPr>
          <w:color w:val="231F20"/>
          <w:sz w:val="16"/>
        </w:rPr>
        <w:t>, pp 1326</w:t>
      </w:r>
      <w:r>
        <w:rPr>
          <w:rFonts w:ascii="Arial" w:hAnsi="Arial"/>
          <w:color w:val="231F20"/>
          <w:sz w:val="16"/>
        </w:rPr>
        <w:t>–</w:t>
      </w:r>
      <w:r>
        <w:rPr>
          <w:color w:val="231F20"/>
          <w:sz w:val="16"/>
        </w:rPr>
        <w:t>1328. F. C</w:t>
      </w:r>
      <w:r>
        <w:rPr>
          <w:color w:val="231F20"/>
          <w:sz w:val="11"/>
        </w:rPr>
        <w:t>AFAGGI</w:t>
      </w:r>
      <w:r>
        <w:rPr>
          <w:color w:val="231F20"/>
          <w:spacing w:val="38"/>
          <w:sz w:val="11"/>
        </w:rPr>
        <w:t> </w:t>
      </w:r>
      <w:r>
        <w:rPr>
          <w:color w:val="231F20"/>
          <w:sz w:val="16"/>
        </w:rPr>
        <w:t>&amp; P. I</w:t>
      </w:r>
      <w:r>
        <w:rPr>
          <w:color w:val="231F20"/>
          <w:sz w:val="11"/>
        </w:rPr>
        <w:t>AMICELI</w:t>
      </w:r>
      <w:r>
        <w:rPr>
          <w:color w:val="231F20"/>
          <w:sz w:val="16"/>
        </w:rPr>
        <w:t>, </w:t>
      </w:r>
      <w:r>
        <w:rPr>
          <w:rFonts w:ascii="Arial" w:hAnsi="Arial"/>
          <w:color w:val="231F20"/>
          <w:sz w:val="16"/>
        </w:rPr>
        <w:t>‘</w:t>
      </w:r>
      <w:r>
        <w:rPr>
          <w:color w:val="231F20"/>
          <w:sz w:val="16"/>
        </w:rPr>
        <w:t>The Principles of</w:t>
      </w:r>
      <w:r>
        <w:rPr>
          <w:color w:val="231F20"/>
          <w:spacing w:val="40"/>
          <w:sz w:val="16"/>
        </w:rPr>
        <w:t> </w:t>
      </w:r>
      <w:r>
        <w:rPr>
          <w:color w:val="231F20"/>
          <w:sz w:val="16"/>
        </w:rPr>
        <w:t>Effectiveness, Proportionality and Dissuasiveness</w:t>
      </w:r>
      <w:r>
        <w:rPr>
          <w:rFonts w:ascii="Arial" w:hAnsi="Arial"/>
          <w:color w:val="231F20"/>
          <w:sz w:val="16"/>
        </w:rPr>
        <w:t>’</w:t>
      </w:r>
      <w:r>
        <w:rPr>
          <w:color w:val="231F20"/>
          <w:sz w:val="16"/>
        </w:rPr>
        <w:t>, p 601.</w:t>
      </w:r>
    </w:p>
    <w:p>
      <w:pPr>
        <w:pStyle w:val="ListParagraph"/>
        <w:numPr>
          <w:ilvl w:val="0"/>
          <w:numId w:val="3"/>
        </w:numPr>
        <w:tabs>
          <w:tab w:pos="866" w:val="left" w:leader="none"/>
        </w:tabs>
        <w:spacing w:line="283" w:lineRule="auto" w:before="0" w:after="0"/>
        <w:ind w:left="866" w:right="869" w:hanging="354"/>
        <w:jc w:val="both"/>
        <w:rPr>
          <w:sz w:val="16"/>
        </w:rPr>
      </w:pPr>
      <w:r>
        <w:rPr>
          <w:color w:val="231F20"/>
          <w:sz w:val="16"/>
        </w:rPr>
        <w:t>See H. S</w:t>
      </w:r>
      <w:r>
        <w:rPr>
          <w:color w:val="231F20"/>
          <w:sz w:val="11"/>
        </w:rPr>
        <w:t>CHULTE</w:t>
      </w:r>
      <w:r>
        <w:rPr>
          <w:color w:val="231F20"/>
          <w:sz w:val="16"/>
        </w:rPr>
        <w:t>-N</w:t>
      </w:r>
      <w:r>
        <w:rPr>
          <w:color w:val="231F20"/>
          <w:sz w:val="11"/>
        </w:rPr>
        <w:t>ÖLKE</w:t>
      </w:r>
      <w:r>
        <w:rPr>
          <w:color w:val="231F20"/>
          <w:sz w:val="16"/>
        </w:rPr>
        <w:t>, </w:t>
      </w:r>
      <w:r>
        <w:rPr>
          <w:rFonts w:ascii="Arial" w:hAnsi="Arial"/>
          <w:color w:val="231F20"/>
          <w:sz w:val="16"/>
        </w:rPr>
        <w:t>‘</w:t>
      </w:r>
      <w:r>
        <w:rPr>
          <w:color w:val="231F20"/>
          <w:sz w:val="16"/>
        </w:rPr>
        <w:t>The objectives of Directive 93/13/EEC on Unfair Contract Terms </w:t>
      </w:r>
      <w:r>
        <w:rPr>
          <w:rFonts w:ascii="Arial" w:hAnsi="Arial"/>
          <w:color w:val="231F20"/>
          <w:sz w:val="16"/>
        </w:rPr>
        <w:t>– </w:t>
      </w:r>
      <w:r>
        <w:rPr>
          <w:color w:val="231F20"/>
          <w:sz w:val="16"/>
        </w:rPr>
        <w:t>an</w:t>
      </w:r>
      <w:r>
        <w:rPr>
          <w:color w:val="231F20"/>
          <w:spacing w:val="40"/>
          <w:sz w:val="16"/>
        </w:rPr>
        <w:t> </w:t>
      </w:r>
      <w:r>
        <w:rPr>
          <w:color w:val="231F20"/>
          <w:sz w:val="16"/>
        </w:rPr>
        <w:t>overview after 30 years of case law</w:t>
      </w:r>
      <w:r>
        <w:rPr>
          <w:rFonts w:ascii="Arial" w:hAnsi="Arial"/>
          <w:color w:val="231F20"/>
          <w:sz w:val="16"/>
        </w:rPr>
        <w:t>’</w:t>
      </w:r>
      <w:r>
        <w:rPr>
          <w:color w:val="231F20"/>
          <w:sz w:val="16"/>
        </w:rPr>
        <w:t>, in this issue.</w:t>
      </w:r>
    </w:p>
    <w:p>
      <w:pPr>
        <w:pStyle w:val="ListParagraph"/>
        <w:numPr>
          <w:ilvl w:val="0"/>
          <w:numId w:val="3"/>
        </w:numPr>
        <w:tabs>
          <w:tab w:pos="866" w:val="left" w:leader="none"/>
        </w:tabs>
        <w:spacing w:line="285" w:lineRule="auto" w:before="3" w:after="0"/>
        <w:ind w:left="866" w:right="868" w:hanging="354"/>
        <w:jc w:val="both"/>
        <w:rPr>
          <w:sz w:val="16"/>
        </w:rPr>
      </w:pPr>
      <w:r>
        <w:rPr>
          <w:color w:val="231F20"/>
          <w:sz w:val="16"/>
        </w:rPr>
        <w:t>ECJ</w:t>
      </w:r>
      <w:r>
        <w:rPr>
          <w:color w:val="231F20"/>
          <w:spacing w:val="-5"/>
          <w:sz w:val="16"/>
        </w:rPr>
        <w:t> </w:t>
      </w:r>
      <w:r>
        <w:rPr>
          <w:color w:val="231F20"/>
          <w:sz w:val="16"/>
        </w:rPr>
        <w:t>23</w:t>
      </w:r>
      <w:r>
        <w:rPr>
          <w:color w:val="231F20"/>
          <w:spacing w:val="-6"/>
          <w:sz w:val="16"/>
        </w:rPr>
        <w:t> </w:t>
      </w:r>
      <w:r>
        <w:rPr>
          <w:color w:val="231F20"/>
          <w:sz w:val="16"/>
        </w:rPr>
        <w:t>Nov.</w:t>
      </w:r>
      <w:r>
        <w:rPr>
          <w:color w:val="231F20"/>
          <w:spacing w:val="-5"/>
          <w:sz w:val="16"/>
        </w:rPr>
        <w:t> </w:t>
      </w:r>
      <w:r>
        <w:rPr>
          <w:color w:val="231F20"/>
          <w:sz w:val="16"/>
        </w:rPr>
        <w:t>2023,</w:t>
      </w:r>
      <w:r>
        <w:rPr>
          <w:color w:val="231F20"/>
          <w:spacing w:val="-5"/>
          <w:sz w:val="16"/>
        </w:rPr>
        <w:t> </w:t>
      </w:r>
      <w:r>
        <w:rPr>
          <w:color w:val="231F20"/>
          <w:sz w:val="16"/>
        </w:rPr>
        <w:t>ECLI:EU:C:2023:911,</w:t>
      </w:r>
      <w:r>
        <w:rPr>
          <w:color w:val="231F20"/>
          <w:spacing w:val="-5"/>
          <w:sz w:val="16"/>
        </w:rPr>
        <w:t> </w:t>
      </w:r>
      <w:r>
        <w:rPr>
          <w:i/>
          <w:color w:val="231F20"/>
          <w:sz w:val="16"/>
        </w:rPr>
        <w:t>ZL,</w:t>
      </w:r>
      <w:r>
        <w:rPr>
          <w:i/>
          <w:color w:val="231F20"/>
          <w:spacing w:val="-4"/>
          <w:sz w:val="16"/>
        </w:rPr>
        <w:t> </w:t>
      </w:r>
      <w:r>
        <w:rPr>
          <w:i/>
          <w:color w:val="231F20"/>
          <w:sz w:val="16"/>
        </w:rPr>
        <w:t>KU,</w:t>
      </w:r>
      <w:r>
        <w:rPr>
          <w:i/>
          <w:color w:val="231F20"/>
          <w:spacing w:val="-5"/>
          <w:sz w:val="16"/>
        </w:rPr>
        <w:t> </w:t>
      </w:r>
      <w:r>
        <w:rPr>
          <w:i/>
          <w:color w:val="231F20"/>
          <w:sz w:val="16"/>
        </w:rPr>
        <w:t>KM</w:t>
      </w:r>
      <w:r>
        <w:rPr>
          <w:i/>
          <w:color w:val="231F20"/>
          <w:spacing w:val="-5"/>
          <w:sz w:val="16"/>
        </w:rPr>
        <w:t> </w:t>
      </w:r>
      <w:r>
        <w:rPr>
          <w:color w:val="231F20"/>
          <w:sz w:val="16"/>
        </w:rPr>
        <w:t>v.</w:t>
      </w:r>
      <w:r>
        <w:rPr>
          <w:color w:val="231F20"/>
          <w:spacing w:val="-4"/>
          <w:sz w:val="16"/>
        </w:rPr>
        <w:t> </w:t>
      </w:r>
      <w:r>
        <w:rPr>
          <w:i/>
          <w:color w:val="231F20"/>
          <w:sz w:val="16"/>
        </w:rPr>
        <w:t>Provident</w:t>
      </w:r>
      <w:r>
        <w:rPr>
          <w:i/>
          <w:color w:val="231F20"/>
          <w:spacing w:val="-5"/>
          <w:sz w:val="16"/>
        </w:rPr>
        <w:t> </w:t>
      </w:r>
      <w:r>
        <w:rPr>
          <w:i/>
          <w:color w:val="231F20"/>
          <w:sz w:val="16"/>
        </w:rPr>
        <w:t>Polska,</w:t>
      </w:r>
      <w:r>
        <w:rPr>
          <w:i/>
          <w:color w:val="231F20"/>
          <w:spacing w:val="-5"/>
          <w:sz w:val="16"/>
        </w:rPr>
        <w:t> </w:t>
      </w:r>
      <w:r>
        <w:rPr>
          <w:i/>
          <w:color w:val="231F20"/>
          <w:sz w:val="16"/>
        </w:rPr>
        <w:t>S.A.</w:t>
      </w:r>
      <w:r>
        <w:rPr>
          <w:color w:val="231F20"/>
          <w:sz w:val="16"/>
        </w:rPr>
        <w:t>,</w:t>
      </w:r>
      <w:r>
        <w:rPr>
          <w:color w:val="231F20"/>
          <w:spacing w:val="-4"/>
          <w:sz w:val="16"/>
        </w:rPr>
        <w:t> </w:t>
      </w:r>
      <w:r>
        <w:rPr>
          <w:color w:val="231F20"/>
          <w:sz w:val="16"/>
        </w:rPr>
        <w:t>curia.europa.eu/</w:t>
      </w:r>
      <w:r>
        <w:rPr>
          <w:color w:val="231F20"/>
          <w:spacing w:val="40"/>
          <w:sz w:val="16"/>
        </w:rPr>
        <w:t> </w:t>
      </w:r>
      <w:r>
        <w:rPr>
          <w:color w:val="231F20"/>
          <w:sz w:val="16"/>
        </w:rPr>
        <w:t>juris/liste.jsf?num=C-321/22, paras 85</w:t>
      </w:r>
      <w:r>
        <w:rPr>
          <w:rFonts w:ascii="Arial" w:hAnsi="Arial"/>
          <w:color w:val="231F20"/>
          <w:sz w:val="16"/>
        </w:rPr>
        <w:t>–</w:t>
      </w:r>
      <w:r>
        <w:rPr>
          <w:color w:val="231F20"/>
          <w:sz w:val="16"/>
        </w:rPr>
        <w:t>86; ECJ 15 Jun. 2023, ECLI:EU:C:2023:478, </w:t>
      </w:r>
      <w:r>
        <w:rPr>
          <w:i/>
          <w:color w:val="231F20"/>
          <w:sz w:val="16"/>
        </w:rPr>
        <w:t>Bank M.</w:t>
      </w:r>
      <w:r>
        <w:rPr>
          <w:color w:val="231F20"/>
          <w:sz w:val="16"/>
        </w:rPr>
        <w:t>,</w:t>
      </w:r>
      <w:r>
        <w:rPr>
          <w:color w:val="231F20"/>
          <w:spacing w:val="40"/>
          <w:sz w:val="16"/>
        </w:rPr>
        <w:t> </w:t>
      </w:r>
      <w:r>
        <w:rPr>
          <w:color w:val="231F20"/>
          <w:sz w:val="16"/>
        </w:rPr>
        <w:t>paras</w:t>
      </w:r>
      <w:r>
        <w:rPr>
          <w:color w:val="231F20"/>
          <w:spacing w:val="-8"/>
          <w:sz w:val="16"/>
        </w:rPr>
        <w:t> </w:t>
      </w:r>
      <w:r>
        <w:rPr>
          <w:color w:val="231F20"/>
          <w:sz w:val="16"/>
        </w:rPr>
        <w:t>73</w:t>
      </w:r>
      <w:r>
        <w:rPr>
          <w:rFonts w:ascii="Arial" w:hAnsi="Arial"/>
          <w:color w:val="231F20"/>
          <w:sz w:val="16"/>
        </w:rPr>
        <w:t>–</w:t>
      </w:r>
      <w:r>
        <w:rPr>
          <w:color w:val="231F20"/>
          <w:sz w:val="16"/>
        </w:rPr>
        <w:t>74;</w:t>
      </w:r>
      <w:r>
        <w:rPr>
          <w:color w:val="231F20"/>
          <w:spacing w:val="-8"/>
          <w:sz w:val="16"/>
        </w:rPr>
        <w:t> </w:t>
      </w:r>
      <w:r>
        <w:rPr>
          <w:color w:val="231F20"/>
          <w:sz w:val="16"/>
        </w:rPr>
        <w:t>ECJ</w:t>
      </w:r>
      <w:r>
        <w:rPr>
          <w:color w:val="231F20"/>
          <w:spacing w:val="-8"/>
          <w:sz w:val="16"/>
        </w:rPr>
        <w:t> </w:t>
      </w:r>
      <w:r>
        <w:rPr>
          <w:color w:val="231F20"/>
          <w:sz w:val="16"/>
        </w:rPr>
        <w:t>10</w:t>
      </w:r>
      <w:r>
        <w:rPr>
          <w:color w:val="231F20"/>
          <w:spacing w:val="-7"/>
          <w:sz w:val="16"/>
        </w:rPr>
        <w:t> </w:t>
      </w:r>
      <w:r>
        <w:rPr>
          <w:color w:val="231F20"/>
          <w:sz w:val="16"/>
        </w:rPr>
        <w:t>Sep.</w:t>
      </w:r>
      <w:r>
        <w:rPr>
          <w:color w:val="231F20"/>
          <w:spacing w:val="-8"/>
          <w:sz w:val="16"/>
        </w:rPr>
        <w:t> </w:t>
      </w:r>
      <w:r>
        <w:rPr>
          <w:color w:val="231F20"/>
          <w:sz w:val="16"/>
        </w:rPr>
        <w:t>2014,</w:t>
      </w:r>
      <w:r>
        <w:rPr>
          <w:color w:val="231F20"/>
          <w:spacing w:val="-8"/>
          <w:sz w:val="16"/>
        </w:rPr>
        <w:t> </w:t>
      </w:r>
      <w:r>
        <w:rPr>
          <w:i/>
          <w:color w:val="231F20"/>
          <w:sz w:val="16"/>
        </w:rPr>
        <w:t>Monika</w:t>
      </w:r>
      <w:r>
        <w:rPr>
          <w:i/>
          <w:color w:val="231F20"/>
          <w:spacing w:val="-7"/>
          <w:sz w:val="16"/>
        </w:rPr>
        <w:t> </w:t>
      </w:r>
      <w:r>
        <w:rPr>
          <w:i/>
          <w:color w:val="231F20"/>
          <w:sz w:val="16"/>
        </w:rPr>
        <w:t>Ku</w:t>
      </w:r>
      <w:r>
        <w:rPr>
          <w:rFonts w:ascii="Trebuchet MS" w:hAnsi="Trebuchet MS"/>
          <w:color w:val="231F20"/>
          <w:sz w:val="16"/>
        </w:rPr>
        <w:t>š</w:t>
      </w:r>
      <w:r>
        <w:rPr>
          <w:i/>
          <w:color w:val="231F20"/>
          <w:sz w:val="16"/>
        </w:rPr>
        <w:t>ionová</w:t>
      </w:r>
      <w:r>
        <w:rPr>
          <w:i/>
          <w:color w:val="231F20"/>
          <w:spacing w:val="-7"/>
          <w:sz w:val="16"/>
        </w:rPr>
        <w:t> </w:t>
      </w:r>
      <w:r>
        <w:rPr>
          <w:color w:val="231F20"/>
          <w:sz w:val="16"/>
        </w:rPr>
        <w:t>v.</w:t>
      </w:r>
      <w:r>
        <w:rPr>
          <w:color w:val="231F20"/>
          <w:spacing w:val="-8"/>
          <w:sz w:val="16"/>
        </w:rPr>
        <w:t> </w:t>
      </w:r>
      <w:r>
        <w:rPr>
          <w:i/>
          <w:color w:val="231F20"/>
          <w:sz w:val="16"/>
        </w:rPr>
        <w:t>SMART</w:t>
      </w:r>
      <w:r>
        <w:rPr>
          <w:i/>
          <w:color w:val="231F20"/>
          <w:spacing w:val="-7"/>
          <w:sz w:val="16"/>
        </w:rPr>
        <w:t> </w:t>
      </w:r>
      <w:r>
        <w:rPr>
          <w:i/>
          <w:color w:val="231F20"/>
          <w:sz w:val="16"/>
        </w:rPr>
        <w:t>Capital</w:t>
      </w:r>
      <w:r>
        <w:rPr>
          <w:i/>
          <w:color w:val="231F20"/>
          <w:spacing w:val="-7"/>
          <w:sz w:val="16"/>
        </w:rPr>
        <w:t> </w:t>
      </w:r>
      <w:r>
        <w:rPr>
          <w:i/>
          <w:color w:val="231F20"/>
          <w:sz w:val="16"/>
        </w:rPr>
        <w:t>a.s.</w:t>
      </w:r>
      <w:r>
        <w:rPr>
          <w:color w:val="231F20"/>
          <w:sz w:val="16"/>
        </w:rPr>
        <w:t>,</w:t>
      </w:r>
      <w:r>
        <w:rPr>
          <w:color w:val="231F20"/>
          <w:spacing w:val="-7"/>
          <w:sz w:val="16"/>
        </w:rPr>
        <w:t> </w:t>
      </w:r>
      <w:r>
        <w:rPr>
          <w:color w:val="231F20"/>
          <w:sz w:val="16"/>
        </w:rPr>
        <w:t>curia.europa.eu/juris/</w:t>
      </w:r>
      <w:r>
        <w:rPr>
          <w:color w:val="231F20"/>
          <w:spacing w:val="40"/>
          <w:sz w:val="16"/>
        </w:rPr>
        <w:t> </w:t>
      </w:r>
      <w:r>
        <w:rPr>
          <w:color w:val="231F20"/>
          <w:spacing w:val="-2"/>
          <w:sz w:val="16"/>
        </w:rPr>
        <w:t>liste.jsf?num=C-34/13.</w:t>
      </w:r>
    </w:p>
    <w:p>
      <w:pPr>
        <w:spacing w:after="0" w:line="285" w:lineRule="auto"/>
        <w:jc w:val="both"/>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guided other decisions of the Court and has been key in dealing with the lacuna that an unfair term leaves when the contract can continue in existence.</w:t>
      </w:r>
      <w:r>
        <w:rPr>
          <w:color w:val="231F20"/>
          <w:vertAlign w:val="superscript"/>
        </w:rPr>
        <w:t>125</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However, in its later ruling in joined Cases C-96/16 and C-94/17, </w:t>
      </w:r>
      <w:r>
        <w:rPr>
          <w:i/>
          <w:color w:val="231F20"/>
          <w:sz w:val="19"/>
        </w:rPr>
        <w:t>Escobedo</w:t>
      </w:r>
      <w:r>
        <w:rPr>
          <w:i/>
          <w:color w:val="231F20"/>
          <w:sz w:val="19"/>
        </w:rPr>
        <w:t> Cortés</w:t>
      </w:r>
      <w:r>
        <w:rPr>
          <w:color w:val="231F20"/>
          <w:sz w:val="19"/>
        </w:rPr>
        <w:t>,</w:t>
      </w:r>
      <w:r>
        <w:rPr>
          <w:color w:val="231F20"/>
          <w:sz w:val="19"/>
          <w:vertAlign w:val="superscript"/>
        </w:rPr>
        <w:t>126</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ECJ</w:t>
      </w:r>
      <w:r>
        <w:rPr>
          <w:color w:val="231F20"/>
          <w:spacing w:val="-12"/>
          <w:sz w:val="19"/>
          <w:vertAlign w:val="baseline"/>
        </w:rPr>
        <w:t> </w:t>
      </w:r>
      <w:r>
        <w:rPr>
          <w:color w:val="231F20"/>
          <w:sz w:val="19"/>
          <w:vertAlign w:val="baseline"/>
        </w:rPr>
        <w:t>allowed</w:t>
      </w:r>
      <w:r>
        <w:rPr>
          <w:color w:val="231F20"/>
          <w:spacing w:val="-11"/>
          <w:sz w:val="19"/>
          <w:vertAlign w:val="baseline"/>
        </w:rPr>
        <w:t> </w:t>
      </w:r>
      <w:r>
        <w:rPr>
          <w:color w:val="231F20"/>
          <w:sz w:val="19"/>
          <w:vertAlign w:val="baseline"/>
        </w:rPr>
        <w:t>a</w:t>
      </w:r>
      <w:r>
        <w:rPr>
          <w:color w:val="231F20"/>
          <w:spacing w:val="-12"/>
          <w:sz w:val="19"/>
          <w:vertAlign w:val="baseline"/>
        </w:rPr>
        <w:t> </w:t>
      </w:r>
      <w:r>
        <w:rPr>
          <w:color w:val="231F20"/>
          <w:sz w:val="19"/>
          <w:vertAlign w:val="baseline"/>
        </w:rPr>
        <w:t>nuanced</w:t>
      </w:r>
      <w:r>
        <w:rPr>
          <w:color w:val="231F20"/>
          <w:spacing w:val="-11"/>
          <w:sz w:val="19"/>
          <w:vertAlign w:val="baseline"/>
        </w:rPr>
        <w:t> </w:t>
      </w:r>
      <w:r>
        <w:rPr>
          <w:color w:val="231F20"/>
          <w:sz w:val="19"/>
          <w:vertAlign w:val="baseline"/>
        </w:rPr>
        <w:t>application</w:t>
      </w:r>
      <w:r>
        <w:rPr>
          <w:color w:val="231F20"/>
          <w:spacing w:val="-12"/>
          <w:sz w:val="19"/>
          <w:vertAlign w:val="baseline"/>
        </w:rPr>
        <w:t> </w:t>
      </w:r>
      <w:r>
        <w:rPr>
          <w:color w:val="231F20"/>
          <w:sz w:val="19"/>
          <w:vertAlign w:val="baseline"/>
        </w:rPr>
        <w:t>of</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decision</w:t>
      </w:r>
      <w:r>
        <w:rPr>
          <w:color w:val="231F20"/>
          <w:spacing w:val="-11"/>
          <w:sz w:val="19"/>
          <w:vertAlign w:val="baseline"/>
        </w:rPr>
        <w:t> </w:t>
      </w:r>
      <w:r>
        <w:rPr>
          <w:color w:val="231F20"/>
          <w:sz w:val="19"/>
          <w:vertAlign w:val="baseline"/>
        </w:rPr>
        <w:t>in</w:t>
      </w:r>
      <w:r>
        <w:rPr>
          <w:color w:val="231F20"/>
          <w:spacing w:val="-12"/>
          <w:sz w:val="19"/>
          <w:vertAlign w:val="baseline"/>
        </w:rPr>
        <w:t> </w:t>
      </w:r>
      <w:r>
        <w:rPr>
          <w:i/>
          <w:color w:val="231F20"/>
          <w:sz w:val="19"/>
          <w:vertAlign w:val="baseline"/>
        </w:rPr>
        <w:t>Banco</w:t>
      </w:r>
      <w:r>
        <w:rPr>
          <w:i/>
          <w:color w:val="231F20"/>
          <w:spacing w:val="-11"/>
          <w:sz w:val="19"/>
          <w:vertAlign w:val="baseline"/>
        </w:rPr>
        <w:t> </w:t>
      </w:r>
      <w:r>
        <w:rPr>
          <w:i/>
          <w:color w:val="231F20"/>
          <w:sz w:val="19"/>
          <w:vertAlign w:val="baseline"/>
        </w:rPr>
        <w:t>Español</w:t>
      </w:r>
      <w:r>
        <w:rPr>
          <w:color w:val="231F20"/>
          <w:sz w:val="19"/>
          <w:vertAlign w:val="baseline"/>
        </w:rPr>
        <w:t>, on</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consequences</w:t>
      </w:r>
      <w:r>
        <w:rPr>
          <w:color w:val="231F20"/>
          <w:spacing w:val="-12"/>
          <w:sz w:val="19"/>
          <w:vertAlign w:val="baseline"/>
        </w:rPr>
        <w:t> </w:t>
      </w:r>
      <w:r>
        <w:rPr>
          <w:color w:val="231F20"/>
          <w:sz w:val="19"/>
          <w:vertAlign w:val="baseline"/>
        </w:rPr>
        <w:t>of</w:t>
      </w:r>
      <w:r>
        <w:rPr>
          <w:color w:val="231F20"/>
          <w:spacing w:val="-11"/>
          <w:sz w:val="19"/>
          <w:vertAlign w:val="baseline"/>
        </w:rPr>
        <w:t> </w:t>
      </w:r>
      <w:r>
        <w:rPr>
          <w:color w:val="231F20"/>
          <w:sz w:val="19"/>
          <w:vertAlign w:val="baseline"/>
        </w:rPr>
        <w:t>an</w:t>
      </w:r>
      <w:r>
        <w:rPr>
          <w:color w:val="231F20"/>
          <w:spacing w:val="-12"/>
          <w:sz w:val="19"/>
          <w:vertAlign w:val="baseline"/>
        </w:rPr>
        <w:t> </w:t>
      </w:r>
      <w:r>
        <w:rPr>
          <w:color w:val="231F20"/>
          <w:sz w:val="19"/>
          <w:vertAlign w:val="baseline"/>
        </w:rPr>
        <w:t>unfair</w:t>
      </w:r>
      <w:r>
        <w:rPr>
          <w:color w:val="231F20"/>
          <w:spacing w:val="-11"/>
          <w:sz w:val="19"/>
          <w:vertAlign w:val="baseline"/>
        </w:rPr>
        <w:t> </w:t>
      </w:r>
      <w:r>
        <w:rPr>
          <w:color w:val="231F20"/>
          <w:sz w:val="19"/>
          <w:vertAlign w:val="baseline"/>
        </w:rPr>
        <w:t>term.</w:t>
      </w:r>
      <w:r>
        <w:rPr>
          <w:color w:val="231F20"/>
          <w:spacing w:val="-12"/>
          <w:sz w:val="19"/>
          <w:vertAlign w:val="baseline"/>
        </w:rPr>
        <w:t> </w:t>
      </w:r>
      <w:r>
        <w:rPr>
          <w:color w:val="231F20"/>
          <w:sz w:val="19"/>
          <w:vertAlign w:val="baseline"/>
        </w:rPr>
        <w:t>As</w:t>
      </w:r>
      <w:r>
        <w:rPr>
          <w:color w:val="231F20"/>
          <w:spacing w:val="-11"/>
          <w:sz w:val="19"/>
          <w:vertAlign w:val="baseline"/>
        </w:rPr>
        <w:t> </w:t>
      </w:r>
      <w:r>
        <w:rPr>
          <w:color w:val="231F20"/>
          <w:sz w:val="19"/>
          <w:vertAlign w:val="baseline"/>
        </w:rPr>
        <w:t>in</w:t>
      </w:r>
      <w:r>
        <w:rPr>
          <w:color w:val="231F20"/>
          <w:spacing w:val="-12"/>
          <w:sz w:val="19"/>
          <w:vertAlign w:val="baseline"/>
        </w:rPr>
        <w:t> </w:t>
      </w:r>
      <w:r>
        <w:rPr>
          <w:i/>
          <w:color w:val="231F20"/>
          <w:sz w:val="19"/>
          <w:vertAlign w:val="baseline"/>
        </w:rPr>
        <w:t>Banco</w:t>
      </w:r>
      <w:r>
        <w:rPr>
          <w:i/>
          <w:color w:val="231F20"/>
          <w:spacing w:val="-11"/>
          <w:sz w:val="19"/>
          <w:vertAlign w:val="baseline"/>
        </w:rPr>
        <w:t> </w:t>
      </w:r>
      <w:r>
        <w:rPr>
          <w:i/>
          <w:color w:val="231F20"/>
          <w:sz w:val="19"/>
          <w:vertAlign w:val="baseline"/>
        </w:rPr>
        <w:t>Español</w:t>
      </w:r>
      <w:r>
        <w:rPr>
          <w:color w:val="231F20"/>
          <w:sz w:val="19"/>
          <w:vertAlign w:val="baseline"/>
        </w:rPr>
        <w:t>,</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facts</w:t>
      </w:r>
      <w:r>
        <w:rPr>
          <w:color w:val="231F20"/>
          <w:spacing w:val="-11"/>
          <w:sz w:val="19"/>
          <w:vertAlign w:val="baseline"/>
        </w:rPr>
        <w:t> </w:t>
      </w:r>
      <w:r>
        <w:rPr>
          <w:color w:val="231F20"/>
          <w:sz w:val="19"/>
          <w:vertAlign w:val="baseline"/>
        </w:rPr>
        <w:t>of</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case</w:t>
      </w:r>
      <w:r>
        <w:rPr>
          <w:color w:val="231F20"/>
          <w:spacing w:val="-12"/>
          <w:sz w:val="19"/>
          <w:vertAlign w:val="baseline"/>
        </w:rPr>
        <w:t> </w:t>
      </w:r>
      <w:r>
        <w:rPr>
          <w:color w:val="231F20"/>
          <w:sz w:val="19"/>
          <w:vertAlign w:val="baseline"/>
        </w:rPr>
        <w:t>in </w:t>
      </w:r>
      <w:r>
        <w:rPr>
          <w:i/>
          <w:color w:val="231F20"/>
          <w:sz w:val="19"/>
          <w:vertAlign w:val="baseline"/>
        </w:rPr>
        <w:t>Escobedo</w:t>
      </w:r>
      <w:r>
        <w:rPr>
          <w:i/>
          <w:color w:val="231F20"/>
          <w:spacing w:val="-8"/>
          <w:sz w:val="19"/>
          <w:vertAlign w:val="baseline"/>
        </w:rPr>
        <w:t> </w:t>
      </w:r>
      <w:r>
        <w:rPr>
          <w:i/>
          <w:color w:val="231F20"/>
          <w:sz w:val="19"/>
          <w:vertAlign w:val="baseline"/>
        </w:rPr>
        <w:t>Cortés</w:t>
      </w:r>
      <w:r>
        <w:rPr>
          <w:i/>
          <w:color w:val="231F20"/>
          <w:spacing w:val="-8"/>
          <w:sz w:val="19"/>
          <w:vertAlign w:val="baseline"/>
        </w:rPr>
        <w:t> </w:t>
      </w:r>
      <w:r>
        <w:rPr>
          <w:color w:val="231F20"/>
          <w:sz w:val="19"/>
          <w:vertAlign w:val="baseline"/>
        </w:rPr>
        <w:t>concerned</w:t>
      </w:r>
      <w:r>
        <w:rPr>
          <w:color w:val="231F20"/>
          <w:spacing w:val="-8"/>
          <w:sz w:val="19"/>
          <w:vertAlign w:val="baseline"/>
        </w:rPr>
        <w:t> </w:t>
      </w:r>
      <w:r>
        <w:rPr>
          <w:color w:val="231F20"/>
          <w:sz w:val="19"/>
          <w:vertAlign w:val="baseline"/>
        </w:rPr>
        <w:t>a</w:t>
      </w:r>
      <w:r>
        <w:rPr>
          <w:color w:val="231F20"/>
          <w:spacing w:val="-8"/>
          <w:sz w:val="19"/>
          <w:vertAlign w:val="baseline"/>
        </w:rPr>
        <w:t> </w:t>
      </w:r>
      <w:r>
        <w:rPr>
          <w:color w:val="231F20"/>
          <w:sz w:val="19"/>
          <w:vertAlign w:val="baseline"/>
        </w:rPr>
        <w:t>default</w:t>
      </w:r>
      <w:r>
        <w:rPr>
          <w:color w:val="231F20"/>
          <w:spacing w:val="-8"/>
          <w:sz w:val="19"/>
          <w:vertAlign w:val="baseline"/>
        </w:rPr>
        <w:t> </w:t>
      </w:r>
      <w:r>
        <w:rPr>
          <w:color w:val="231F20"/>
          <w:sz w:val="19"/>
          <w:vertAlign w:val="baseline"/>
        </w:rPr>
        <w:t>interest</w:t>
      </w:r>
      <w:r>
        <w:rPr>
          <w:color w:val="231F20"/>
          <w:spacing w:val="-8"/>
          <w:sz w:val="19"/>
          <w:vertAlign w:val="baseline"/>
        </w:rPr>
        <w:t> </w:t>
      </w:r>
      <w:r>
        <w:rPr>
          <w:color w:val="231F20"/>
          <w:sz w:val="19"/>
          <w:vertAlign w:val="baseline"/>
        </w:rPr>
        <w:t>rate</w:t>
      </w:r>
      <w:r>
        <w:rPr>
          <w:color w:val="231F20"/>
          <w:spacing w:val="-8"/>
          <w:sz w:val="19"/>
          <w:vertAlign w:val="baseline"/>
        </w:rPr>
        <w:t> </w:t>
      </w:r>
      <w:r>
        <w:rPr>
          <w:color w:val="231F20"/>
          <w:sz w:val="19"/>
          <w:vertAlign w:val="baseline"/>
        </w:rPr>
        <w:t>that</w:t>
      </w:r>
      <w:r>
        <w:rPr>
          <w:color w:val="231F20"/>
          <w:spacing w:val="-7"/>
          <w:sz w:val="19"/>
          <w:vertAlign w:val="baseline"/>
        </w:rPr>
        <w:t> </w:t>
      </w:r>
      <w:r>
        <w:rPr>
          <w:color w:val="231F20"/>
          <w:sz w:val="19"/>
          <w:vertAlign w:val="baseline"/>
        </w:rPr>
        <w:t>had</w:t>
      </w:r>
      <w:r>
        <w:rPr>
          <w:color w:val="231F20"/>
          <w:spacing w:val="-7"/>
          <w:sz w:val="19"/>
          <w:vertAlign w:val="baseline"/>
        </w:rPr>
        <w:t> </w:t>
      </w:r>
      <w:r>
        <w:rPr>
          <w:color w:val="231F20"/>
          <w:sz w:val="19"/>
          <w:vertAlign w:val="baseline"/>
        </w:rPr>
        <w:t>been</w:t>
      </w:r>
      <w:r>
        <w:rPr>
          <w:color w:val="231F20"/>
          <w:spacing w:val="-8"/>
          <w:sz w:val="19"/>
          <w:vertAlign w:val="baseline"/>
        </w:rPr>
        <w:t> </w:t>
      </w:r>
      <w:r>
        <w:rPr>
          <w:color w:val="231F20"/>
          <w:sz w:val="19"/>
          <w:vertAlign w:val="baseline"/>
        </w:rPr>
        <w:t>found</w:t>
      </w:r>
      <w:r>
        <w:rPr>
          <w:color w:val="231F20"/>
          <w:spacing w:val="-9"/>
          <w:sz w:val="19"/>
          <w:vertAlign w:val="baseline"/>
        </w:rPr>
        <w:t> </w:t>
      </w:r>
      <w:r>
        <w:rPr>
          <w:color w:val="231F20"/>
          <w:sz w:val="19"/>
          <w:vertAlign w:val="baseline"/>
        </w:rPr>
        <w:t>unfair.</w:t>
      </w:r>
      <w:r>
        <w:rPr>
          <w:color w:val="231F20"/>
          <w:spacing w:val="-8"/>
          <w:sz w:val="19"/>
          <w:vertAlign w:val="baseline"/>
        </w:rPr>
        <w:t> </w:t>
      </w:r>
      <w:r>
        <w:rPr>
          <w:color w:val="231F20"/>
          <w:sz w:val="19"/>
          <w:vertAlign w:val="baseline"/>
        </w:rPr>
        <w:t>The Spanish</w:t>
      </w:r>
      <w:r>
        <w:rPr>
          <w:color w:val="231F20"/>
          <w:spacing w:val="-9"/>
          <w:sz w:val="19"/>
          <w:vertAlign w:val="baseline"/>
        </w:rPr>
        <w:t> </w:t>
      </w:r>
      <w:r>
        <w:rPr>
          <w:color w:val="231F20"/>
          <w:sz w:val="19"/>
          <w:vertAlign w:val="baseline"/>
        </w:rPr>
        <w:t>Supreme</w:t>
      </w:r>
      <w:r>
        <w:rPr>
          <w:color w:val="231F20"/>
          <w:spacing w:val="-8"/>
          <w:sz w:val="19"/>
          <w:vertAlign w:val="baseline"/>
        </w:rPr>
        <w:t> </w:t>
      </w:r>
      <w:r>
        <w:rPr>
          <w:color w:val="231F20"/>
          <w:sz w:val="19"/>
          <w:vertAlign w:val="baseline"/>
        </w:rPr>
        <w:t>Court</w:t>
      </w:r>
      <w:r>
        <w:rPr>
          <w:color w:val="231F20"/>
          <w:spacing w:val="-7"/>
          <w:sz w:val="19"/>
          <w:vertAlign w:val="baseline"/>
        </w:rPr>
        <w:t> </w:t>
      </w:r>
      <w:r>
        <w:rPr>
          <w:color w:val="231F20"/>
          <w:sz w:val="19"/>
          <w:vertAlign w:val="baseline"/>
        </w:rPr>
        <w:t>had</w:t>
      </w:r>
      <w:r>
        <w:rPr>
          <w:color w:val="231F20"/>
          <w:spacing w:val="-8"/>
          <w:sz w:val="19"/>
          <w:vertAlign w:val="baseline"/>
        </w:rPr>
        <w:t> </w:t>
      </w:r>
      <w:r>
        <w:rPr>
          <w:color w:val="231F20"/>
          <w:sz w:val="19"/>
          <w:vertAlign w:val="baseline"/>
        </w:rPr>
        <w:t>decided</w:t>
      </w:r>
      <w:r>
        <w:rPr>
          <w:color w:val="231F20"/>
          <w:spacing w:val="-8"/>
          <w:sz w:val="19"/>
          <w:vertAlign w:val="baseline"/>
        </w:rPr>
        <w:t> </w:t>
      </w:r>
      <w:r>
        <w:rPr>
          <w:color w:val="231F20"/>
          <w:sz w:val="19"/>
          <w:vertAlign w:val="baseline"/>
        </w:rPr>
        <w:t>that</w:t>
      </w:r>
      <w:r>
        <w:rPr>
          <w:color w:val="231F20"/>
          <w:spacing w:val="-9"/>
          <w:sz w:val="19"/>
          <w:vertAlign w:val="baseline"/>
        </w:rPr>
        <w:t> </w:t>
      </w:r>
      <w:r>
        <w:rPr>
          <w:color w:val="231F20"/>
          <w:sz w:val="19"/>
          <w:vertAlign w:val="baseline"/>
        </w:rPr>
        <w:t>the</w:t>
      </w:r>
      <w:r>
        <w:rPr>
          <w:color w:val="231F20"/>
          <w:spacing w:val="-8"/>
          <w:sz w:val="19"/>
          <w:vertAlign w:val="baseline"/>
        </w:rPr>
        <w:t> </w:t>
      </w:r>
      <w:r>
        <w:rPr>
          <w:color w:val="231F20"/>
          <w:sz w:val="19"/>
          <w:vertAlign w:val="baseline"/>
        </w:rPr>
        <w:t>unfair</w:t>
      </w:r>
      <w:r>
        <w:rPr>
          <w:color w:val="231F20"/>
          <w:spacing w:val="-9"/>
          <w:sz w:val="19"/>
          <w:vertAlign w:val="baseline"/>
        </w:rPr>
        <w:t> </w:t>
      </w:r>
      <w:r>
        <w:rPr>
          <w:color w:val="231F20"/>
          <w:sz w:val="19"/>
          <w:vertAlign w:val="baseline"/>
        </w:rPr>
        <w:t>default</w:t>
      </w:r>
      <w:r>
        <w:rPr>
          <w:color w:val="231F20"/>
          <w:spacing w:val="-8"/>
          <w:sz w:val="19"/>
          <w:vertAlign w:val="baseline"/>
        </w:rPr>
        <w:t> </w:t>
      </w:r>
      <w:r>
        <w:rPr>
          <w:color w:val="231F20"/>
          <w:sz w:val="19"/>
          <w:vertAlign w:val="baseline"/>
        </w:rPr>
        <w:t>interest</w:t>
      </w:r>
      <w:r>
        <w:rPr>
          <w:color w:val="231F20"/>
          <w:spacing w:val="-9"/>
          <w:sz w:val="19"/>
          <w:vertAlign w:val="baseline"/>
        </w:rPr>
        <w:t> </w:t>
      </w:r>
      <w:r>
        <w:rPr>
          <w:color w:val="231F20"/>
          <w:sz w:val="19"/>
          <w:vertAlign w:val="baseline"/>
        </w:rPr>
        <w:t>rate</w:t>
      </w:r>
      <w:r>
        <w:rPr>
          <w:color w:val="231F20"/>
          <w:spacing w:val="-9"/>
          <w:sz w:val="19"/>
          <w:vertAlign w:val="baseline"/>
        </w:rPr>
        <w:t> </w:t>
      </w:r>
      <w:r>
        <w:rPr>
          <w:color w:val="231F20"/>
          <w:sz w:val="19"/>
          <w:vertAlign w:val="baseline"/>
        </w:rPr>
        <w:t>should</w:t>
      </w:r>
      <w:r>
        <w:rPr>
          <w:color w:val="231F20"/>
          <w:spacing w:val="-8"/>
          <w:sz w:val="19"/>
          <w:vertAlign w:val="baseline"/>
        </w:rPr>
        <w:t> </w:t>
      </w:r>
      <w:r>
        <w:rPr>
          <w:color w:val="231F20"/>
          <w:sz w:val="19"/>
          <w:vertAlign w:val="baseline"/>
        </w:rPr>
        <w:t>be </w:t>
      </w:r>
      <w:r>
        <w:rPr>
          <w:color w:val="231F20"/>
          <w:spacing w:val="-2"/>
          <w:sz w:val="19"/>
          <w:vertAlign w:val="baseline"/>
        </w:rPr>
        <w:t>disapplied. However, it allowed the ordinary (contractual) interest rate to continue </w:t>
      </w:r>
      <w:r>
        <w:rPr>
          <w:color w:val="231F20"/>
          <w:sz w:val="19"/>
          <w:vertAlign w:val="baseline"/>
        </w:rPr>
        <w:t>to run during the period of default.</w:t>
      </w:r>
    </w:p>
    <w:p>
      <w:pPr>
        <w:pStyle w:val="ListParagraph"/>
        <w:numPr>
          <w:ilvl w:val="0"/>
          <w:numId w:val="4"/>
        </w:numPr>
        <w:tabs>
          <w:tab w:pos="871" w:val="left" w:leader="none"/>
          <w:tab w:pos="1323" w:val="left" w:leader="none"/>
        </w:tabs>
        <w:spacing w:line="285" w:lineRule="auto" w:before="120" w:after="0"/>
        <w:ind w:left="871" w:right="868" w:hanging="1"/>
        <w:jc w:val="both"/>
        <w:rPr>
          <w:sz w:val="19"/>
        </w:rPr>
      </w:pPr>
      <w:r>
        <w:rPr>
          <w:color w:val="231F20"/>
          <w:sz w:val="19"/>
        </w:rPr>
        <w:t>The</w:t>
      </w:r>
      <w:r>
        <w:rPr>
          <w:color w:val="231F20"/>
          <w:spacing w:val="-6"/>
          <w:sz w:val="19"/>
        </w:rPr>
        <w:t> </w:t>
      </w:r>
      <w:r>
        <w:rPr>
          <w:color w:val="231F20"/>
          <w:sz w:val="19"/>
        </w:rPr>
        <w:t>ECJ</w:t>
      </w:r>
      <w:r>
        <w:rPr>
          <w:color w:val="231F20"/>
          <w:spacing w:val="-7"/>
          <w:sz w:val="19"/>
        </w:rPr>
        <w:t> </w:t>
      </w:r>
      <w:r>
        <w:rPr>
          <w:color w:val="231F20"/>
          <w:sz w:val="19"/>
        </w:rPr>
        <w:t>found</w:t>
      </w:r>
      <w:r>
        <w:rPr>
          <w:color w:val="231F20"/>
          <w:spacing w:val="-8"/>
          <w:sz w:val="19"/>
        </w:rPr>
        <w:t> </w:t>
      </w:r>
      <w:r>
        <w:rPr>
          <w:color w:val="231F20"/>
          <w:sz w:val="19"/>
        </w:rPr>
        <w:t>this</w:t>
      </w:r>
      <w:r>
        <w:rPr>
          <w:color w:val="231F20"/>
          <w:spacing w:val="-6"/>
          <w:sz w:val="19"/>
        </w:rPr>
        <w:t> </w:t>
      </w:r>
      <w:r>
        <w:rPr>
          <w:color w:val="231F20"/>
          <w:sz w:val="19"/>
        </w:rPr>
        <w:t>interpretation</w:t>
      </w:r>
      <w:r>
        <w:rPr>
          <w:color w:val="231F20"/>
          <w:spacing w:val="-6"/>
          <w:sz w:val="19"/>
        </w:rPr>
        <w:t> </w:t>
      </w:r>
      <w:r>
        <w:rPr>
          <w:color w:val="231F20"/>
          <w:sz w:val="19"/>
        </w:rPr>
        <w:t>to</w:t>
      </w:r>
      <w:r>
        <w:rPr>
          <w:color w:val="231F20"/>
          <w:spacing w:val="-7"/>
          <w:sz w:val="19"/>
        </w:rPr>
        <w:t> </w:t>
      </w:r>
      <w:r>
        <w:rPr>
          <w:color w:val="231F20"/>
          <w:sz w:val="19"/>
        </w:rPr>
        <w:t>be</w:t>
      </w:r>
      <w:r>
        <w:rPr>
          <w:color w:val="231F20"/>
          <w:spacing w:val="-6"/>
          <w:sz w:val="19"/>
        </w:rPr>
        <w:t> </w:t>
      </w:r>
      <w:r>
        <w:rPr>
          <w:color w:val="231F20"/>
          <w:sz w:val="19"/>
        </w:rPr>
        <w:t>in</w:t>
      </w:r>
      <w:r>
        <w:rPr>
          <w:color w:val="231F20"/>
          <w:spacing w:val="-6"/>
          <w:sz w:val="19"/>
        </w:rPr>
        <w:t> </w:t>
      </w:r>
      <w:r>
        <w:rPr>
          <w:color w:val="231F20"/>
          <w:sz w:val="19"/>
        </w:rPr>
        <w:t>accordance</w:t>
      </w:r>
      <w:r>
        <w:rPr>
          <w:color w:val="231F20"/>
          <w:spacing w:val="-7"/>
          <w:sz w:val="19"/>
        </w:rPr>
        <w:t> </w:t>
      </w:r>
      <w:r>
        <w:rPr>
          <w:color w:val="231F20"/>
          <w:sz w:val="19"/>
        </w:rPr>
        <w:t>with</w:t>
      </w:r>
      <w:r>
        <w:rPr>
          <w:color w:val="231F20"/>
          <w:spacing w:val="-7"/>
          <w:sz w:val="19"/>
        </w:rPr>
        <w:t> </w:t>
      </w:r>
      <w:r>
        <w:rPr>
          <w:color w:val="231F20"/>
          <w:sz w:val="19"/>
        </w:rPr>
        <w:t>the</w:t>
      </w:r>
      <w:r>
        <w:rPr>
          <w:color w:val="231F20"/>
          <w:spacing w:val="-6"/>
          <w:sz w:val="19"/>
        </w:rPr>
        <w:t> </w:t>
      </w:r>
      <w:r>
        <w:rPr>
          <w:color w:val="231F20"/>
          <w:sz w:val="19"/>
        </w:rPr>
        <w:t>UCTD.</w:t>
      </w:r>
      <w:r>
        <w:rPr>
          <w:color w:val="231F20"/>
          <w:sz w:val="19"/>
          <w:vertAlign w:val="superscript"/>
        </w:rPr>
        <w:t>127</w:t>
      </w:r>
      <w:r>
        <w:rPr>
          <w:color w:val="231F20"/>
          <w:spacing w:val="-7"/>
          <w:sz w:val="19"/>
          <w:vertAlign w:val="baseline"/>
        </w:rPr>
        <w:t> </w:t>
      </w:r>
      <w:r>
        <w:rPr>
          <w:color w:val="231F20"/>
          <w:sz w:val="19"/>
          <w:vertAlign w:val="baseline"/>
        </w:rPr>
        <w:t>The Court considered that the Spanish Supreme Court</w:t>
      </w:r>
      <w:r>
        <w:rPr>
          <w:rFonts w:ascii="Arial" w:hAnsi="Arial"/>
          <w:color w:val="231F20"/>
          <w:sz w:val="19"/>
          <w:vertAlign w:val="baseline"/>
        </w:rPr>
        <w:t>’</w:t>
      </w:r>
      <w:r>
        <w:rPr>
          <w:color w:val="231F20"/>
          <w:sz w:val="19"/>
          <w:vertAlign w:val="baseline"/>
        </w:rPr>
        <w:t>s ruling was not filling the gap that the unfair term left with supplementary law or revising the term. Instead, it was</w:t>
      </w:r>
      <w:r>
        <w:rPr>
          <w:color w:val="231F20"/>
          <w:spacing w:val="-4"/>
          <w:sz w:val="19"/>
          <w:vertAlign w:val="baseline"/>
        </w:rPr>
        <w:t> </w:t>
      </w:r>
      <w:r>
        <w:rPr>
          <w:color w:val="231F20"/>
          <w:sz w:val="19"/>
          <w:vertAlign w:val="baseline"/>
        </w:rPr>
        <w:t>simply</w:t>
      </w:r>
      <w:r>
        <w:rPr>
          <w:color w:val="231F20"/>
          <w:spacing w:val="-5"/>
          <w:sz w:val="19"/>
          <w:vertAlign w:val="baseline"/>
        </w:rPr>
        <w:t> </w:t>
      </w:r>
      <w:r>
        <w:rPr>
          <w:color w:val="231F20"/>
          <w:sz w:val="19"/>
          <w:vertAlign w:val="baseline"/>
        </w:rPr>
        <w:t>refraining</w:t>
      </w:r>
      <w:r>
        <w:rPr>
          <w:color w:val="231F20"/>
          <w:spacing w:val="-4"/>
          <w:sz w:val="19"/>
          <w:vertAlign w:val="baseline"/>
        </w:rPr>
        <w:t> </w:t>
      </w:r>
      <w:r>
        <w:rPr>
          <w:color w:val="231F20"/>
          <w:sz w:val="19"/>
          <w:vertAlign w:val="baseline"/>
        </w:rPr>
        <w:t>from</w:t>
      </w:r>
      <w:r>
        <w:rPr>
          <w:color w:val="231F20"/>
          <w:spacing w:val="-4"/>
          <w:sz w:val="19"/>
          <w:vertAlign w:val="baseline"/>
        </w:rPr>
        <w:t> </w:t>
      </w:r>
      <w:r>
        <w:rPr>
          <w:color w:val="231F20"/>
          <w:sz w:val="19"/>
          <w:vertAlign w:val="baseline"/>
        </w:rPr>
        <w:t>applying</w:t>
      </w:r>
      <w:r>
        <w:rPr>
          <w:color w:val="231F20"/>
          <w:spacing w:val="-4"/>
          <w:sz w:val="19"/>
          <w:vertAlign w:val="baseline"/>
        </w:rPr>
        <w:t> </w:t>
      </w:r>
      <w:r>
        <w:rPr>
          <w:color w:val="231F20"/>
          <w:sz w:val="19"/>
          <w:vertAlign w:val="baseline"/>
        </w:rPr>
        <w:t>the</w:t>
      </w:r>
      <w:r>
        <w:rPr>
          <w:color w:val="231F20"/>
          <w:spacing w:val="-4"/>
          <w:sz w:val="19"/>
          <w:vertAlign w:val="baseline"/>
        </w:rPr>
        <w:t> </w:t>
      </w:r>
      <w:r>
        <w:rPr>
          <w:color w:val="231F20"/>
          <w:sz w:val="19"/>
          <w:vertAlign w:val="baseline"/>
        </w:rPr>
        <w:t>unfair</w:t>
      </w:r>
      <w:r>
        <w:rPr>
          <w:color w:val="231F20"/>
          <w:spacing w:val="-4"/>
          <w:sz w:val="19"/>
          <w:vertAlign w:val="baseline"/>
        </w:rPr>
        <w:t> </w:t>
      </w:r>
      <w:r>
        <w:rPr>
          <w:color w:val="231F20"/>
          <w:sz w:val="19"/>
          <w:vertAlign w:val="baseline"/>
        </w:rPr>
        <w:t>term.</w:t>
      </w:r>
      <w:r>
        <w:rPr>
          <w:color w:val="231F20"/>
          <w:spacing w:val="-4"/>
          <w:sz w:val="19"/>
          <w:vertAlign w:val="baseline"/>
        </w:rPr>
        <w:t> </w:t>
      </w:r>
      <w:r>
        <w:rPr>
          <w:color w:val="231F20"/>
          <w:sz w:val="19"/>
          <w:vertAlign w:val="baseline"/>
        </w:rPr>
        <w:t>As</w:t>
      </w:r>
      <w:r>
        <w:rPr>
          <w:color w:val="231F20"/>
          <w:spacing w:val="-4"/>
          <w:sz w:val="19"/>
          <w:vertAlign w:val="baseline"/>
        </w:rPr>
        <w:t> </w:t>
      </w:r>
      <w:r>
        <w:rPr>
          <w:color w:val="231F20"/>
          <w:sz w:val="19"/>
          <w:vertAlign w:val="baseline"/>
        </w:rPr>
        <w:t>the</w:t>
      </w:r>
      <w:r>
        <w:rPr>
          <w:color w:val="231F20"/>
          <w:spacing w:val="-3"/>
          <w:sz w:val="19"/>
          <w:vertAlign w:val="baseline"/>
        </w:rPr>
        <w:t> </w:t>
      </w:r>
      <w:r>
        <w:rPr>
          <w:color w:val="231F20"/>
          <w:sz w:val="19"/>
          <w:vertAlign w:val="baseline"/>
        </w:rPr>
        <w:t>ordinary</w:t>
      </w:r>
      <w:r>
        <w:rPr>
          <w:color w:val="231F20"/>
          <w:spacing w:val="-4"/>
          <w:sz w:val="19"/>
          <w:vertAlign w:val="baseline"/>
        </w:rPr>
        <w:t> </w:t>
      </w:r>
      <w:r>
        <w:rPr>
          <w:color w:val="231F20"/>
          <w:sz w:val="19"/>
          <w:vertAlign w:val="baseline"/>
        </w:rPr>
        <w:t>interest</w:t>
      </w:r>
      <w:r>
        <w:rPr>
          <w:color w:val="231F20"/>
          <w:spacing w:val="-4"/>
          <w:sz w:val="19"/>
          <w:vertAlign w:val="baseline"/>
        </w:rPr>
        <w:t> </w:t>
      </w:r>
      <w:r>
        <w:rPr>
          <w:color w:val="231F20"/>
          <w:sz w:val="19"/>
          <w:vertAlign w:val="baseline"/>
        </w:rPr>
        <w:t>rate was not challenged, it should continue to apply.</w:t>
      </w:r>
      <w:r>
        <w:rPr>
          <w:color w:val="231F20"/>
          <w:sz w:val="19"/>
          <w:vertAlign w:val="superscript"/>
        </w:rPr>
        <w:t>128</w:t>
      </w:r>
    </w:p>
    <w:p>
      <w:pPr>
        <w:pStyle w:val="ListParagraph"/>
        <w:numPr>
          <w:ilvl w:val="0"/>
          <w:numId w:val="4"/>
        </w:numPr>
        <w:tabs>
          <w:tab w:pos="1324" w:val="left" w:leader="none"/>
        </w:tabs>
        <w:spacing w:line="288" w:lineRule="auto" w:before="126" w:after="0"/>
        <w:ind w:left="871" w:right="868" w:firstLine="0"/>
        <w:jc w:val="both"/>
        <w:rPr>
          <w:sz w:val="19"/>
        </w:rPr>
      </w:pPr>
      <w:r>
        <w:rPr>
          <w:color w:val="231F20"/>
          <w:sz w:val="19"/>
        </w:rPr>
        <w:t>The</w:t>
      </w:r>
      <w:r>
        <w:rPr>
          <w:color w:val="231F20"/>
          <w:spacing w:val="-1"/>
          <w:sz w:val="19"/>
        </w:rPr>
        <w:t> </w:t>
      </w:r>
      <w:r>
        <w:rPr>
          <w:color w:val="231F20"/>
          <w:sz w:val="19"/>
        </w:rPr>
        <w:t>arguments</w:t>
      </w:r>
      <w:r>
        <w:rPr>
          <w:color w:val="231F20"/>
          <w:spacing w:val="-1"/>
          <w:sz w:val="19"/>
        </w:rPr>
        <w:t> </w:t>
      </w:r>
      <w:r>
        <w:rPr>
          <w:color w:val="231F20"/>
          <w:sz w:val="19"/>
        </w:rPr>
        <w:t>of the</w:t>
      </w:r>
      <w:r>
        <w:rPr>
          <w:color w:val="231F20"/>
          <w:spacing w:val="-1"/>
          <w:sz w:val="19"/>
        </w:rPr>
        <w:t> </w:t>
      </w:r>
      <w:r>
        <w:rPr>
          <w:color w:val="231F20"/>
          <w:sz w:val="19"/>
        </w:rPr>
        <w:t>ECJ</w:t>
      </w:r>
      <w:r>
        <w:rPr>
          <w:color w:val="231F20"/>
          <w:spacing w:val="-1"/>
          <w:sz w:val="19"/>
        </w:rPr>
        <w:t> </w:t>
      </w:r>
      <w:r>
        <w:rPr>
          <w:color w:val="231F20"/>
          <w:sz w:val="19"/>
        </w:rPr>
        <w:t>seem</w:t>
      </w:r>
      <w:r>
        <w:rPr>
          <w:color w:val="231F20"/>
          <w:spacing w:val="-1"/>
          <w:sz w:val="19"/>
        </w:rPr>
        <w:t> </w:t>
      </w:r>
      <w:r>
        <w:rPr>
          <w:color w:val="231F20"/>
          <w:sz w:val="19"/>
        </w:rPr>
        <w:t>to</w:t>
      </w:r>
      <w:r>
        <w:rPr>
          <w:color w:val="231F20"/>
          <w:spacing w:val="-1"/>
          <w:sz w:val="19"/>
        </w:rPr>
        <w:t> </w:t>
      </w:r>
      <w:r>
        <w:rPr>
          <w:color w:val="231F20"/>
          <w:sz w:val="19"/>
        </w:rPr>
        <w:t>shield</w:t>
      </w:r>
      <w:r>
        <w:rPr>
          <w:color w:val="231F20"/>
          <w:spacing w:val="-1"/>
          <w:sz w:val="19"/>
        </w:rPr>
        <w:t> </w:t>
      </w:r>
      <w:r>
        <w:rPr>
          <w:color w:val="231F20"/>
          <w:sz w:val="19"/>
        </w:rPr>
        <w:t>the</w:t>
      </w:r>
      <w:r>
        <w:rPr>
          <w:color w:val="231F20"/>
          <w:spacing w:val="-1"/>
          <w:sz w:val="19"/>
        </w:rPr>
        <w:t> </w:t>
      </w:r>
      <w:r>
        <w:rPr>
          <w:color w:val="231F20"/>
          <w:sz w:val="19"/>
        </w:rPr>
        <w:t>strict application of the</w:t>
      </w:r>
      <w:r>
        <w:rPr>
          <w:color w:val="231F20"/>
          <w:spacing w:val="-1"/>
          <w:sz w:val="19"/>
        </w:rPr>
        <w:t> </w:t>
      </w:r>
      <w:r>
        <w:rPr>
          <w:color w:val="231F20"/>
          <w:sz w:val="19"/>
        </w:rPr>
        <w:t>rule</w:t>
      </w:r>
      <w:r>
        <w:rPr>
          <w:color w:val="231F20"/>
          <w:spacing w:val="-1"/>
          <w:sz w:val="19"/>
        </w:rPr>
        <w:t> </w:t>
      </w:r>
      <w:r>
        <w:rPr>
          <w:color w:val="231F20"/>
          <w:sz w:val="19"/>
        </w:rPr>
        <w:t>in </w:t>
      </w:r>
      <w:r>
        <w:rPr>
          <w:i/>
          <w:color w:val="231F20"/>
          <w:sz w:val="19"/>
        </w:rPr>
        <w:t>Banco Español. </w:t>
      </w:r>
      <w:r>
        <w:rPr>
          <w:color w:val="231F20"/>
          <w:sz w:val="19"/>
        </w:rPr>
        <w:t>However, the practical consequence of the decision in </w:t>
      </w:r>
      <w:r>
        <w:rPr>
          <w:i/>
          <w:color w:val="231F20"/>
          <w:sz w:val="19"/>
        </w:rPr>
        <w:t>Escobedo</w:t>
      </w:r>
      <w:r>
        <w:rPr>
          <w:i/>
          <w:color w:val="231F20"/>
          <w:sz w:val="19"/>
        </w:rPr>
        <w:t> Cortés </w:t>
      </w:r>
      <w:r>
        <w:rPr>
          <w:color w:val="231F20"/>
          <w:sz w:val="19"/>
        </w:rPr>
        <w:t>is that an interest rate continues to be incurred during the default period. Therefore, unlike in </w:t>
      </w:r>
      <w:r>
        <w:rPr>
          <w:i/>
          <w:color w:val="231F20"/>
          <w:sz w:val="19"/>
        </w:rPr>
        <w:t>Banco Español</w:t>
      </w:r>
      <w:r>
        <w:rPr>
          <w:color w:val="231F20"/>
          <w:sz w:val="19"/>
        </w:rPr>
        <w:t>, the national court was allowed some sort of gap-filling</w:t>
      </w:r>
      <w:r>
        <w:rPr>
          <w:color w:val="231F20"/>
          <w:spacing w:val="-8"/>
          <w:sz w:val="19"/>
        </w:rPr>
        <w:t> </w:t>
      </w:r>
      <w:r>
        <w:rPr>
          <w:color w:val="231F20"/>
          <w:sz w:val="19"/>
        </w:rPr>
        <w:t>for</w:t>
      </w:r>
      <w:r>
        <w:rPr>
          <w:color w:val="231F20"/>
          <w:spacing w:val="-10"/>
          <w:sz w:val="19"/>
        </w:rPr>
        <w:t> </w:t>
      </w:r>
      <w:r>
        <w:rPr>
          <w:color w:val="231F20"/>
          <w:sz w:val="19"/>
        </w:rPr>
        <w:t>the</w:t>
      </w:r>
      <w:r>
        <w:rPr>
          <w:color w:val="231F20"/>
          <w:spacing w:val="-9"/>
          <w:sz w:val="19"/>
        </w:rPr>
        <w:t> </w:t>
      </w:r>
      <w:r>
        <w:rPr>
          <w:color w:val="231F20"/>
          <w:sz w:val="19"/>
        </w:rPr>
        <w:t>unfair</w:t>
      </w:r>
      <w:r>
        <w:rPr>
          <w:color w:val="231F20"/>
          <w:spacing w:val="-8"/>
          <w:sz w:val="19"/>
        </w:rPr>
        <w:t> </w:t>
      </w:r>
      <w:r>
        <w:rPr>
          <w:color w:val="231F20"/>
          <w:sz w:val="19"/>
        </w:rPr>
        <w:t>term,</w:t>
      </w:r>
      <w:r>
        <w:rPr>
          <w:color w:val="231F20"/>
          <w:spacing w:val="-8"/>
          <w:sz w:val="19"/>
        </w:rPr>
        <w:t> </w:t>
      </w:r>
      <w:r>
        <w:rPr>
          <w:color w:val="231F20"/>
          <w:sz w:val="19"/>
        </w:rPr>
        <w:t>despite</w:t>
      </w:r>
      <w:r>
        <w:rPr>
          <w:color w:val="231F20"/>
          <w:spacing w:val="-9"/>
          <w:sz w:val="19"/>
        </w:rPr>
        <w:t> </w:t>
      </w:r>
      <w:r>
        <w:rPr>
          <w:color w:val="231F20"/>
          <w:sz w:val="19"/>
        </w:rPr>
        <w:t>this</w:t>
      </w:r>
      <w:r>
        <w:rPr>
          <w:color w:val="231F20"/>
          <w:spacing w:val="-8"/>
          <w:sz w:val="19"/>
        </w:rPr>
        <w:t> </w:t>
      </w:r>
      <w:r>
        <w:rPr>
          <w:color w:val="231F20"/>
          <w:sz w:val="19"/>
        </w:rPr>
        <w:t>being</w:t>
      </w:r>
      <w:r>
        <w:rPr>
          <w:color w:val="231F20"/>
          <w:spacing w:val="-8"/>
          <w:sz w:val="19"/>
        </w:rPr>
        <w:t> </w:t>
      </w:r>
      <w:r>
        <w:rPr>
          <w:color w:val="231F20"/>
          <w:sz w:val="19"/>
        </w:rPr>
        <w:t>formally</w:t>
      </w:r>
      <w:r>
        <w:rPr>
          <w:color w:val="231F20"/>
          <w:spacing w:val="-8"/>
          <w:sz w:val="19"/>
        </w:rPr>
        <w:t> </w:t>
      </w:r>
      <w:r>
        <w:rPr>
          <w:color w:val="231F20"/>
          <w:sz w:val="19"/>
        </w:rPr>
        <w:t>rejected</w:t>
      </w:r>
      <w:r>
        <w:rPr>
          <w:color w:val="231F20"/>
          <w:spacing w:val="-9"/>
          <w:sz w:val="19"/>
        </w:rPr>
        <w:t> </w:t>
      </w:r>
      <w:r>
        <w:rPr>
          <w:color w:val="231F20"/>
          <w:sz w:val="19"/>
        </w:rPr>
        <w:t>by</w:t>
      </w:r>
      <w:r>
        <w:rPr>
          <w:color w:val="231F20"/>
          <w:spacing w:val="-8"/>
          <w:sz w:val="19"/>
        </w:rPr>
        <w:t> </w:t>
      </w:r>
      <w:r>
        <w:rPr>
          <w:color w:val="231F20"/>
          <w:sz w:val="19"/>
        </w:rPr>
        <w:t>the</w:t>
      </w:r>
      <w:r>
        <w:rPr>
          <w:color w:val="231F20"/>
          <w:spacing w:val="-9"/>
          <w:sz w:val="19"/>
        </w:rPr>
        <w:t> </w:t>
      </w:r>
      <w:r>
        <w:rPr>
          <w:color w:val="231F20"/>
          <w:sz w:val="19"/>
        </w:rPr>
        <w:t>ECJ.</w:t>
      </w:r>
      <w:r>
        <w:rPr>
          <w:color w:val="231F20"/>
          <w:spacing w:val="-8"/>
          <w:sz w:val="19"/>
        </w:rPr>
        <w:t> </w:t>
      </w:r>
      <w:r>
        <w:rPr>
          <w:color w:val="231F20"/>
          <w:sz w:val="19"/>
        </w:rPr>
        <w:t>The outcome is an interest rate that, in practice, is reduced when compared to the default</w:t>
      </w:r>
      <w:r>
        <w:rPr>
          <w:color w:val="231F20"/>
          <w:spacing w:val="-4"/>
          <w:sz w:val="19"/>
        </w:rPr>
        <w:t> </w:t>
      </w:r>
      <w:r>
        <w:rPr>
          <w:color w:val="231F20"/>
          <w:sz w:val="19"/>
        </w:rPr>
        <w:t>interest</w:t>
      </w:r>
      <w:r>
        <w:rPr>
          <w:color w:val="231F20"/>
          <w:spacing w:val="-3"/>
          <w:sz w:val="19"/>
        </w:rPr>
        <w:t> </w:t>
      </w:r>
      <w:r>
        <w:rPr>
          <w:color w:val="231F20"/>
          <w:sz w:val="19"/>
        </w:rPr>
        <w:t>rate</w:t>
      </w:r>
      <w:r>
        <w:rPr>
          <w:color w:val="231F20"/>
          <w:spacing w:val="-3"/>
          <w:sz w:val="19"/>
        </w:rPr>
        <w:t> </w:t>
      </w:r>
      <w:r>
        <w:rPr>
          <w:color w:val="231F20"/>
          <w:sz w:val="19"/>
        </w:rPr>
        <w:t>that</w:t>
      </w:r>
      <w:r>
        <w:rPr>
          <w:color w:val="231F20"/>
          <w:spacing w:val="-4"/>
          <w:sz w:val="19"/>
        </w:rPr>
        <w:t> </w:t>
      </w:r>
      <w:r>
        <w:rPr>
          <w:color w:val="231F20"/>
          <w:sz w:val="19"/>
        </w:rPr>
        <w:t>was</w:t>
      </w:r>
      <w:r>
        <w:rPr>
          <w:color w:val="231F20"/>
          <w:spacing w:val="-4"/>
          <w:sz w:val="19"/>
        </w:rPr>
        <w:t> </w:t>
      </w:r>
      <w:r>
        <w:rPr>
          <w:color w:val="231F20"/>
          <w:sz w:val="19"/>
        </w:rPr>
        <w:t>found</w:t>
      </w:r>
      <w:r>
        <w:rPr>
          <w:color w:val="231F20"/>
          <w:spacing w:val="-4"/>
          <w:sz w:val="19"/>
        </w:rPr>
        <w:t> </w:t>
      </w:r>
      <w:r>
        <w:rPr>
          <w:color w:val="231F20"/>
          <w:sz w:val="19"/>
        </w:rPr>
        <w:t>unfair.</w:t>
      </w:r>
      <w:r>
        <w:rPr>
          <w:color w:val="231F20"/>
          <w:spacing w:val="-4"/>
          <w:sz w:val="19"/>
        </w:rPr>
        <w:t> </w:t>
      </w:r>
      <w:r>
        <w:rPr>
          <w:color w:val="231F20"/>
          <w:sz w:val="19"/>
        </w:rPr>
        <w:t>However,</w:t>
      </w:r>
      <w:r>
        <w:rPr>
          <w:color w:val="231F20"/>
          <w:spacing w:val="-3"/>
          <w:sz w:val="19"/>
        </w:rPr>
        <w:t> </w:t>
      </w:r>
      <w:r>
        <w:rPr>
          <w:color w:val="231F20"/>
          <w:sz w:val="19"/>
        </w:rPr>
        <w:t>it</w:t>
      </w:r>
      <w:r>
        <w:rPr>
          <w:color w:val="231F20"/>
          <w:spacing w:val="-3"/>
          <w:sz w:val="19"/>
        </w:rPr>
        <w:t> </w:t>
      </w:r>
      <w:r>
        <w:rPr>
          <w:color w:val="231F20"/>
          <w:sz w:val="19"/>
        </w:rPr>
        <w:t>is</w:t>
      </w:r>
      <w:r>
        <w:rPr>
          <w:color w:val="231F20"/>
          <w:spacing w:val="-4"/>
          <w:sz w:val="19"/>
        </w:rPr>
        <w:t> </w:t>
      </w:r>
      <w:r>
        <w:rPr>
          <w:color w:val="231F20"/>
          <w:sz w:val="19"/>
        </w:rPr>
        <w:t>still</w:t>
      </w:r>
      <w:r>
        <w:rPr>
          <w:color w:val="231F20"/>
          <w:spacing w:val="-3"/>
          <w:sz w:val="19"/>
        </w:rPr>
        <w:t> </w:t>
      </w:r>
      <w:r>
        <w:rPr>
          <w:color w:val="231F20"/>
          <w:sz w:val="19"/>
        </w:rPr>
        <w:t>an</w:t>
      </w:r>
      <w:r>
        <w:rPr>
          <w:color w:val="231F20"/>
          <w:spacing w:val="-3"/>
          <w:sz w:val="19"/>
        </w:rPr>
        <w:t> </w:t>
      </w:r>
      <w:r>
        <w:rPr>
          <w:color w:val="231F20"/>
          <w:sz w:val="19"/>
        </w:rPr>
        <w:t>interest</w:t>
      </w:r>
      <w:r>
        <w:rPr>
          <w:color w:val="231F20"/>
          <w:spacing w:val="-3"/>
          <w:sz w:val="19"/>
        </w:rPr>
        <w:t> </w:t>
      </w:r>
      <w:r>
        <w:rPr>
          <w:color w:val="231F20"/>
          <w:sz w:val="19"/>
        </w:rPr>
        <w:t>rate</w:t>
      </w:r>
      <w:r>
        <w:rPr>
          <w:color w:val="231F20"/>
          <w:spacing w:val="-3"/>
          <w:sz w:val="19"/>
        </w:rPr>
        <w:t> </w:t>
      </w:r>
      <w:r>
        <w:rPr>
          <w:color w:val="231F20"/>
          <w:sz w:val="19"/>
        </w:rPr>
        <w:t>that applies to the same period as the unfair one.</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The</w:t>
      </w:r>
      <w:r>
        <w:rPr>
          <w:color w:val="231F20"/>
          <w:spacing w:val="-9"/>
          <w:sz w:val="19"/>
        </w:rPr>
        <w:t> </w:t>
      </w:r>
      <w:r>
        <w:rPr>
          <w:color w:val="231F20"/>
          <w:sz w:val="19"/>
        </w:rPr>
        <w:t>most</w:t>
      </w:r>
      <w:r>
        <w:rPr>
          <w:color w:val="231F20"/>
          <w:spacing w:val="-10"/>
          <w:sz w:val="19"/>
        </w:rPr>
        <w:t> </w:t>
      </w:r>
      <w:r>
        <w:rPr>
          <w:color w:val="231F20"/>
          <w:sz w:val="19"/>
        </w:rPr>
        <w:t>likely</w:t>
      </w:r>
      <w:r>
        <w:rPr>
          <w:color w:val="231F20"/>
          <w:spacing w:val="-11"/>
          <w:sz w:val="19"/>
        </w:rPr>
        <w:t> </w:t>
      </w:r>
      <w:r>
        <w:rPr>
          <w:color w:val="231F20"/>
          <w:sz w:val="19"/>
        </w:rPr>
        <w:t>explanation</w:t>
      </w:r>
      <w:r>
        <w:rPr>
          <w:color w:val="231F20"/>
          <w:spacing w:val="-9"/>
          <w:sz w:val="19"/>
        </w:rPr>
        <w:t> </w:t>
      </w:r>
      <w:r>
        <w:rPr>
          <w:color w:val="231F20"/>
          <w:sz w:val="19"/>
        </w:rPr>
        <w:t>for</w:t>
      </w:r>
      <w:r>
        <w:rPr>
          <w:color w:val="231F20"/>
          <w:spacing w:val="-11"/>
          <w:sz w:val="19"/>
        </w:rPr>
        <w:t> </w:t>
      </w:r>
      <w:r>
        <w:rPr>
          <w:color w:val="231F20"/>
          <w:sz w:val="19"/>
        </w:rPr>
        <w:t>this</w:t>
      </w:r>
      <w:r>
        <w:rPr>
          <w:color w:val="231F20"/>
          <w:spacing w:val="-10"/>
          <w:sz w:val="19"/>
        </w:rPr>
        <w:t> </w:t>
      </w:r>
      <w:r>
        <w:rPr>
          <w:color w:val="231F20"/>
          <w:sz w:val="19"/>
        </w:rPr>
        <w:t>is</w:t>
      </w:r>
      <w:r>
        <w:rPr>
          <w:color w:val="231F20"/>
          <w:spacing w:val="-8"/>
          <w:sz w:val="19"/>
        </w:rPr>
        <w:t> </w:t>
      </w:r>
      <w:r>
        <w:rPr>
          <w:color w:val="231F20"/>
          <w:sz w:val="19"/>
        </w:rPr>
        <w:t>that</w:t>
      </w:r>
      <w:r>
        <w:rPr>
          <w:color w:val="231F20"/>
          <w:spacing w:val="-10"/>
          <w:sz w:val="19"/>
        </w:rPr>
        <w:t> </w:t>
      </w:r>
      <w:r>
        <w:rPr>
          <w:color w:val="231F20"/>
          <w:sz w:val="19"/>
        </w:rPr>
        <w:t>the</w:t>
      </w:r>
      <w:r>
        <w:rPr>
          <w:color w:val="231F20"/>
          <w:spacing w:val="-9"/>
          <w:sz w:val="19"/>
        </w:rPr>
        <w:t> </w:t>
      </w:r>
      <w:r>
        <w:rPr>
          <w:color w:val="231F20"/>
          <w:sz w:val="19"/>
        </w:rPr>
        <w:t>ruling</w:t>
      </w:r>
      <w:r>
        <w:rPr>
          <w:color w:val="231F20"/>
          <w:spacing w:val="-10"/>
          <w:sz w:val="19"/>
        </w:rPr>
        <w:t> </w:t>
      </w:r>
      <w:r>
        <w:rPr>
          <w:color w:val="231F20"/>
          <w:sz w:val="19"/>
        </w:rPr>
        <w:t>in</w:t>
      </w:r>
      <w:r>
        <w:rPr>
          <w:color w:val="231F20"/>
          <w:spacing w:val="-9"/>
          <w:sz w:val="19"/>
        </w:rPr>
        <w:t> </w:t>
      </w:r>
      <w:r>
        <w:rPr>
          <w:color w:val="231F20"/>
          <w:sz w:val="19"/>
        </w:rPr>
        <w:t>joined</w:t>
      </w:r>
      <w:r>
        <w:rPr>
          <w:color w:val="231F20"/>
          <w:spacing w:val="-9"/>
          <w:sz w:val="19"/>
        </w:rPr>
        <w:t> </w:t>
      </w:r>
      <w:r>
        <w:rPr>
          <w:color w:val="231F20"/>
          <w:sz w:val="19"/>
        </w:rPr>
        <w:t>Cases</w:t>
      </w:r>
      <w:r>
        <w:rPr>
          <w:color w:val="231F20"/>
          <w:spacing w:val="-9"/>
          <w:sz w:val="19"/>
        </w:rPr>
        <w:t> </w:t>
      </w:r>
      <w:r>
        <w:rPr>
          <w:color w:val="231F20"/>
          <w:sz w:val="19"/>
        </w:rPr>
        <w:t>C-96/16 and</w:t>
      </w:r>
      <w:r>
        <w:rPr>
          <w:color w:val="231F20"/>
          <w:spacing w:val="-7"/>
          <w:sz w:val="19"/>
        </w:rPr>
        <w:t> </w:t>
      </w:r>
      <w:r>
        <w:rPr>
          <w:color w:val="231F20"/>
          <w:sz w:val="19"/>
        </w:rPr>
        <w:t>C-94/17,</w:t>
      </w:r>
      <w:r>
        <w:rPr>
          <w:color w:val="231F20"/>
          <w:spacing w:val="-7"/>
          <w:sz w:val="19"/>
        </w:rPr>
        <w:t> </w:t>
      </w:r>
      <w:r>
        <w:rPr>
          <w:i/>
          <w:color w:val="231F20"/>
          <w:sz w:val="19"/>
        </w:rPr>
        <w:t>Escobedo</w:t>
      </w:r>
      <w:r>
        <w:rPr>
          <w:i/>
          <w:color w:val="231F20"/>
          <w:spacing w:val="-7"/>
          <w:sz w:val="19"/>
        </w:rPr>
        <w:t> </w:t>
      </w:r>
      <w:r>
        <w:rPr>
          <w:i/>
          <w:color w:val="231F20"/>
          <w:sz w:val="19"/>
        </w:rPr>
        <w:t>Cortés</w:t>
      </w:r>
      <w:r>
        <w:rPr>
          <w:color w:val="231F20"/>
          <w:sz w:val="19"/>
        </w:rPr>
        <w:t>,</w:t>
      </w:r>
      <w:r>
        <w:rPr>
          <w:color w:val="231F20"/>
          <w:spacing w:val="-7"/>
          <w:sz w:val="19"/>
        </w:rPr>
        <w:t> </w:t>
      </w:r>
      <w:r>
        <w:rPr>
          <w:color w:val="231F20"/>
          <w:sz w:val="19"/>
        </w:rPr>
        <w:t>nuances</w:t>
      </w:r>
      <w:r>
        <w:rPr>
          <w:color w:val="231F20"/>
          <w:spacing w:val="-7"/>
          <w:sz w:val="19"/>
        </w:rPr>
        <w:t> </w:t>
      </w:r>
      <w:r>
        <w:rPr>
          <w:color w:val="231F20"/>
          <w:sz w:val="19"/>
        </w:rPr>
        <w:t>that</w:t>
      </w:r>
      <w:r>
        <w:rPr>
          <w:color w:val="231F20"/>
          <w:spacing w:val="-7"/>
          <w:sz w:val="19"/>
        </w:rPr>
        <w:t> </w:t>
      </w:r>
      <w:r>
        <w:rPr>
          <w:color w:val="231F20"/>
          <w:sz w:val="19"/>
        </w:rPr>
        <w:t>in</w:t>
      </w:r>
      <w:r>
        <w:rPr>
          <w:color w:val="231F20"/>
          <w:spacing w:val="-7"/>
          <w:sz w:val="19"/>
        </w:rPr>
        <w:t> </w:t>
      </w:r>
      <w:r>
        <w:rPr>
          <w:i/>
          <w:color w:val="231F20"/>
          <w:sz w:val="19"/>
        </w:rPr>
        <w:t>Banco</w:t>
      </w:r>
      <w:r>
        <w:rPr>
          <w:i/>
          <w:color w:val="231F20"/>
          <w:spacing w:val="-7"/>
          <w:sz w:val="19"/>
        </w:rPr>
        <w:t> </w:t>
      </w:r>
      <w:r>
        <w:rPr>
          <w:i/>
          <w:color w:val="231F20"/>
          <w:sz w:val="19"/>
        </w:rPr>
        <w:t>Español.</w:t>
      </w:r>
      <w:r>
        <w:rPr>
          <w:i/>
          <w:color w:val="231F20"/>
          <w:spacing w:val="-7"/>
          <w:sz w:val="19"/>
        </w:rPr>
        <w:t> </w:t>
      </w:r>
      <w:r>
        <w:rPr>
          <w:color w:val="231F20"/>
          <w:sz w:val="19"/>
        </w:rPr>
        <w:t>Formally,</w:t>
      </w:r>
      <w:r>
        <w:rPr>
          <w:color w:val="231F20"/>
          <w:spacing w:val="-7"/>
          <w:sz w:val="19"/>
        </w:rPr>
        <w:t> </w:t>
      </w:r>
      <w:r>
        <w:rPr>
          <w:color w:val="231F20"/>
          <w:sz w:val="19"/>
        </w:rPr>
        <w:t>the</w:t>
      </w:r>
      <w:r>
        <w:rPr>
          <w:color w:val="231F20"/>
          <w:spacing w:val="-7"/>
          <w:sz w:val="19"/>
        </w:rPr>
        <w:t> </w:t>
      </w:r>
      <w:r>
        <w:rPr>
          <w:color w:val="231F20"/>
          <w:sz w:val="19"/>
        </w:rPr>
        <w:t>ECJ allowed</w:t>
      </w:r>
      <w:r>
        <w:rPr>
          <w:color w:val="231F20"/>
          <w:spacing w:val="-10"/>
          <w:sz w:val="19"/>
        </w:rPr>
        <w:t> </w:t>
      </w:r>
      <w:r>
        <w:rPr>
          <w:color w:val="231F20"/>
          <w:sz w:val="19"/>
        </w:rPr>
        <w:t>the</w:t>
      </w:r>
      <w:r>
        <w:rPr>
          <w:color w:val="231F20"/>
          <w:spacing w:val="-10"/>
          <w:sz w:val="19"/>
        </w:rPr>
        <w:t> </w:t>
      </w:r>
      <w:r>
        <w:rPr>
          <w:color w:val="231F20"/>
          <w:sz w:val="19"/>
        </w:rPr>
        <w:t>contractual</w:t>
      </w:r>
      <w:r>
        <w:rPr>
          <w:color w:val="231F20"/>
          <w:spacing w:val="-10"/>
          <w:sz w:val="19"/>
        </w:rPr>
        <w:t> </w:t>
      </w:r>
      <w:r>
        <w:rPr>
          <w:color w:val="231F20"/>
          <w:sz w:val="19"/>
        </w:rPr>
        <w:t>interest</w:t>
      </w:r>
      <w:r>
        <w:rPr>
          <w:color w:val="231F20"/>
          <w:spacing w:val="-10"/>
          <w:sz w:val="19"/>
        </w:rPr>
        <w:t> </w:t>
      </w:r>
      <w:r>
        <w:rPr>
          <w:color w:val="231F20"/>
          <w:sz w:val="19"/>
        </w:rPr>
        <w:t>rate</w:t>
      </w:r>
      <w:r>
        <w:rPr>
          <w:color w:val="231F20"/>
          <w:spacing w:val="-10"/>
          <w:sz w:val="19"/>
        </w:rPr>
        <w:t> </w:t>
      </w:r>
      <w:r>
        <w:rPr>
          <w:color w:val="231F20"/>
          <w:sz w:val="19"/>
        </w:rPr>
        <w:t>to</w:t>
      </w:r>
      <w:r>
        <w:rPr>
          <w:color w:val="231F20"/>
          <w:spacing w:val="-10"/>
          <w:sz w:val="19"/>
        </w:rPr>
        <w:t> </w:t>
      </w:r>
      <w:r>
        <w:rPr>
          <w:color w:val="231F20"/>
          <w:sz w:val="19"/>
        </w:rPr>
        <w:t>continue</w:t>
      </w:r>
      <w:r>
        <w:rPr>
          <w:color w:val="231F20"/>
          <w:spacing w:val="-11"/>
          <w:sz w:val="19"/>
        </w:rPr>
        <w:t> </w:t>
      </w:r>
      <w:r>
        <w:rPr>
          <w:color w:val="231F20"/>
          <w:sz w:val="19"/>
        </w:rPr>
        <w:t>to</w:t>
      </w:r>
      <w:r>
        <w:rPr>
          <w:color w:val="231F20"/>
          <w:spacing w:val="-10"/>
          <w:sz w:val="19"/>
        </w:rPr>
        <w:t> </w:t>
      </w:r>
      <w:r>
        <w:rPr>
          <w:color w:val="231F20"/>
          <w:sz w:val="19"/>
        </w:rPr>
        <w:t>apply</w:t>
      </w:r>
      <w:r>
        <w:rPr>
          <w:color w:val="231F20"/>
          <w:spacing w:val="-10"/>
          <w:sz w:val="19"/>
        </w:rPr>
        <w:t> </w:t>
      </w:r>
      <w:r>
        <w:rPr>
          <w:color w:val="231F20"/>
          <w:sz w:val="19"/>
        </w:rPr>
        <w:t>during</w:t>
      </w:r>
      <w:r>
        <w:rPr>
          <w:color w:val="231F20"/>
          <w:spacing w:val="-10"/>
          <w:sz w:val="19"/>
        </w:rPr>
        <w:t> </w:t>
      </w:r>
      <w:r>
        <w:rPr>
          <w:color w:val="231F20"/>
          <w:sz w:val="19"/>
        </w:rPr>
        <w:t>the</w:t>
      </w:r>
      <w:r>
        <w:rPr>
          <w:color w:val="231F20"/>
          <w:spacing w:val="-10"/>
          <w:sz w:val="19"/>
        </w:rPr>
        <w:t> </w:t>
      </w:r>
      <w:r>
        <w:rPr>
          <w:color w:val="231F20"/>
          <w:sz w:val="19"/>
        </w:rPr>
        <w:t>default</w:t>
      </w:r>
      <w:r>
        <w:rPr>
          <w:color w:val="231F20"/>
          <w:spacing w:val="-10"/>
          <w:sz w:val="19"/>
        </w:rPr>
        <w:t> </w:t>
      </w:r>
      <w:r>
        <w:rPr>
          <w:color w:val="231F20"/>
          <w:sz w:val="19"/>
        </w:rPr>
        <w:t>period as</w:t>
      </w:r>
      <w:r>
        <w:rPr>
          <w:color w:val="231F20"/>
          <w:spacing w:val="-3"/>
          <w:sz w:val="19"/>
        </w:rPr>
        <w:t> </w:t>
      </w:r>
      <w:r>
        <w:rPr>
          <w:color w:val="231F20"/>
          <w:sz w:val="19"/>
        </w:rPr>
        <w:t>it</w:t>
      </w:r>
      <w:r>
        <w:rPr>
          <w:color w:val="231F20"/>
          <w:spacing w:val="-3"/>
          <w:sz w:val="19"/>
        </w:rPr>
        <w:t> </w:t>
      </w:r>
      <w:r>
        <w:rPr>
          <w:color w:val="231F20"/>
          <w:sz w:val="19"/>
        </w:rPr>
        <w:t>was</w:t>
      </w:r>
      <w:r>
        <w:rPr>
          <w:color w:val="231F20"/>
          <w:spacing w:val="-3"/>
          <w:sz w:val="19"/>
        </w:rPr>
        <w:t> </w:t>
      </w:r>
      <w:r>
        <w:rPr>
          <w:color w:val="231F20"/>
          <w:sz w:val="19"/>
        </w:rPr>
        <w:t>not</w:t>
      </w:r>
      <w:r>
        <w:rPr>
          <w:color w:val="231F20"/>
          <w:spacing w:val="-3"/>
          <w:sz w:val="19"/>
        </w:rPr>
        <w:t> </w:t>
      </w:r>
      <w:r>
        <w:rPr>
          <w:color w:val="231F20"/>
          <w:sz w:val="19"/>
        </w:rPr>
        <w:t>tainted</w:t>
      </w:r>
      <w:r>
        <w:rPr>
          <w:color w:val="231F20"/>
          <w:spacing w:val="-3"/>
          <w:sz w:val="19"/>
        </w:rPr>
        <w:t> </w:t>
      </w:r>
      <w:r>
        <w:rPr>
          <w:color w:val="231F20"/>
          <w:sz w:val="19"/>
        </w:rPr>
        <w:t>by</w:t>
      </w:r>
      <w:r>
        <w:rPr>
          <w:color w:val="231F20"/>
          <w:spacing w:val="-3"/>
          <w:sz w:val="19"/>
        </w:rPr>
        <w:t> </w:t>
      </w:r>
      <w:r>
        <w:rPr>
          <w:color w:val="231F20"/>
          <w:sz w:val="19"/>
        </w:rPr>
        <w:t>unfairness</w:t>
      </w:r>
      <w:r>
        <w:rPr>
          <w:color w:val="231F20"/>
          <w:spacing w:val="-3"/>
          <w:sz w:val="19"/>
        </w:rPr>
        <w:t> </w:t>
      </w:r>
      <w:r>
        <w:rPr>
          <w:color w:val="231F20"/>
          <w:sz w:val="19"/>
        </w:rPr>
        <w:t>and</w:t>
      </w:r>
      <w:r>
        <w:rPr>
          <w:color w:val="231F20"/>
          <w:spacing w:val="-3"/>
          <w:sz w:val="19"/>
        </w:rPr>
        <w:t> </w:t>
      </w:r>
      <w:r>
        <w:rPr>
          <w:color w:val="231F20"/>
          <w:sz w:val="19"/>
        </w:rPr>
        <w:t>due</w:t>
      </w:r>
      <w:r>
        <w:rPr>
          <w:color w:val="231F20"/>
          <w:spacing w:val="-3"/>
          <w:sz w:val="19"/>
        </w:rPr>
        <w:t> </w:t>
      </w:r>
      <w:r>
        <w:rPr>
          <w:color w:val="231F20"/>
          <w:sz w:val="19"/>
        </w:rPr>
        <w:t>to</w:t>
      </w:r>
      <w:r>
        <w:rPr>
          <w:color w:val="231F20"/>
          <w:spacing w:val="-3"/>
          <w:sz w:val="19"/>
        </w:rPr>
        <w:t> </w:t>
      </w:r>
      <w:r>
        <w:rPr>
          <w:color w:val="231F20"/>
          <w:sz w:val="19"/>
        </w:rPr>
        <w:t>its</w:t>
      </w:r>
      <w:r>
        <w:rPr>
          <w:color w:val="231F20"/>
          <w:spacing w:val="-3"/>
          <w:sz w:val="19"/>
        </w:rPr>
        <w:t> </w:t>
      </w:r>
      <w:r>
        <w:rPr>
          <w:color w:val="231F20"/>
          <w:sz w:val="19"/>
        </w:rPr>
        <w:t>different</w:t>
      </w:r>
      <w:r>
        <w:rPr>
          <w:color w:val="231F20"/>
          <w:spacing w:val="-2"/>
          <w:sz w:val="19"/>
        </w:rPr>
        <w:t> </w:t>
      </w:r>
      <w:r>
        <w:rPr>
          <w:color w:val="231F20"/>
          <w:sz w:val="19"/>
        </w:rPr>
        <w:t>nature</w:t>
      </w:r>
      <w:r>
        <w:rPr>
          <w:color w:val="231F20"/>
          <w:spacing w:val="-3"/>
          <w:sz w:val="19"/>
        </w:rPr>
        <w:t> </w:t>
      </w:r>
      <w:r>
        <w:rPr>
          <w:color w:val="231F20"/>
          <w:sz w:val="19"/>
        </w:rPr>
        <w:t>from</w:t>
      </w:r>
      <w:r>
        <w:rPr>
          <w:color w:val="231F20"/>
          <w:spacing w:val="-3"/>
          <w:sz w:val="19"/>
        </w:rPr>
        <w:t> </w:t>
      </w:r>
      <w:r>
        <w:rPr>
          <w:color w:val="231F20"/>
          <w:sz w:val="19"/>
        </w:rPr>
        <w:t>the</w:t>
      </w:r>
      <w:r>
        <w:rPr>
          <w:color w:val="231F20"/>
          <w:spacing w:val="-3"/>
          <w:sz w:val="19"/>
        </w:rPr>
        <w:t> </w:t>
      </w:r>
      <w:r>
        <w:rPr>
          <w:color w:val="231F20"/>
          <w:sz w:val="19"/>
        </w:rPr>
        <w:t>default interest rate. However, in one of the cases that was rejoined to </w:t>
      </w:r>
      <w:r>
        <w:rPr>
          <w:i/>
          <w:color w:val="231F20"/>
          <w:sz w:val="19"/>
        </w:rPr>
        <w:t>Escobedo Cortés</w:t>
      </w:r>
      <w:r>
        <w:rPr>
          <w:color w:val="231F20"/>
          <w:sz w:val="19"/>
        </w:rPr>
        <w:t>, Case</w:t>
      </w:r>
      <w:r>
        <w:rPr>
          <w:color w:val="231F20"/>
          <w:spacing w:val="-6"/>
          <w:sz w:val="19"/>
        </w:rPr>
        <w:t> </w:t>
      </w:r>
      <w:r>
        <w:rPr>
          <w:color w:val="231F20"/>
          <w:sz w:val="19"/>
        </w:rPr>
        <w:t>C-96/16</w:t>
      </w:r>
      <w:r>
        <w:rPr>
          <w:color w:val="231F20"/>
          <w:spacing w:val="-6"/>
          <w:sz w:val="19"/>
        </w:rPr>
        <w:t> </w:t>
      </w:r>
      <w:r>
        <w:rPr>
          <w:color w:val="231F20"/>
          <w:sz w:val="19"/>
        </w:rPr>
        <w:t>(</w:t>
      </w:r>
      <w:r>
        <w:rPr>
          <w:i/>
          <w:color w:val="231F20"/>
          <w:sz w:val="19"/>
        </w:rPr>
        <w:t>Demba</w:t>
      </w:r>
      <w:r>
        <w:rPr>
          <w:i/>
          <w:color w:val="231F20"/>
          <w:spacing w:val="-5"/>
          <w:sz w:val="19"/>
        </w:rPr>
        <w:t> </w:t>
      </w:r>
      <w:r>
        <w:rPr>
          <w:color w:val="231F20"/>
          <w:sz w:val="19"/>
        </w:rPr>
        <w:t>and</w:t>
      </w:r>
      <w:r>
        <w:rPr>
          <w:color w:val="231F20"/>
          <w:spacing w:val="-6"/>
          <w:sz w:val="19"/>
        </w:rPr>
        <w:t> </w:t>
      </w:r>
      <w:r>
        <w:rPr>
          <w:i/>
          <w:color w:val="231F20"/>
          <w:sz w:val="19"/>
        </w:rPr>
        <w:t>Godoy</w:t>
      </w:r>
      <w:r>
        <w:rPr>
          <w:i/>
          <w:color w:val="231F20"/>
          <w:spacing w:val="-5"/>
          <w:sz w:val="19"/>
        </w:rPr>
        <w:t> </w:t>
      </w:r>
      <w:r>
        <w:rPr>
          <w:i/>
          <w:color w:val="231F20"/>
          <w:sz w:val="19"/>
        </w:rPr>
        <w:t>Bonet</w:t>
      </w:r>
      <w:r>
        <w:rPr>
          <w:color w:val="231F20"/>
          <w:sz w:val="19"/>
        </w:rPr>
        <w:t>),</w:t>
      </w:r>
      <w:r>
        <w:rPr>
          <w:color w:val="231F20"/>
          <w:spacing w:val="-6"/>
          <w:sz w:val="19"/>
        </w:rPr>
        <w:t> </w:t>
      </w:r>
      <w:r>
        <w:rPr>
          <w:color w:val="231F20"/>
          <w:sz w:val="19"/>
        </w:rPr>
        <w:t>the</w:t>
      </w:r>
      <w:r>
        <w:rPr>
          <w:color w:val="231F20"/>
          <w:spacing w:val="-5"/>
          <w:sz w:val="19"/>
        </w:rPr>
        <w:t> </w:t>
      </w:r>
      <w:r>
        <w:rPr>
          <w:color w:val="231F20"/>
          <w:sz w:val="19"/>
        </w:rPr>
        <w:t>contract</w:t>
      </w:r>
      <w:r>
        <w:rPr>
          <w:color w:val="231F20"/>
          <w:spacing w:val="-4"/>
          <w:sz w:val="19"/>
        </w:rPr>
        <w:t> </w:t>
      </w:r>
      <w:r>
        <w:rPr>
          <w:color w:val="231F20"/>
          <w:sz w:val="19"/>
        </w:rPr>
        <w:t>had</w:t>
      </w:r>
      <w:r>
        <w:rPr>
          <w:color w:val="231F20"/>
          <w:spacing w:val="-6"/>
          <w:sz w:val="19"/>
        </w:rPr>
        <w:t> </w:t>
      </w:r>
      <w:r>
        <w:rPr>
          <w:color w:val="231F20"/>
          <w:sz w:val="19"/>
        </w:rPr>
        <w:t>been</w:t>
      </w:r>
      <w:r>
        <w:rPr>
          <w:color w:val="231F20"/>
          <w:spacing w:val="-6"/>
          <w:sz w:val="19"/>
        </w:rPr>
        <w:t> </w:t>
      </w:r>
      <w:r>
        <w:rPr>
          <w:color w:val="231F20"/>
          <w:sz w:val="19"/>
        </w:rPr>
        <w:t>terminated</w:t>
      </w:r>
      <w:r>
        <w:rPr>
          <w:color w:val="231F20"/>
          <w:spacing w:val="-5"/>
          <w:sz w:val="19"/>
        </w:rPr>
        <w:t> </w:t>
      </w:r>
      <w:r>
        <w:rPr>
          <w:color w:val="231F20"/>
          <w:sz w:val="19"/>
        </w:rPr>
        <w:t>(as</w:t>
      </w:r>
      <w:r>
        <w:rPr>
          <w:color w:val="231F20"/>
          <w:spacing w:val="-6"/>
          <w:sz w:val="19"/>
        </w:rPr>
        <w:t> </w:t>
      </w:r>
      <w:r>
        <w:rPr>
          <w:color w:val="231F20"/>
          <w:sz w:val="19"/>
        </w:rPr>
        <w:t>in </w:t>
      </w:r>
      <w:r>
        <w:rPr>
          <w:i/>
          <w:color w:val="231F20"/>
          <w:sz w:val="19"/>
        </w:rPr>
        <w:t>Banco</w:t>
      </w:r>
      <w:r>
        <w:rPr>
          <w:i/>
          <w:color w:val="231F20"/>
          <w:spacing w:val="-11"/>
          <w:sz w:val="19"/>
        </w:rPr>
        <w:t> </w:t>
      </w:r>
      <w:r>
        <w:rPr>
          <w:i/>
          <w:color w:val="231F20"/>
          <w:sz w:val="19"/>
        </w:rPr>
        <w:t>Español</w:t>
      </w:r>
      <w:r>
        <w:rPr>
          <w:color w:val="231F20"/>
          <w:sz w:val="19"/>
        </w:rPr>
        <w:t>,</w:t>
      </w:r>
      <w:r>
        <w:rPr>
          <w:color w:val="231F20"/>
          <w:sz w:val="19"/>
          <w:vertAlign w:val="superscript"/>
        </w:rPr>
        <w:t>129</w:t>
      </w:r>
      <w:r>
        <w:rPr>
          <w:color w:val="231F20"/>
          <w:spacing w:val="-11"/>
          <w:sz w:val="19"/>
          <w:vertAlign w:val="baseline"/>
        </w:rPr>
        <w:t> </w:t>
      </w:r>
      <w:r>
        <w:rPr>
          <w:color w:val="231F20"/>
          <w:sz w:val="19"/>
          <w:vertAlign w:val="baseline"/>
        </w:rPr>
        <w:t>by</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way).</w:t>
      </w:r>
      <w:r>
        <w:rPr>
          <w:color w:val="231F20"/>
          <w:sz w:val="19"/>
          <w:vertAlign w:val="superscript"/>
        </w:rPr>
        <w:t>130</w:t>
      </w:r>
      <w:r>
        <w:rPr>
          <w:color w:val="231F20"/>
          <w:spacing w:val="-11"/>
          <w:sz w:val="19"/>
          <w:vertAlign w:val="baseline"/>
        </w:rPr>
        <w:t> </w:t>
      </w:r>
      <w:r>
        <w:rPr>
          <w:color w:val="231F20"/>
          <w:sz w:val="19"/>
          <w:vertAlign w:val="baseline"/>
        </w:rPr>
        <w:t>Therefore,</w:t>
      </w:r>
      <w:r>
        <w:rPr>
          <w:color w:val="231F20"/>
          <w:spacing w:val="-10"/>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contractual</w:t>
      </w:r>
      <w:r>
        <w:rPr>
          <w:color w:val="231F20"/>
          <w:spacing w:val="-11"/>
          <w:sz w:val="19"/>
          <w:vertAlign w:val="baseline"/>
        </w:rPr>
        <w:t> </w:t>
      </w:r>
      <w:r>
        <w:rPr>
          <w:color w:val="231F20"/>
          <w:sz w:val="19"/>
          <w:vertAlign w:val="baseline"/>
        </w:rPr>
        <w:t>interest</w:t>
      </w:r>
      <w:r>
        <w:rPr>
          <w:color w:val="231F20"/>
          <w:spacing w:val="-10"/>
          <w:sz w:val="19"/>
          <w:vertAlign w:val="baseline"/>
        </w:rPr>
        <w:t> </w:t>
      </w:r>
      <w:r>
        <w:rPr>
          <w:color w:val="231F20"/>
          <w:sz w:val="19"/>
          <w:vertAlign w:val="baseline"/>
        </w:rPr>
        <w:t>rate</w:t>
      </w:r>
      <w:r>
        <w:rPr>
          <w:color w:val="231F20"/>
          <w:spacing w:val="-12"/>
          <w:sz w:val="19"/>
          <w:vertAlign w:val="baseline"/>
        </w:rPr>
        <w:t> </w:t>
      </w:r>
      <w:r>
        <w:rPr>
          <w:color w:val="231F20"/>
          <w:sz w:val="19"/>
          <w:vertAlign w:val="baseline"/>
        </w:rPr>
        <w:t>could</w:t>
      </w:r>
      <w:r>
        <w:rPr>
          <w:color w:val="231F20"/>
          <w:spacing w:val="-10"/>
          <w:sz w:val="19"/>
          <w:vertAlign w:val="baseline"/>
        </w:rPr>
        <w:t> </w:t>
      </w:r>
      <w:r>
        <w:rPr>
          <w:color w:val="231F20"/>
          <w:sz w:val="19"/>
          <w:vertAlign w:val="baseline"/>
        </w:rPr>
        <w:t>not apply.</w:t>
      </w:r>
      <w:r>
        <w:rPr>
          <w:color w:val="231F20"/>
          <w:spacing w:val="-8"/>
          <w:sz w:val="19"/>
          <w:vertAlign w:val="baseline"/>
        </w:rPr>
        <w:t> </w:t>
      </w:r>
      <w:r>
        <w:rPr>
          <w:color w:val="231F20"/>
          <w:sz w:val="19"/>
          <w:vertAlign w:val="baseline"/>
        </w:rPr>
        <w:t>In</w:t>
      </w:r>
      <w:r>
        <w:rPr>
          <w:color w:val="231F20"/>
          <w:spacing w:val="-7"/>
          <w:sz w:val="19"/>
          <w:vertAlign w:val="baseline"/>
        </w:rPr>
        <w:t> </w:t>
      </w:r>
      <w:r>
        <w:rPr>
          <w:color w:val="231F20"/>
          <w:sz w:val="19"/>
          <w:vertAlign w:val="baseline"/>
        </w:rPr>
        <w:t>those</w:t>
      </w:r>
      <w:r>
        <w:rPr>
          <w:color w:val="231F20"/>
          <w:spacing w:val="-7"/>
          <w:sz w:val="19"/>
          <w:vertAlign w:val="baseline"/>
        </w:rPr>
        <w:t> </w:t>
      </w:r>
      <w:r>
        <w:rPr>
          <w:color w:val="231F20"/>
          <w:sz w:val="19"/>
          <w:vertAlign w:val="baseline"/>
        </w:rPr>
        <w:t>circumstances,</w:t>
      </w:r>
      <w:r>
        <w:rPr>
          <w:color w:val="231F20"/>
          <w:spacing w:val="-7"/>
          <w:sz w:val="19"/>
          <w:vertAlign w:val="baseline"/>
        </w:rPr>
        <w:t> </w:t>
      </w:r>
      <w:r>
        <w:rPr>
          <w:color w:val="231F20"/>
          <w:sz w:val="19"/>
          <w:vertAlign w:val="baseline"/>
        </w:rPr>
        <w:t>relying</w:t>
      </w:r>
      <w:r>
        <w:rPr>
          <w:color w:val="231F20"/>
          <w:spacing w:val="-8"/>
          <w:sz w:val="19"/>
          <w:vertAlign w:val="baseline"/>
        </w:rPr>
        <w:t> </w:t>
      </w:r>
      <w:r>
        <w:rPr>
          <w:color w:val="231F20"/>
          <w:sz w:val="19"/>
          <w:vertAlign w:val="baseline"/>
        </w:rPr>
        <w:t>on</w:t>
      </w:r>
      <w:r>
        <w:rPr>
          <w:color w:val="231F20"/>
          <w:spacing w:val="-7"/>
          <w:sz w:val="19"/>
          <w:vertAlign w:val="baseline"/>
        </w:rPr>
        <w:t> </w:t>
      </w:r>
      <w:r>
        <w:rPr>
          <w:color w:val="231F20"/>
          <w:sz w:val="19"/>
          <w:vertAlign w:val="baseline"/>
        </w:rPr>
        <w:t>the</w:t>
      </w:r>
      <w:r>
        <w:rPr>
          <w:color w:val="231F20"/>
          <w:spacing w:val="-8"/>
          <w:sz w:val="19"/>
          <w:vertAlign w:val="baseline"/>
        </w:rPr>
        <w:t> </w:t>
      </w:r>
      <w:r>
        <w:rPr>
          <w:color w:val="231F20"/>
          <w:sz w:val="19"/>
          <w:vertAlign w:val="baseline"/>
        </w:rPr>
        <w:t>figure</w:t>
      </w:r>
      <w:r>
        <w:rPr>
          <w:color w:val="231F20"/>
          <w:spacing w:val="-8"/>
          <w:sz w:val="19"/>
          <w:vertAlign w:val="baseline"/>
        </w:rPr>
        <w:t> </w:t>
      </w:r>
      <w:r>
        <w:rPr>
          <w:color w:val="231F20"/>
          <w:sz w:val="19"/>
          <w:vertAlign w:val="baseline"/>
        </w:rPr>
        <w:t>of</w:t>
      </w:r>
      <w:r>
        <w:rPr>
          <w:color w:val="231F20"/>
          <w:spacing w:val="-5"/>
          <w:sz w:val="19"/>
          <w:vertAlign w:val="baseline"/>
        </w:rPr>
        <w:t> </w:t>
      </w:r>
      <w:r>
        <w:rPr>
          <w:color w:val="231F20"/>
          <w:sz w:val="19"/>
          <w:vertAlign w:val="baseline"/>
        </w:rPr>
        <w:t>the</w:t>
      </w:r>
      <w:r>
        <w:rPr>
          <w:color w:val="231F20"/>
          <w:spacing w:val="-8"/>
          <w:sz w:val="19"/>
          <w:vertAlign w:val="baseline"/>
        </w:rPr>
        <w:t> </w:t>
      </w:r>
      <w:r>
        <w:rPr>
          <w:color w:val="231F20"/>
          <w:sz w:val="19"/>
          <w:vertAlign w:val="baseline"/>
        </w:rPr>
        <w:t>ordinary</w:t>
      </w:r>
      <w:r>
        <w:rPr>
          <w:color w:val="231F20"/>
          <w:spacing w:val="-7"/>
          <w:sz w:val="19"/>
          <w:vertAlign w:val="baseline"/>
        </w:rPr>
        <w:t> </w:t>
      </w:r>
      <w:r>
        <w:rPr>
          <w:color w:val="231F20"/>
          <w:sz w:val="19"/>
          <w:vertAlign w:val="baseline"/>
        </w:rPr>
        <w:t>interest</w:t>
      </w:r>
      <w:r>
        <w:rPr>
          <w:color w:val="231F20"/>
          <w:spacing w:val="-8"/>
          <w:sz w:val="19"/>
          <w:vertAlign w:val="baseline"/>
        </w:rPr>
        <w:t> </w:t>
      </w:r>
      <w:r>
        <w:rPr>
          <w:color w:val="231F20"/>
          <w:sz w:val="19"/>
          <w:vertAlign w:val="baseline"/>
        </w:rPr>
        <w:t>rate</w:t>
      </w:r>
      <w:r>
        <w:rPr>
          <w:color w:val="231F20"/>
          <w:spacing w:val="-8"/>
          <w:sz w:val="19"/>
          <w:vertAlign w:val="baseline"/>
        </w:rPr>
        <w:t> </w:t>
      </w:r>
      <w:r>
        <w:rPr>
          <w:color w:val="231F20"/>
          <w:spacing w:val="-5"/>
          <w:sz w:val="19"/>
          <w:vertAlign w:val="baseline"/>
        </w:rPr>
        <w:t>to</w:t>
      </w:r>
    </w:p>
    <w:p>
      <w:pPr>
        <w:pStyle w:val="BodyText"/>
        <w:rPr>
          <w:sz w:val="20"/>
        </w:rPr>
      </w:pPr>
    </w:p>
    <w:p>
      <w:pPr>
        <w:pStyle w:val="BodyText"/>
        <w:spacing w:before="223"/>
        <w:rPr>
          <w:sz w:val="20"/>
        </w:rPr>
      </w:pPr>
      <w:r>
        <w:rPr/>
        <mc:AlternateContent>
          <mc:Choice Requires="wps">
            <w:drawing>
              <wp:anchor distT="0" distB="0" distL="0" distR="0" allowOverlap="1" layoutInCell="1" locked="0" behindDoc="1" simplePos="0" relativeHeight="487599616">
                <wp:simplePos x="0" y="0"/>
                <wp:positionH relativeFrom="page">
                  <wp:posOffset>1979993</wp:posOffset>
                </wp:positionH>
                <wp:positionV relativeFrom="paragraph">
                  <wp:posOffset>301496</wp:posOffset>
                </wp:positionV>
                <wp:extent cx="1656080" cy="4445"/>
                <wp:effectExtent l="0" t="0" r="0" b="0"/>
                <wp:wrapTopAndBottom/>
                <wp:docPr id="26" name="Graphic 26"/>
                <wp:cNvGraphicFramePr>
                  <a:graphicFrameLocks/>
                </wp:cNvGraphicFramePr>
                <a:graphic>
                  <a:graphicData uri="http://schemas.microsoft.com/office/word/2010/wordprocessingShape">
                    <wps:wsp>
                      <wps:cNvPr id="26" name="Graphic 26"/>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3.739916pt;width:130.394pt;height:.34015pt;mso-position-horizontal-relative:page;mso-position-vertical-relative:paragraph;z-index:-15716864;mso-wrap-distance-left:0;mso-wrap-distance-right:0" id="docshape26"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88" w:lineRule="auto" w:before="0" w:after="0"/>
        <w:ind w:left="866" w:right="868" w:hanging="354"/>
        <w:jc w:val="both"/>
        <w:rPr>
          <w:sz w:val="16"/>
        </w:rPr>
      </w:pPr>
      <w:r>
        <w:rPr>
          <w:color w:val="231F20"/>
          <w:sz w:val="16"/>
        </w:rPr>
        <w:t>Among</w:t>
      </w:r>
      <w:r>
        <w:rPr>
          <w:color w:val="231F20"/>
          <w:spacing w:val="-7"/>
          <w:sz w:val="16"/>
        </w:rPr>
        <w:t> </w:t>
      </w:r>
      <w:r>
        <w:rPr>
          <w:color w:val="231F20"/>
          <w:sz w:val="16"/>
        </w:rPr>
        <w:t>many,</w:t>
      </w:r>
      <w:r>
        <w:rPr>
          <w:color w:val="231F20"/>
          <w:spacing w:val="-7"/>
          <w:sz w:val="16"/>
        </w:rPr>
        <w:t> </w:t>
      </w:r>
      <w:r>
        <w:rPr>
          <w:color w:val="231F20"/>
          <w:sz w:val="16"/>
        </w:rPr>
        <w:t>ECJ</w:t>
      </w:r>
      <w:r>
        <w:rPr>
          <w:color w:val="231F20"/>
          <w:spacing w:val="-7"/>
          <w:sz w:val="16"/>
        </w:rPr>
        <w:t> </w:t>
      </w:r>
      <w:r>
        <w:rPr>
          <w:color w:val="231F20"/>
          <w:sz w:val="16"/>
        </w:rPr>
        <w:t>21</w:t>
      </w:r>
      <w:r>
        <w:rPr>
          <w:color w:val="231F20"/>
          <w:spacing w:val="-6"/>
          <w:sz w:val="16"/>
        </w:rPr>
        <w:t> </w:t>
      </w:r>
      <w:r>
        <w:rPr>
          <w:color w:val="231F20"/>
          <w:sz w:val="16"/>
        </w:rPr>
        <w:t>Jan.</w:t>
      </w:r>
      <w:r>
        <w:rPr>
          <w:color w:val="231F20"/>
          <w:spacing w:val="-6"/>
          <w:sz w:val="16"/>
        </w:rPr>
        <w:t> </w:t>
      </w:r>
      <w:r>
        <w:rPr>
          <w:color w:val="231F20"/>
          <w:sz w:val="16"/>
        </w:rPr>
        <w:t>2015,</w:t>
      </w:r>
      <w:r>
        <w:rPr>
          <w:color w:val="231F20"/>
          <w:spacing w:val="-7"/>
          <w:sz w:val="16"/>
        </w:rPr>
        <w:t> </w:t>
      </w:r>
      <w:r>
        <w:rPr>
          <w:color w:val="231F20"/>
          <w:sz w:val="16"/>
        </w:rPr>
        <w:t>ECLI:EU:C:2015:21,</w:t>
      </w:r>
      <w:r>
        <w:rPr>
          <w:color w:val="231F20"/>
          <w:spacing w:val="-7"/>
          <w:sz w:val="16"/>
        </w:rPr>
        <w:t> </w:t>
      </w:r>
      <w:r>
        <w:rPr>
          <w:i/>
          <w:color w:val="231F20"/>
          <w:sz w:val="16"/>
        </w:rPr>
        <w:t>Unicaja</w:t>
      </w:r>
      <w:r>
        <w:rPr>
          <w:i/>
          <w:color w:val="231F20"/>
          <w:spacing w:val="-6"/>
          <w:sz w:val="16"/>
        </w:rPr>
        <w:t> </w:t>
      </w:r>
      <w:r>
        <w:rPr>
          <w:i/>
          <w:color w:val="231F20"/>
          <w:sz w:val="16"/>
        </w:rPr>
        <w:t>Banco</w:t>
      </w:r>
      <w:r>
        <w:rPr>
          <w:color w:val="231F20"/>
          <w:sz w:val="16"/>
        </w:rPr>
        <w:t>,</w:t>
      </w:r>
      <w:r>
        <w:rPr>
          <w:color w:val="231F20"/>
          <w:spacing w:val="-7"/>
          <w:sz w:val="16"/>
        </w:rPr>
        <w:t> </w:t>
      </w:r>
      <w:r>
        <w:rPr>
          <w:color w:val="231F20"/>
          <w:sz w:val="16"/>
        </w:rPr>
        <w:t>para.</w:t>
      </w:r>
      <w:r>
        <w:rPr>
          <w:color w:val="231F20"/>
          <w:spacing w:val="-7"/>
          <w:sz w:val="16"/>
        </w:rPr>
        <w:t> </w:t>
      </w:r>
      <w:r>
        <w:rPr>
          <w:color w:val="231F20"/>
          <w:sz w:val="16"/>
        </w:rPr>
        <w:t>28;</w:t>
      </w:r>
      <w:r>
        <w:rPr>
          <w:color w:val="231F20"/>
          <w:spacing w:val="-6"/>
          <w:sz w:val="16"/>
        </w:rPr>
        <w:t> </w:t>
      </w:r>
      <w:r>
        <w:rPr>
          <w:color w:val="231F20"/>
          <w:sz w:val="16"/>
        </w:rPr>
        <w:t>ECJ</w:t>
      </w:r>
      <w:r>
        <w:rPr>
          <w:color w:val="231F20"/>
          <w:spacing w:val="-7"/>
          <w:sz w:val="16"/>
        </w:rPr>
        <w:t> </w:t>
      </w:r>
      <w:r>
        <w:rPr>
          <w:color w:val="231F20"/>
          <w:sz w:val="16"/>
        </w:rPr>
        <w:t>27</w:t>
      </w:r>
      <w:r>
        <w:rPr>
          <w:color w:val="231F20"/>
          <w:spacing w:val="-7"/>
          <w:sz w:val="16"/>
        </w:rPr>
        <w:t> </w:t>
      </w:r>
      <w:r>
        <w:rPr>
          <w:color w:val="231F20"/>
          <w:sz w:val="16"/>
        </w:rPr>
        <w:t>Jan.</w:t>
      </w:r>
      <w:r>
        <w:rPr>
          <w:color w:val="231F20"/>
          <w:spacing w:val="-6"/>
          <w:sz w:val="16"/>
        </w:rPr>
        <w:t> </w:t>
      </w:r>
      <w:r>
        <w:rPr>
          <w:color w:val="231F20"/>
          <w:sz w:val="16"/>
        </w:rPr>
        <w:t>2021,</w:t>
      </w:r>
      <w:r>
        <w:rPr>
          <w:color w:val="231F20"/>
          <w:spacing w:val="40"/>
          <w:sz w:val="16"/>
        </w:rPr>
        <w:t> </w:t>
      </w:r>
      <w:r>
        <w:rPr>
          <w:color w:val="231F20"/>
          <w:sz w:val="16"/>
        </w:rPr>
        <w:t>ECLI:EU:C:2021:68, </w:t>
      </w:r>
      <w:r>
        <w:rPr>
          <w:i/>
          <w:color w:val="231F20"/>
          <w:sz w:val="16"/>
        </w:rPr>
        <w:t>Dexia</w:t>
      </w:r>
      <w:r>
        <w:rPr>
          <w:color w:val="231F20"/>
          <w:sz w:val="16"/>
        </w:rPr>
        <w:t>, para. 63.</w:t>
      </w:r>
    </w:p>
    <w:p>
      <w:pPr>
        <w:pStyle w:val="ListParagraph"/>
        <w:numPr>
          <w:ilvl w:val="0"/>
          <w:numId w:val="3"/>
        </w:numPr>
        <w:tabs>
          <w:tab w:pos="866" w:val="left" w:leader="none"/>
        </w:tabs>
        <w:spacing w:line="288" w:lineRule="auto" w:before="1" w:after="0"/>
        <w:ind w:left="866" w:right="868" w:hanging="354"/>
        <w:jc w:val="both"/>
        <w:rPr>
          <w:sz w:val="16"/>
        </w:rPr>
      </w:pPr>
      <w:r>
        <w:rPr>
          <w:color w:val="231F20"/>
          <w:spacing w:val="-2"/>
          <w:sz w:val="16"/>
        </w:rPr>
        <w:t>ECJ</w:t>
      </w:r>
      <w:r>
        <w:rPr>
          <w:color w:val="231F20"/>
          <w:spacing w:val="-8"/>
          <w:sz w:val="16"/>
        </w:rPr>
        <w:t> </w:t>
      </w:r>
      <w:r>
        <w:rPr>
          <w:color w:val="231F20"/>
          <w:spacing w:val="-2"/>
          <w:sz w:val="16"/>
        </w:rPr>
        <w:t>7</w:t>
      </w:r>
      <w:r>
        <w:rPr>
          <w:color w:val="231F20"/>
          <w:spacing w:val="-8"/>
          <w:sz w:val="16"/>
        </w:rPr>
        <w:t> </w:t>
      </w:r>
      <w:r>
        <w:rPr>
          <w:color w:val="231F20"/>
          <w:spacing w:val="-2"/>
          <w:sz w:val="16"/>
        </w:rPr>
        <w:t>Aug.</w:t>
      </w:r>
      <w:r>
        <w:rPr>
          <w:color w:val="231F20"/>
          <w:spacing w:val="-7"/>
          <w:sz w:val="16"/>
        </w:rPr>
        <w:t> </w:t>
      </w:r>
      <w:r>
        <w:rPr>
          <w:color w:val="231F20"/>
          <w:spacing w:val="-2"/>
          <w:sz w:val="16"/>
        </w:rPr>
        <w:t>2018,</w:t>
      </w:r>
      <w:r>
        <w:rPr>
          <w:color w:val="231F20"/>
          <w:spacing w:val="-8"/>
          <w:sz w:val="16"/>
        </w:rPr>
        <w:t> </w:t>
      </w:r>
      <w:r>
        <w:rPr>
          <w:color w:val="231F20"/>
          <w:spacing w:val="-2"/>
          <w:sz w:val="16"/>
        </w:rPr>
        <w:t>ECLI:EU:C:2018:643,</w:t>
      </w:r>
      <w:r>
        <w:rPr>
          <w:color w:val="231F20"/>
          <w:spacing w:val="-8"/>
          <w:sz w:val="16"/>
        </w:rPr>
        <w:t> </w:t>
      </w:r>
      <w:r>
        <w:rPr>
          <w:i/>
          <w:color w:val="231F20"/>
          <w:spacing w:val="-2"/>
          <w:sz w:val="16"/>
        </w:rPr>
        <w:t>Banco</w:t>
      </w:r>
      <w:r>
        <w:rPr>
          <w:i/>
          <w:color w:val="231F20"/>
          <w:spacing w:val="-7"/>
          <w:sz w:val="16"/>
        </w:rPr>
        <w:t> </w:t>
      </w:r>
      <w:r>
        <w:rPr>
          <w:i/>
          <w:color w:val="231F20"/>
          <w:spacing w:val="-2"/>
          <w:sz w:val="16"/>
        </w:rPr>
        <w:t>Santander</w:t>
      </w:r>
      <w:r>
        <w:rPr>
          <w:i/>
          <w:color w:val="231F20"/>
          <w:spacing w:val="-8"/>
          <w:sz w:val="16"/>
        </w:rPr>
        <w:t> </w:t>
      </w:r>
      <w:r>
        <w:rPr>
          <w:i/>
          <w:color w:val="231F20"/>
          <w:spacing w:val="-2"/>
          <w:sz w:val="16"/>
        </w:rPr>
        <w:t>SA</w:t>
      </w:r>
      <w:r>
        <w:rPr>
          <w:i/>
          <w:color w:val="231F20"/>
          <w:spacing w:val="-8"/>
          <w:sz w:val="16"/>
        </w:rPr>
        <w:t> </w:t>
      </w:r>
      <w:r>
        <w:rPr>
          <w:color w:val="231F20"/>
          <w:spacing w:val="-2"/>
          <w:sz w:val="16"/>
        </w:rPr>
        <w:t>v.</w:t>
      </w:r>
      <w:r>
        <w:rPr>
          <w:color w:val="231F20"/>
          <w:spacing w:val="-7"/>
          <w:sz w:val="16"/>
        </w:rPr>
        <w:t> </w:t>
      </w:r>
      <w:r>
        <w:rPr>
          <w:i/>
          <w:color w:val="231F20"/>
          <w:spacing w:val="-2"/>
          <w:sz w:val="16"/>
        </w:rPr>
        <w:t>Mahamadou</w:t>
      </w:r>
      <w:r>
        <w:rPr>
          <w:i/>
          <w:color w:val="231F20"/>
          <w:spacing w:val="-8"/>
          <w:sz w:val="16"/>
        </w:rPr>
        <w:t> </w:t>
      </w:r>
      <w:r>
        <w:rPr>
          <w:i/>
          <w:color w:val="231F20"/>
          <w:spacing w:val="-2"/>
          <w:sz w:val="16"/>
        </w:rPr>
        <w:t>Demba</w:t>
      </w:r>
      <w:r>
        <w:rPr>
          <w:i/>
          <w:color w:val="231F20"/>
          <w:spacing w:val="-8"/>
          <w:sz w:val="16"/>
        </w:rPr>
        <w:t> </w:t>
      </w:r>
      <w:r>
        <w:rPr>
          <w:i/>
          <w:color w:val="231F20"/>
          <w:spacing w:val="-2"/>
          <w:sz w:val="16"/>
        </w:rPr>
        <w:t>and</w:t>
      </w:r>
      <w:r>
        <w:rPr>
          <w:i/>
          <w:color w:val="231F20"/>
          <w:spacing w:val="-7"/>
          <w:sz w:val="16"/>
        </w:rPr>
        <w:t> </w:t>
      </w:r>
      <w:r>
        <w:rPr>
          <w:i/>
          <w:color w:val="231F20"/>
          <w:spacing w:val="-2"/>
          <w:sz w:val="16"/>
        </w:rPr>
        <w:t>Mercedes</w:t>
      </w:r>
      <w:r>
        <w:rPr>
          <w:i/>
          <w:color w:val="231F20"/>
          <w:spacing w:val="40"/>
          <w:sz w:val="16"/>
        </w:rPr>
        <w:t> </w:t>
      </w:r>
      <w:r>
        <w:rPr>
          <w:i/>
          <w:color w:val="231F20"/>
          <w:spacing w:val="-2"/>
          <w:sz w:val="16"/>
        </w:rPr>
        <w:t>Godoy Bonet and Rafael Ramón Escobedo Cortés </w:t>
      </w:r>
      <w:r>
        <w:rPr>
          <w:color w:val="231F20"/>
          <w:spacing w:val="-2"/>
          <w:sz w:val="16"/>
        </w:rPr>
        <w:t>v. </w:t>
      </w:r>
      <w:r>
        <w:rPr>
          <w:i/>
          <w:color w:val="231F20"/>
          <w:spacing w:val="-2"/>
          <w:sz w:val="16"/>
        </w:rPr>
        <w:t>Banco de Sabadell SA</w:t>
      </w:r>
      <w:r>
        <w:rPr>
          <w:color w:val="231F20"/>
          <w:spacing w:val="-2"/>
          <w:sz w:val="16"/>
        </w:rPr>
        <w:t>, curia.europa.eu/juris/</w:t>
      </w:r>
      <w:r>
        <w:rPr>
          <w:color w:val="231F20"/>
          <w:spacing w:val="40"/>
          <w:sz w:val="16"/>
        </w:rPr>
        <w:t> </w:t>
      </w:r>
      <w:r>
        <w:rPr>
          <w:color w:val="231F20"/>
          <w:spacing w:val="-2"/>
          <w:sz w:val="16"/>
        </w:rPr>
        <w:t>liste.jsf?num=C-96/16.</w:t>
      </w:r>
    </w:p>
    <w:p>
      <w:pPr>
        <w:pStyle w:val="ListParagraph"/>
        <w:numPr>
          <w:ilvl w:val="0"/>
          <w:numId w:val="3"/>
        </w:numPr>
        <w:tabs>
          <w:tab w:pos="865" w:val="left" w:leader="none"/>
        </w:tabs>
        <w:spacing w:line="240" w:lineRule="auto" w:before="2" w:after="0"/>
        <w:ind w:left="865" w:right="0" w:hanging="353"/>
        <w:jc w:val="left"/>
        <w:rPr>
          <w:sz w:val="16"/>
        </w:rPr>
      </w:pPr>
      <w:r>
        <w:rPr>
          <w:color w:val="231F20"/>
          <w:sz w:val="16"/>
        </w:rPr>
        <w:t>ECJ</w:t>
      </w:r>
      <w:r>
        <w:rPr>
          <w:color w:val="231F20"/>
          <w:spacing w:val="-4"/>
          <w:sz w:val="16"/>
        </w:rPr>
        <w:t> </w:t>
      </w:r>
      <w:r>
        <w:rPr>
          <w:color w:val="231F20"/>
          <w:sz w:val="16"/>
        </w:rPr>
        <w:t>7</w:t>
      </w:r>
      <w:r>
        <w:rPr>
          <w:color w:val="231F20"/>
          <w:spacing w:val="-4"/>
          <w:sz w:val="16"/>
        </w:rPr>
        <w:t> </w:t>
      </w:r>
      <w:r>
        <w:rPr>
          <w:color w:val="231F20"/>
          <w:sz w:val="16"/>
        </w:rPr>
        <w:t>Aug.</w:t>
      </w:r>
      <w:r>
        <w:rPr>
          <w:color w:val="231F20"/>
          <w:spacing w:val="-3"/>
          <w:sz w:val="16"/>
        </w:rPr>
        <w:t> </w:t>
      </w:r>
      <w:r>
        <w:rPr>
          <w:color w:val="231F20"/>
          <w:sz w:val="16"/>
        </w:rPr>
        <w:t>2018,</w:t>
      </w:r>
      <w:r>
        <w:rPr>
          <w:color w:val="231F20"/>
          <w:spacing w:val="-3"/>
          <w:sz w:val="16"/>
        </w:rPr>
        <w:t> </w:t>
      </w:r>
      <w:r>
        <w:rPr>
          <w:color w:val="231F20"/>
          <w:sz w:val="16"/>
        </w:rPr>
        <w:t>ECLI:EU:C:2018:643,</w:t>
      </w:r>
      <w:r>
        <w:rPr>
          <w:color w:val="231F20"/>
          <w:spacing w:val="-3"/>
          <w:sz w:val="16"/>
        </w:rPr>
        <w:t> </w:t>
      </w:r>
      <w:r>
        <w:rPr>
          <w:i/>
          <w:color w:val="231F20"/>
          <w:sz w:val="16"/>
        </w:rPr>
        <w:t>Escobedo</w:t>
      </w:r>
      <w:r>
        <w:rPr>
          <w:i/>
          <w:color w:val="231F20"/>
          <w:spacing w:val="-3"/>
          <w:sz w:val="16"/>
        </w:rPr>
        <w:t> </w:t>
      </w:r>
      <w:r>
        <w:rPr>
          <w:i/>
          <w:color w:val="231F20"/>
          <w:sz w:val="16"/>
        </w:rPr>
        <w:t>Cortés</w:t>
      </w:r>
      <w:r>
        <w:rPr>
          <w:color w:val="231F20"/>
          <w:sz w:val="16"/>
        </w:rPr>
        <w:t>,</w:t>
      </w:r>
      <w:r>
        <w:rPr>
          <w:color w:val="231F20"/>
          <w:spacing w:val="-4"/>
          <w:sz w:val="16"/>
        </w:rPr>
        <w:t> </w:t>
      </w:r>
      <w:r>
        <w:rPr>
          <w:color w:val="231F20"/>
          <w:sz w:val="16"/>
        </w:rPr>
        <w:t>para.</w:t>
      </w:r>
      <w:r>
        <w:rPr>
          <w:color w:val="231F20"/>
          <w:spacing w:val="-4"/>
          <w:sz w:val="16"/>
        </w:rPr>
        <w:t> </w:t>
      </w:r>
      <w:r>
        <w:rPr>
          <w:color w:val="231F20"/>
          <w:spacing w:val="-5"/>
          <w:sz w:val="16"/>
        </w:rPr>
        <w:t>76.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4"/>
          <w:sz w:val="16"/>
        </w:rPr>
        <w:t> </w:t>
      </w:r>
      <w:r>
        <w:rPr>
          <w:color w:val="231F20"/>
          <w:sz w:val="16"/>
        </w:rPr>
        <w:t>7</w:t>
      </w:r>
      <w:r>
        <w:rPr>
          <w:color w:val="231F20"/>
          <w:spacing w:val="-4"/>
          <w:sz w:val="16"/>
        </w:rPr>
        <w:t> </w:t>
      </w:r>
      <w:r>
        <w:rPr>
          <w:color w:val="231F20"/>
          <w:sz w:val="16"/>
        </w:rPr>
        <w:t>Aug.</w:t>
      </w:r>
      <w:r>
        <w:rPr>
          <w:color w:val="231F20"/>
          <w:spacing w:val="-3"/>
          <w:sz w:val="16"/>
        </w:rPr>
        <w:t> </w:t>
      </w:r>
      <w:r>
        <w:rPr>
          <w:color w:val="231F20"/>
          <w:sz w:val="16"/>
        </w:rPr>
        <w:t>2018,</w:t>
      </w:r>
      <w:r>
        <w:rPr>
          <w:color w:val="231F20"/>
          <w:spacing w:val="-3"/>
          <w:sz w:val="16"/>
        </w:rPr>
        <w:t> </w:t>
      </w:r>
      <w:r>
        <w:rPr>
          <w:color w:val="231F20"/>
          <w:sz w:val="16"/>
        </w:rPr>
        <w:t>ECLI:EU:C:2018:643,</w:t>
      </w:r>
      <w:r>
        <w:rPr>
          <w:color w:val="231F20"/>
          <w:spacing w:val="-3"/>
          <w:sz w:val="16"/>
        </w:rPr>
        <w:t> </w:t>
      </w:r>
      <w:r>
        <w:rPr>
          <w:i/>
          <w:color w:val="231F20"/>
          <w:sz w:val="16"/>
        </w:rPr>
        <w:t>Escobedo</w:t>
      </w:r>
      <w:r>
        <w:rPr>
          <w:i/>
          <w:color w:val="231F20"/>
          <w:spacing w:val="-3"/>
          <w:sz w:val="16"/>
        </w:rPr>
        <w:t> </w:t>
      </w:r>
      <w:r>
        <w:rPr>
          <w:i/>
          <w:color w:val="231F20"/>
          <w:sz w:val="16"/>
        </w:rPr>
        <w:t>Cortés</w:t>
      </w:r>
      <w:r>
        <w:rPr>
          <w:color w:val="231F20"/>
          <w:sz w:val="16"/>
        </w:rPr>
        <w:t>,</w:t>
      </w:r>
      <w:r>
        <w:rPr>
          <w:color w:val="231F20"/>
          <w:spacing w:val="-4"/>
          <w:sz w:val="16"/>
        </w:rPr>
        <w:t> </w:t>
      </w:r>
      <w:r>
        <w:rPr>
          <w:color w:val="231F20"/>
          <w:sz w:val="16"/>
        </w:rPr>
        <w:t>para.</w:t>
      </w:r>
      <w:r>
        <w:rPr>
          <w:color w:val="231F20"/>
          <w:spacing w:val="-4"/>
          <w:sz w:val="16"/>
        </w:rPr>
        <w:t> </w:t>
      </w:r>
      <w:r>
        <w:rPr>
          <w:color w:val="231F20"/>
          <w:spacing w:val="-5"/>
          <w:sz w:val="16"/>
        </w:rPr>
        <w:t>78.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28.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3"/>
          <w:sz w:val="16"/>
        </w:rPr>
        <w:t> </w:t>
      </w:r>
      <w:r>
        <w:rPr>
          <w:color w:val="231F20"/>
          <w:sz w:val="16"/>
        </w:rPr>
        <w:t>7</w:t>
      </w:r>
      <w:r>
        <w:rPr>
          <w:color w:val="231F20"/>
          <w:spacing w:val="-2"/>
          <w:sz w:val="16"/>
        </w:rPr>
        <w:t> </w:t>
      </w:r>
      <w:r>
        <w:rPr>
          <w:color w:val="231F20"/>
          <w:sz w:val="16"/>
        </w:rPr>
        <w:t>Aug.</w:t>
      </w:r>
      <w:r>
        <w:rPr>
          <w:color w:val="231F20"/>
          <w:spacing w:val="-1"/>
          <w:sz w:val="16"/>
        </w:rPr>
        <w:t> </w:t>
      </w:r>
      <w:r>
        <w:rPr>
          <w:color w:val="231F20"/>
          <w:sz w:val="16"/>
        </w:rPr>
        <w:t>2018,</w:t>
      </w:r>
      <w:r>
        <w:rPr>
          <w:color w:val="231F20"/>
          <w:spacing w:val="-1"/>
          <w:sz w:val="16"/>
        </w:rPr>
        <w:t> </w:t>
      </w:r>
      <w:r>
        <w:rPr>
          <w:color w:val="231F20"/>
          <w:sz w:val="16"/>
        </w:rPr>
        <w:t>ECLI:EU:C:</w:t>
      </w:r>
      <w:r>
        <w:rPr>
          <w:color w:val="231F20"/>
          <w:spacing w:val="-2"/>
          <w:sz w:val="16"/>
        </w:rPr>
        <w:t> </w:t>
      </w:r>
      <w:r>
        <w:rPr>
          <w:color w:val="231F20"/>
          <w:sz w:val="16"/>
        </w:rPr>
        <w:t>2018:643,</w:t>
      </w:r>
      <w:r>
        <w:rPr>
          <w:color w:val="231F20"/>
          <w:spacing w:val="-2"/>
          <w:sz w:val="16"/>
        </w:rPr>
        <w:t> </w:t>
      </w:r>
      <w:r>
        <w:rPr>
          <w:i/>
          <w:color w:val="231F20"/>
          <w:sz w:val="16"/>
        </w:rPr>
        <w:t>Escobedo</w:t>
      </w:r>
      <w:r>
        <w:rPr>
          <w:i/>
          <w:color w:val="231F20"/>
          <w:spacing w:val="-1"/>
          <w:sz w:val="16"/>
        </w:rPr>
        <w:t> </w:t>
      </w:r>
      <w:r>
        <w:rPr>
          <w:i/>
          <w:color w:val="231F20"/>
          <w:sz w:val="16"/>
        </w:rPr>
        <w:t>Cortés</w:t>
      </w:r>
      <w:r>
        <w:rPr>
          <w:color w:val="231F20"/>
          <w:sz w:val="16"/>
        </w:rPr>
        <w:t>,</w:t>
      </w:r>
      <w:r>
        <w:rPr>
          <w:color w:val="231F20"/>
          <w:spacing w:val="-2"/>
          <w:sz w:val="16"/>
        </w:rPr>
        <w:t> </w:t>
      </w:r>
      <w:r>
        <w:rPr>
          <w:color w:val="231F20"/>
          <w:sz w:val="16"/>
        </w:rPr>
        <w:t>para.</w:t>
      </w:r>
      <w:r>
        <w:rPr>
          <w:color w:val="231F20"/>
          <w:spacing w:val="-2"/>
          <w:sz w:val="16"/>
        </w:rPr>
        <w:t> </w:t>
      </w:r>
      <w:r>
        <w:rPr>
          <w:color w:val="231F20"/>
          <w:spacing w:val="-5"/>
          <w:sz w:val="16"/>
        </w:rPr>
        <w:t>23.</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cover the period in default cannot mean anything other than allowing a reduced default interest rate.</w:t>
      </w:r>
      <w:r>
        <w:rPr>
          <w:color w:val="231F20"/>
          <w:vertAlign w:val="superscript"/>
        </w:rPr>
        <w:t>131</w:t>
      </w:r>
    </w:p>
    <w:p>
      <w:pPr>
        <w:pStyle w:val="ListParagraph"/>
        <w:numPr>
          <w:ilvl w:val="0"/>
          <w:numId w:val="4"/>
        </w:numPr>
        <w:tabs>
          <w:tab w:pos="1324" w:val="left" w:leader="none"/>
        </w:tabs>
        <w:spacing w:line="285" w:lineRule="auto" w:before="119" w:after="0"/>
        <w:ind w:left="871" w:right="867" w:firstLine="0"/>
        <w:jc w:val="both"/>
        <w:rPr>
          <w:sz w:val="19"/>
        </w:rPr>
      </w:pPr>
      <w:r>
        <w:rPr>
          <w:color w:val="231F20"/>
          <w:sz w:val="19"/>
        </w:rPr>
        <w:t>The ECJ might have given some hints to solve the apparent contradiction </w:t>
      </w:r>
      <w:r>
        <w:rPr>
          <w:color w:val="231F20"/>
          <w:spacing w:val="-2"/>
          <w:sz w:val="19"/>
        </w:rPr>
        <w:t>between</w:t>
      </w:r>
      <w:r>
        <w:rPr>
          <w:color w:val="231F20"/>
          <w:spacing w:val="-10"/>
          <w:sz w:val="19"/>
        </w:rPr>
        <w:t> </w:t>
      </w:r>
      <w:r>
        <w:rPr>
          <w:color w:val="231F20"/>
          <w:spacing w:val="-2"/>
          <w:sz w:val="19"/>
        </w:rPr>
        <w:t>its</w:t>
      </w:r>
      <w:r>
        <w:rPr>
          <w:color w:val="231F20"/>
          <w:spacing w:val="-9"/>
          <w:sz w:val="19"/>
        </w:rPr>
        <w:t> </w:t>
      </w:r>
      <w:r>
        <w:rPr>
          <w:color w:val="231F20"/>
          <w:spacing w:val="-2"/>
          <w:sz w:val="19"/>
        </w:rPr>
        <w:t>rulings</w:t>
      </w:r>
      <w:r>
        <w:rPr>
          <w:color w:val="231F20"/>
          <w:spacing w:val="-10"/>
          <w:sz w:val="19"/>
        </w:rPr>
        <w:t> </w:t>
      </w:r>
      <w:r>
        <w:rPr>
          <w:color w:val="231F20"/>
          <w:spacing w:val="-2"/>
          <w:sz w:val="19"/>
        </w:rPr>
        <w:t>in</w:t>
      </w:r>
      <w:r>
        <w:rPr>
          <w:color w:val="231F20"/>
          <w:spacing w:val="-9"/>
          <w:sz w:val="19"/>
        </w:rPr>
        <w:t> </w:t>
      </w:r>
      <w:r>
        <w:rPr>
          <w:i/>
          <w:color w:val="231F20"/>
          <w:spacing w:val="-2"/>
          <w:sz w:val="19"/>
        </w:rPr>
        <w:t>Banco</w:t>
      </w:r>
      <w:r>
        <w:rPr>
          <w:i/>
          <w:color w:val="231F20"/>
          <w:spacing w:val="-8"/>
          <w:sz w:val="19"/>
        </w:rPr>
        <w:t> </w:t>
      </w:r>
      <w:r>
        <w:rPr>
          <w:i/>
          <w:color w:val="231F20"/>
          <w:spacing w:val="-2"/>
          <w:sz w:val="19"/>
        </w:rPr>
        <w:t>Español</w:t>
      </w:r>
      <w:r>
        <w:rPr>
          <w:i/>
          <w:color w:val="231F20"/>
          <w:spacing w:val="-9"/>
          <w:sz w:val="19"/>
        </w:rPr>
        <w:t> </w:t>
      </w:r>
      <w:r>
        <w:rPr>
          <w:color w:val="231F20"/>
          <w:spacing w:val="-2"/>
          <w:sz w:val="19"/>
        </w:rPr>
        <w:t>and</w:t>
      </w:r>
      <w:r>
        <w:rPr>
          <w:color w:val="231F20"/>
          <w:spacing w:val="-9"/>
          <w:sz w:val="19"/>
        </w:rPr>
        <w:t> </w:t>
      </w:r>
      <w:r>
        <w:rPr>
          <w:i/>
          <w:color w:val="231F20"/>
          <w:spacing w:val="-2"/>
          <w:sz w:val="19"/>
        </w:rPr>
        <w:t>Escobedo</w:t>
      </w:r>
      <w:r>
        <w:rPr>
          <w:i/>
          <w:color w:val="231F20"/>
          <w:spacing w:val="-10"/>
          <w:sz w:val="19"/>
        </w:rPr>
        <w:t> </w:t>
      </w:r>
      <w:r>
        <w:rPr>
          <w:i/>
          <w:color w:val="231F20"/>
          <w:spacing w:val="-2"/>
          <w:sz w:val="19"/>
        </w:rPr>
        <w:t>Cortés</w:t>
      </w:r>
      <w:r>
        <w:rPr>
          <w:i/>
          <w:color w:val="231F20"/>
          <w:spacing w:val="-9"/>
          <w:sz w:val="19"/>
        </w:rPr>
        <w:t> </w:t>
      </w:r>
      <w:r>
        <w:rPr>
          <w:color w:val="231F20"/>
          <w:spacing w:val="-2"/>
          <w:sz w:val="19"/>
        </w:rPr>
        <w:t>when</w:t>
      </w:r>
      <w:r>
        <w:rPr>
          <w:color w:val="231F20"/>
          <w:spacing w:val="-9"/>
          <w:sz w:val="19"/>
        </w:rPr>
        <w:t> </w:t>
      </w:r>
      <w:r>
        <w:rPr>
          <w:color w:val="231F20"/>
          <w:spacing w:val="-2"/>
          <w:sz w:val="19"/>
        </w:rPr>
        <w:t>it</w:t>
      </w:r>
      <w:r>
        <w:rPr>
          <w:color w:val="231F20"/>
          <w:spacing w:val="-9"/>
          <w:sz w:val="19"/>
        </w:rPr>
        <w:t> </w:t>
      </w:r>
      <w:r>
        <w:rPr>
          <w:color w:val="231F20"/>
          <w:spacing w:val="-2"/>
          <w:sz w:val="19"/>
        </w:rPr>
        <w:t>defined</w:t>
      </w:r>
      <w:r>
        <w:rPr>
          <w:color w:val="231F20"/>
          <w:spacing w:val="-10"/>
          <w:sz w:val="19"/>
        </w:rPr>
        <w:t> </w:t>
      </w:r>
      <w:r>
        <w:rPr>
          <w:color w:val="231F20"/>
          <w:spacing w:val="-2"/>
          <w:sz w:val="19"/>
        </w:rPr>
        <w:t>the</w:t>
      </w:r>
      <w:r>
        <w:rPr>
          <w:color w:val="231F20"/>
          <w:spacing w:val="-8"/>
          <w:sz w:val="19"/>
        </w:rPr>
        <w:t> </w:t>
      </w:r>
      <w:r>
        <w:rPr>
          <w:color w:val="231F20"/>
          <w:spacing w:val="-2"/>
          <w:sz w:val="19"/>
        </w:rPr>
        <w:t>aims </w:t>
      </w:r>
      <w:r>
        <w:rPr>
          <w:color w:val="231F20"/>
          <w:sz w:val="19"/>
        </w:rPr>
        <w:t>of interest rates.</w:t>
      </w:r>
      <w:r>
        <w:rPr>
          <w:color w:val="231F20"/>
          <w:sz w:val="19"/>
          <w:vertAlign w:val="superscript"/>
        </w:rPr>
        <w:t>132</w:t>
      </w:r>
      <w:r>
        <w:rPr>
          <w:color w:val="231F20"/>
          <w:sz w:val="19"/>
          <w:vertAlign w:val="baseline"/>
        </w:rPr>
        <w:t> According to the Court, the contractual interest rate </w:t>
      </w:r>
      <w:r>
        <w:rPr>
          <w:color w:val="231F20"/>
          <w:sz w:val="19"/>
          <w:vertAlign w:val="baseline"/>
        </w:rPr>
        <w:t>would remunerate the lender for </w:t>
      </w:r>
      <w:r>
        <w:rPr>
          <w:rFonts w:ascii="Arial" w:hAnsi="Arial"/>
          <w:color w:val="231F20"/>
          <w:sz w:val="19"/>
          <w:vertAlign w:val="baseline"/>
        </w:rPr>
        <w:t>‘</w:t>
      </w:r>
      <w:r>
        <w:rPr>
          <w:color w:val="231F20"/>
          <w:sz w:val="19"/>
          <w:vertAlign w:val="baseline"/>
        </w:rPr>
        <w:t>making a sum of money available until that sum has been repaid</w:t>
      </w:r>
      <w:r>
        <w:rPr>
          <w:rFonts w:ascii="Arial" w:hAnsi="Arial"/>
          <w:color w:val="231F20"/>
          <w:sz w:val="19"/>
          <w:vertAlign w:val="baseline"/>
        </w:rPr>
        <w:t>’</w:t>
      </w:r>
      <w:r>
        <w:rPr>
          <w:color w:val="231F20"/>
          <w:sz w:val="19"/>
          <w:vertAlign w:val="baseline"/>
        </w:rPr>
        <w:t>.</w:t>
      </w:r>
      <w:r>
        <w:rPr>
          <w:color w:val="231F20"/>
          <w:sz w:val="19"/>
          <w:vertAlign w:val="superscript"/>
        </w:rPr>
        <w:t>133</w:t>
      </w:r>
      <w:r>
        <w:rPr>
          <w:color w:val="231F20"/>
          <w:sz w:val="19"/>
          <w:vertAlign w:val="baseline"/>
        </w:rPr>
        <w:t> The default interest rate would have several goals: to deter the debtor from the breach, to penalize the debtor for the breach of contract, and to </w:t>
      </w:r>
      <w:r>
        <w:rPr>
          <w:color w:val="231F20"/>
          <w:spacing w:val="-2"/>
          <w:sz w:val="19"/>
          <w:vertAlign w:val="baseline"/>
        </w:rPr>
        <w:t>compensate</w:t>
      </w:r>
      <w:r>
        <w:rPr>
          <w:color w:val="231F20"/>
          <w:spacing w:val="-4"/>
          <w:sz w:val="19"/>
          <w:vertAlign w:val="baseline"/>
        </w:rPr>
        <w:t> </w:t>
      </w:r>
      <w:r>
        <w:rPr>
          <w:color w:val="231F20"/>
          <w:spacing w:val="-2"/>
          <w:sz w:val="19"/>
          <w:vertAlign w:val="baseline"/>
        </w:rPr>
        <w:t>the</w:t>
      </w:r>
      <w:r>
        <w:rPr>
          <w:color w:val="231F20"/>
          <w:spacing w:val="-5"/>
          <w:sz w:val="19"/>
          <w:vertAlign w:val="baseline"/>
        </w:rPr>
        <w:t> </w:t>
      </w:r>
      <w:r>
        <w:rPr>
          <w:color w:val="231F20"/>
          <w:spacing w:val="-2"/>
          <w:sz w:val="19"/>
          <w:vertAlign w:val="baseline"/>
        </w:rPr>
        <w:t>lender</w:t>
      </w:r>
      <w:r>
        <w:rPr>
          <w:color w:val="231F20"/>
          <w:spacing w:val="-4"/>
          <w:sz w:val="19"/>
          <w:vertAlign w:val="baseline"/>
        </w:rPr>
        <w:t> </w:t>
      </w:r>
      <w:r>
        <w:rPr>
          <w:color w:val="231F20"/>
          <w:spacing w:val="-2"/>
          <w:sz w:val="19"/>
          <w:vertAlign w:val="baseline"/>
        </w:rPr>
        <w:t>for</w:t>
      </w:r>
      <w:r>
        <w:rPr>
          <w:color w:val="231F20"/>
          <w:spacing w:val="-6"/>
          <w:sz w:val="19"/>
          <w:vertAlign w:val="baseline"/>
        </w:rPr>
        <w:t> </w:t>
      </w:r>
      <w:r>
        <w:rPr>
          <w:color w:val="231F20"/>
          <w:spacing w:val="-2"/>
          <w:sz w:val="19"/>
          <w:vertAlign w:val="baseline"/>
        </w:rPr>
        <w:t>any</w:t>
      </w:r>
      <w:r>
        <w:rPr>
          <w:color w:val="231F20"/>
          <w:spacing w:val="-5"/>
          <w:sz w:val="19"/>
          <w:vertAlign w:val="baseline"/>
        </w:rPr>
        <w:t> </w:t>
      </w:r>
      <w:r>
        <w:rPr>
          <w:color w:val="231F20"/>
          <w:spacing w:val="-2"/>
          <w:sz w:val="19"/>
          <w:vertAlign w:val="baseline"/>
        </w:rPr>
        <w:t>loss</w:t>
      </w:r>
      <w:r>
        <w:rPr>
          <w:color w:val="231F20"/>
          <w:spacing w:val="-5"/>
          <w:sz w:val="19"/>
          <w:vertAlign w:val="baseline"/>
        </w:rPr>
        <w:t> </w:t>
      </w:r>
      <w:r>
        <w:rPr>
          <w:color w:val="231F20"/>
          <w:spacing w:val="-2"/>
          <w:sz w:val="19"/>
          <w:vertAlign w:val="baseline"/>
        </w:rPr>
        <w:t>suffered</w:t>
      </w:r>
      <w:r>
        <w:rPr>
          <w:color w:val="231F20"/>
          <w:spacing w:val="-4"/>
          <w:sz w:val="19"/>
          <w:vertAlign w:val="baseline"/>
        </w:rPr>
        <w:t> </w:t>
      </w:r>
      <w:r>
        <w:rPr>
          <w:color w:val="231F20"/>
          <w:spacing w:val="-2"/>
          <w:sz w:val="19"/>
          <w:vertAlign w:val="baseline"/>
        </w:rPr>
        <w:t>as</w:t>
      </w:r>
      <w:r>
        <w:rPr>
          <w:color w:val="231F20"/>
          <w:spacing w:val="-4"/>
          <w:sz w:val="19"/>
          <w:vertAlign w:val="baseline"/>
        </w:rPr>
        <w:t> </w:t>
      </w:r>
      <w:r>
        <w:rPr>
          <w:color w:val="231F20"/>
          <w:spacing w:val="-2"/>
          <w:sz w:val="19"/>
          <w:vertAlign w:val="baseline"/>
        </w:rPr>
        <w:t>a</w:t>
      </w:r>
      <w:r>
        <w:rPr>
          <w:color w:val="231F20"/>
          <w:spacing w:val="-4"/>
          <w:sz w:val="19"/>
          <w:vertAlign w:val="baseline"/>
        </w:rPr>
        <w:t> </w:t>
      </w:r>
      <w:r>
        <w:rPr>
          <w:color w:val="231F20"/>
          <w:spacing w:val="-2"/>
          <w:sz w:val="19"/>
          <w:vertAlign w:val="baseline"/>
        </w:rPr>
        <w:t>result</w:t>
      </w:r>
      <w:r>
        <w:rPr>
          <w:color w:val="231F20"/>
          <w:spacing w:val="-4"/>
          <w:sz w:val="19"/>
          <w:vertAlign w:val="baseline"/>
        </w:rPr>
        <w:t> </w:t>
      </w:r>
      <w:r>
        <w:rPr>
          <w:color w:val="231F20"/>
          <w:spacing w:val="-2"/>
          <w:sz w:val="19"/>
          <w:vertAlign w:val="baseline"/>
        </w:rPr>
        <w:t>of</w:t>
      </w:r>
      <w:r>
        <w:rPr>
          <w:color w:val="231F20"/>
          <w:sz w:val="19"/>
          <w:vertAlign w:val="baseline"/>
        </w:rPr>
        <w:t> </w:t>
      </w:r>
      <w:r>
        <w:rPr>
          <w:color w:val="231F20"/>
          <w:spacing w:val="-2"/>
          <w:sz w:val="19"/>
          <w:vertAlign w:val="baseline"/>
        </w:rPr>
        <w:t>late</w:t>
      </w:r>
      <w:r>
        <w:rPr>
          <w:color w:val="231F20"/>
          <w:spacing w:val="-4"/>
          <w:sz w:val="19"/>
          <w:vertAlign w:val="baseline"/>
        </w:rPr>
        <w:t> </w:t>
      </w:r>
      <w:r>
        <w:rPr>
          <w:color w:val="231F20"/>
          <w:spacing w:val="-2"/>
          <w:sz w:val="19"/>
          <w:vertAlign w:val="baseline"/>
        </w:rPr>
        <w:t>payment.</w:t>
      </w:r>
      <w:r>
        <w:rPr>
          <w:color w:val="231F20"/>
          <w:spacing w:val="-2"/>
          <w:sz w:val="19"/>
          <w:vertAlign w:val="superscript"/>
        </w:rPr>
        <w:t>134</w:t>
      </w:r>
      <w:r>
        <w:rPr>
          <w:color w:val="231F20"/>
          <w:spacing w:val="-5"/>
          <w:sz w:val="19"/>
          <w:vertAlign w:val="baseline"/>
        </w:rPr>
        <w:t> </w:t>
      </w:r>
      <w:r>
        <w:rPr>
          <w:color w:val="231F20"/>
          <w:spacing w:val="-2"/>
          <w:sz w:val="19"/>
          <w:vertAlign w:val="baseline"/>
        </w:rPr>
        <w:t>However, </w:t>
      </w:r>
      <w:r>
        <w:rPr>
          <w:color w:val="231F20"/>
          <w:sz w:val="19"/>
          <w:vertAlign w:val="baseline"/>
        </w:rPr>
        <w:t>the</w:t>
      </w:r>
      <w:r>
        <w:rPr>
          <w:color w:val="231F20"/>
          <w:spacing w:val="-4"/>
          <w:sz w:val="19"/>
          <w:vertAlign w:val="baseline"/>
        </w:rPr>
        <w:t> </w:t>
      </w:r>
      <w:r>
        <w:rPr>
          <w:color w:val="231F20"/>
          <w:sz w:val="19"/>
          <w:vertAlign w:val="baseline"/>
        </w:rPr>
        <w:t>ECJ</w:t>
      </w:r>
      <w:r>
        <w:rPr>
          <w:color w:val="231F20"/>
          <w:spacing w:val="-4"/>
          <w:sz w:val="19"/>
          <w:vertAlign w:val="baseline"/>
        </w:rPr>
        <w:t> </w:t>
      </w:r>
      <w:r>
        <w:rPr>
          <w:color w:val="231F20"/>
          <w:sz w:val="19"/>
          <w:vertAlign w:val="baseline"/>
        </w:rPr>
        <w:t>did</w:t>
      </w:r>
      <w:r>
        <w:rPr>
          <w:color w:val="231F20"/>
          <w:spacing w:val="-3"/>
          <w:sz w:val="19"/>
          <w:vertAlign w:val="baseline"/>
        </w:rPr>
        <w:t> </w:t>
      </w:r>
      <w:r>
        <w:rPr>
          <w:color w:val="231F20"/>
          <w:sz w:val="19"/>
          <w:vertAlign w:val="baseline"/>
        </w:rPr>
        <w:t>not</w:t>
      </w:r>
      <w:r>
        <w:rPr>
          <w:color w:val="231F20"/>
          <w:spacing w:val="-4"/>
          <w:sz w:val="19"/>
          <w:vertAlign w:val="baseline"/>
        </w:rPr>
        <w:t> </w:t>
      </w:r>
      <w:r>
        <w:rPr>
          <w:color w:val="231F20"/>
          <w:sz w:val="19"/>
          <w:vertAlign w:val="baseline"/>
        </w:rPr>
        <w:t>mention</w:t>
      </w:r>
      <w:r>
        <w:rPr>
          <w:color w:val="231F20"/>
          <w:spacing w:val="-4"/>
          <w:sz w:val="19"/>
          <w:vertAlign w:val="baseline"/>
        </w:rPr>
        <w:t> </w:t>
      </w:r>
      <w:r>
        <w:rPr>
          <w:color w:val="231F20"/>
          <w:sz w:val="19"/>
          <w:vertAlign w:val="baseline"/>
        </w:rPr>
        <w:t>that</w:t>
      </w:r>
      <w:r>
        <w:rPr>
          <w:color w:val="231F20"/>
          <w:spacing w:val="-3"/>
          <w:sz w:val="19"/>
          <w:vertAlign w:val="baseline"/>
        </w:rPr>
        <w:t> </w:t>
      </w:r>
      <w:r>
        <w:rPr>
          <w:color w:val="231F20"/>
          <w:sz w:val="19"/>
          <w:vertAlign w:val="baseline"/>
        </w:rPr>
        <w:t>default</w:t>
      </w:r>
      <w:r>
        <w:rPr>
          <w:color w:val="231F20"/>
          <w:spacing w:val="-5"/>
          <w:sz w:val="19"/>
          <w:vertAlign w:val="baseline"/>
        </w:rPr>
        <w:t> </w:t>
      </w:r>
      <w:r>
        <w:rPr>
          <w:color w:val="231F20"/>
          <w:sz w:val="19"/>
          <w:vertAlign w:val="baseline"/>
        </w:rPr>
        <w:t>interest</w:t>
      </w:r>
      <w:r>
        <w:rPr>
          <w:color w:val="231F20"/>
          <w:spacing w:val="-3"/>
          <w:sz w:val="19"/>
          <w:vertAlign w:val="baseline"/>
        </w:rPr>
        <w:t> </w:t>
      </w:r>
      <w:r>
        <w:rPr>
          <w:color w:val="231F20"/>
          <w:sz w:val="19"/>
          <w:vertAlign w:val="baseline"/>
        </w:rPr>
        <w:t>rates</w:t>
      </w:r>
      <w:r>
        <w:rPr>
          <w:color w:val="231F20"/>
          <w:spacing w:val="-4"/>
          <w:sz w:val="19"/>
          <w:vertAlign w:val="baseline"/>
        </w:rPr>
        <w:t> </w:t>
      </w:r>
      <w:r>
        <w:rPr>
          <w:color w:val="231F20"/>
          <w:sz w:val="19"/>
          <w:vertAlign w:val="baseline"/>
        </w:rPr>
        <w:t>also</w:t>
      </w:r>
      <w:r>
        <w:rPr>
          <w:color w:val="231F20"/>
          <w:spacing w:val="-4"/>
          <w:sz w:val="19"/>
          <w:vertAlign w:val="baseline"/>
        </w:rPr>
        <w:t> </w:t>
      </w:r>
      <w:r>
        <w:rPr>
          <w:color w:val="231F20"/>
          <w:sz w:val="19"/>
          <w:vertAlign w:val="baseline"/>
        </w:rPr>
        <w:t>remunerate</w:t>
      </w:r>
      <w:r>
        <w:rPr>
          <w:color w:val="231F20"/>
          <w:spacing w:val="-3"/>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lender</w:t>
      </w:r>
      <w:r>
        <w:rPr>
          <w:color w:val="231F20"/>
          <w:spacing w:val="-3"/>
          <w:sz w:val="19"/>
          <w:vertAlign w:val="baseline"/>
        </w:rPr>
        <w:t> </w:t>
      </w:r>
      <w:r>
        <w:rPr>
          <w:color w:val="231F20"/>
          <w:sz w:val="19"/>
          <w:vertAlign w:val="baseline"/>
        </w:rPr>
        <w:t>for </w:t>
      </w:r>
      <w:r>
        <w:rPr>
          <w:color w:val="231F20"/>
          <w:spacing w:val="-2"/>
          <w:sz w:val="19"/>
          <w:vertAlign w:val="baseline"/>
        </w:rPr>
        <w:t>having</w:t>
      </w:r>
      <w:r>
        <w:rPr>
          <w:color w:val="231F20"/>
          <w:spacing w:val="-7"/>
          <w:sz w:val="19"/>
          <w:vertAlign w:val="baseline"/>
        </w:rPr>
        <w:t> </w:t>
      </w:r>
      <w:r>
        <w:rPr>
          <w:color w:val="231F20"/>
          <w:spacing w:val="-2"/>
          <w:sz w:val="19"/>
          <w:vertAlign w:val="baseline"/>
        </w:rPr>
        <w:t>made</w:t>
      </w:r>
      <w:r>
        <w:rPr>
          <w:color w:val="231F20"/>
          <w:spacing w:val="-6"/>
          <w:sz w:val="19"/>
          <w:vertAlign w:val="baseline"/>
        </w:rPr>
        <w:t> </w:t>
      </w:r>
      <w:r>
        <w:rPr>
          <w:color w:val="231F20"/>
          <w:spacing w:val="-2"/>
          <w:sz w:val="19"/>
          <w:vertAlign w:val="baseline"/>
        </w:rPr>
        <w:t>the</w:t>
      </w:r>
      <w:r>
        <w:rPr>
          <w:color w:val="231F20"/>
          <w:spacing w:val="-8"/>
          <w:sz w:val="19"/>
          <w:vertAlign w:val="baseline"/>
        </w:rPr>
        <w:t> </w:t>
      </w:r>
      <w:r>
        <w:rPr>
          <w:color w:val="231F20"/>
          <w:spacing w:val="-2"/>
          <w:sz w:val="19"/>
          <w:vertAlign w:val="baseline"/>
        </w:rPr>
        <w:t>sum</w:t>
      </w:r>
      <w:r>
        <w:rPr>
          <w:color w:val="231F20"/>
          <w:spacing w:val="-6"/>
          <w:sz w:val="19"/>
          <w:vertAlign w:val="baseline"/>
        </w:rPr>
        <w:t> </w:t>
      </w:r>
      <w:r>
        <w:rPr>
          <w:color w:val="231F20"/>
          <w:spacing w:val="-2"/>
          <w:sz w:val="19"/>
          <w:vertAlign w:val="baseline"/>
        </w:rPr>
        <w:t>available</w:t>
      </w:r>
      <w:r>
        <w:rPr>
          <w:color w:val="231F20"/>
          <w:spacing w:val="-8"/>
          <w:sz w:val="19"/>
          <w:vertAlign w:val="baseline"/>
        </w:rPr>
        <w:t> </w:t>
      </w:r>
      <w:r>
        <w:rPr>
          <w:color w:val="231F20"/>
          <w:spacing w:val="-2"/>
          <w:sz w:val="19"/>
          <w:vertAlign w:val="baseline"/>
        </w:rPr>
        <w:t>to</w:t>
      </w:r>
      <w:r>
        <w:rPr>
          <w:color w:val="231F20"/>
          <w:spacing w:val="-7"/>
          <w:sz w:val="19"/>
          <w:vertAlign w:val="baseline"/>
        </w:rPr>
        <w:t> </w:t>
      </w:r>
      <w:r>
        <w:rPr>
          <w:color w:val="231F20"/>
          <w:spacing w:val="-2"/>
          <w:sz w:val="19"/>
          <w:vertAlign w:val="baseline"/>
        </w:rPr>
        <w:t>the</w:t>
      </w:r>
      <w:r>
        <w:rPr>
          <w:color w:val="231F20"/>
          <w:spacing w:val="-8"/>
          <w:sz w:val="19"/>
          <w:vertAlign w:val="baseline"/>
        </w:rPr>
        <w:t> </w:t>
      </w:r>
      <w:r>
        <w:rPr>
          <w:color w:val="231F20"/>
          <w:spacing w:val="-2"/>
          <w:sz w:val="19"/>
          <w:vertAlign w:val="baseline"/>
        </w:rPr>
        <w:t>borrower.</w:t>
      </w:r>
      <w:r>
        <w:rPr>
          <w:color w:val="231F20"/>
          <w:spacing w:val="-7"/>
          <w:sz w:val="19"/>
          <w:vertAlign w:val="baseline"/>
        </w:rPr>
        <w:t> </w:t>
      </w:r>
      <w:r>
        <w:rPr>
          <w:color w:val="231F20"/>
          <w:spacing w:val="-2"/>
          <w:sz w:val="19"/>
          <w:vertAlign w:val="baseline"/>
        </w:rPr>
        <w:t>This</w:t>
      </w:r>
      <w:r>
        <w:rPr>
          <w:color w:val="231F20"/>
          <w:spacing w:val="-7"/>
          <w:sz w:val="19"/>
          <w:vertAlign w:val="baseline"/>
        </w:rPr>
        <w:t> </w:t>
      </w:r>
      <w:r>
        <w:rPr>
          <w:color w:val="231F20"/>
          <w:spacing w:val="-2"/>
          <w:sz w:val="19"/>
          <w:vertAlign w:val="baseline"/>
        </w:rPr>
        <w:t>is</w:t>
      </w:r>
      <w:r>
        <w:rPr>
          <w:color w:val="231F20"/>
          <w:spacing w:val="-7"/>
          <w:sz w:val="19"/>
          <w:vertAlign w:val="baseline"/>
        </w:rPr>
        <w:t> </w:t>
      </w:r>
      <w:r>
        <w:rPr>
          <w:color w:val="231F20"/>
          <w:spacing w:val="-2"/>
          <w:sz w:val="19"/>
          <w:vertAlign w:val="baseline"/>
        </w:rPr>
        <w:t>in</w:t>
      </w:r>
      <w:r>
        <w:rPr>
          <w:color w:val="231F20"/>
          <w:spacing w:val="-7"/>
          <w:sz w:val="19"/>
          <w:vertAlign w:val="baseline"/>
        </w:rPr>
        <w:t> </w:t>
      </w:r>
      <w:r>
        <w:rPr>
          <w:color w:val="231F20"/>
          <w:spacing w:val="-2"/>
          <w:sz w:val="19"/>
          <w:vertAlign w:val="baseline"/>
        </w:rPr>
        <w:t>addition</w:t>
      </w:r>
      <w:r>
        <w:rPr>
          <w:color w:val="231F20"/>
          <w:spacing w:val="-8"/>
          <w:sz w:val="19"/>
          <w:vertAlign w:val="baseline"/>
        </w:rPr>
        <w:t> </w:t>
      </w:r>
      <w:r>
        <w:rPr>
          <w:color w:val="231F20"/>
          <w:spacing w:val="-2"/>
          <w:sz w:val="19"/>
          <w:vertAlign w:val="baseline"/>
        </w:rPr>
        <w:t>to</w:t>
      </w:r>
      <w:r>
        <w:rPr>
          <w:color w:val="231F20"/>
          <w:spacing w:val="-7"/>
          <w:sz w:val="19"/>
          <w:vertAlign w:val="baseline"/>
        </w:rPr>
        <w:t> </w:t>
      </w:r>
      <w:r>
        <w:rPr>
          <w:color w:val="231F20"/>
          <w:spacing w:val="-2"/>
          <w:sz w:val="19"/>
          <w:vertAlign w:val="baseline"/>
        </w:rPr>
        <w:t>the</w:t>
      </w:r>
      <w:r>
        <w:rPr>
          <w:color w:val="231F20"/>
          <w:spacing w:val="-7"/>
          <w:sz w:val="19"/>
          <w:vertAlign w:val="baseline"/>
        </w:rPr>
        <w:t> </w:t>
      </w:r>
      <w:r>
        <w:rPr>
          <w:color w:val="231F20"/>
          <w:spacing w:val="-2"/>
          <w:sz w:val="19"/>
          <w:vertAlign w:val="baseline"/>
        </w:rPr>
        <w:t>other</w:t>
      </w:r>
      <w:r>
        <w:rPr>
          <w:color w:val="231F20"/>
          <w:spacing w:val="-8"/>
          <w:sz w:val="19"/>
          <w:vertAlign w:val="baseline"/>
        </w:rPr>
        <w:t> </w:t>
      </w:r>
      <w:r>
        <w:rPr>
          <w:color w:val="231F20"/>
          <w:spacing w:val="-2"/>
          <w:sz w:val="19"/>
          <w:vertAlign w:val="baseline"/>
        </w:rPr>
        <w:t>aims </w:t>
      </w:r>
      <w:r>
        <w:rPr>
          <w:color w:val="231F20"/>
          <w:sz w:val="19"/>
          <w:vertAlign w:val="baseline"/>
        </w:rPr>
        <w:t>that it did mention.</w:t>
      </w:r>
    </w:p>
    <w:p>
      <w:pPr>
        <w:pStyle w:val="ListParagraph"/>
        <w:numPr>
          <w:ilvl w:val="0"/>
          <w:numId w:val="4"/>
        </w:numPr>
        <w:tabs>
          <w:tab w:pos="1324" w:val="left" w:leader="none"/>
        </w:tabs>
        <w:spacing w:line="288" w:lineRule="auto" w:before="132" w:after="0"/>
        <w:ind w:left="871" w:right="868" w:firstLine="0"/>
        <w:jc w:val="both"/>
        <w:rPr>
          <w:sz w:val="19"/>
        </w:rPr>
      </w:pPr>
      <w:r>
        <w:rPr>
          <w:color w:val="231F20"/>
          <w:sz w:val="19"/>
        </w:rPr>
        <w:t>If this is considered, it is possible to read the rulings in </w:t>
      </w:r>
      <w:r>
        <w:rPr>
          <w:i/>
          <w:color w:val="231F20"/>
          <w:sz w:val="19"/>
        </w:rPr>
        <w:t>Banco Español </w:t>
      </w:r>
      <w:r>
        <w:rPr>
          <w:color w:val="231F20"/>
          <w:sz w:val="19"/>
        </w:rPr>
        <w:t>and </w:t>
      </w:r>
      <w:r>
        <w:rPr>
          <w:i/>
          <w:color w:val="231F20"/>
          <w:sz w:val="19"/>
        </w:rPr>
        <w:t>Escobedo Cortés </w:t>
      </w:r>
      <w:r>
        <w:rPr>
          <w:color w:val="231F20"/>
          <w:sz w:val="19"/>
        </w:rPr>
        <w:t>consistently. The non-binding nature of unfair terms (Art. </w:t>
      </w:r>
      <w:r>
        <w:rPr>
          <w:color w:val="231F20"/>
          <w:sz w:val="19"/>
        </w:rPr>
        <w:t>6(1) UCTD) has dissuasive effects. To achieve this, courts cannot fill in the gaps that unfair terms leave in the contract. It is a private law sanction to deter the use of unfair</w:t>
      </w:r>
      <w:r>
        <w:rPr>
          <w:color w:val="231F20"/>
          <w:spacing w:val="-7"/>
          <w:sz w:val="19"/>
        </w:rPr>
        <w:t> </w:t>
      </w:r>
      <w:r>
        <w:rPr>
          <w:color w:val="231F20"/>
          <w:sz w:val="19"/>
        </w:rPr>
        <w:t>terms.</w:t>
      </w:r>
      <w:r>
        <w:rPr>
          <w:color w:val="231F20"/>
          <w:spacing w:val="-6"/>
          <w:sz w:val="19"/>
        </w:rPr>
        <w:t> </w:t>
      </w:r>
      <w:r>
        <w:rPr>
          <w:color w:val="231F20"/>
          <w:sz w:val="19"/>
        </w:rPr>
        <w:t>However,</w:t>
      </w:r>
      <w:r>
        <w:rPr>
          <w:color w:val="231F20"/>
          <w:spacing w:val="-8"/>
          <w:sz w:val="19"/>
        </w:rPr>
        <w:t> </w:t>
      </w:r>
      <w:r>
        <w:rPr>
          <w:color w:val="231F20"/>
          <w:sz w:val="19"/>
        </w:rPr>
        <w:t>that</w:t>
      </w:r>
      <w:r>
        <w:rPr>
          <w:color w:val="231F20"/>
          <w:spacing w:val="-7"/>
          <w:sz w:val="19"/>
        </w:rPr>
        <w:t> </w:t>
      </w:r>
      <w:r>
        <w:rPr>
          <w:color w:val="231F20"/>
          <w:sz w:val="19"/>
        </w:rPr>
        <w:t>sanction</w:t>
      </w:r>
      <w:r>
        <w:rPr>
          <w:color w:val="231F20"/>
          <w:spacing w:val="-7"/>
          <w:sz w:val="19"/>
        </w:rPr>
        <w:t> </w:t>
      </w:r>
      <w:r>
        <w:rPr>
          <w:color w:val="231F20"/>
          <w:sz w:val="19"/>
        </w:rPr>
        <w:t>cannot</w:t>
      </w:r>
      <w:r>
        <w:rPr>
          <w:color w:val="231F20"/>
          <w:spacing w:val="-7"/>
          <w:sz w:val="19"/>
        </w:rPr>
        <w:t> </w:t>
      </w:r>
      <w:r>
        <w:rPr>
          <w:color w:val="231F20"/>
          <w:sz w:val="19"/>
        </w:rPr>
        <w:t>go</w:t>
      </w:r>
      <w:r>
        <w:rPr>
          <w:color w:val="231F20"/>
          <w:spacing w:val="-6"/>
          <w:sz w:val="19"/>
        </w:rPr>
        <w:t> </w:t>
      </w:r>
      <w:r>
        <w:rPr>
          <w:color w:val="231F20"/>
          <w:sz w:val="19"/>
        </w:rPr>
        <w:t>as</w:t>
      </w:r>
      <w:r>
        <w:rPr>
          <w:color w:val="231F20"/>
          <w:spacing w:val="-7"/>
          <w:sz w:val="19"/>
        </w:rPr>
        <w:t> </w:t>
      </w:r>
      <w:r>
        <w:rPr>
          <w:color w:val="231F20"/>
          <w:sz w:val="19"/>
        </w:rPr>
        <w:t>far</w:t>
      </w:r>
      <w:r>
        <w:rPr>
          <w:color w:val="231F20"/>
          <w:spacing w:val="-6"/>
          <w:sz w:val="19"/>
        </w:rPr>
        <w:t> </w:t>
      </w:r>
      <w:r>
        <w:rPr>
          <w:color w:val="231F20"/>
          <w:sz w:val="19"/>
        </w:rPr>
        <w:t>as</w:t>
      </w:r>
      <w:r>
        <w:rPr>
          <w:color w:val="231F20"/>
          <w:spacing w:val="-7"/>
          <w:sz w:val="19"/>
        </w:rPr>
        <w:t> </w:t>
      </w:r>
      <w:r>
        <w:rPr>
          <w:color w:val="231F20"/>
          <w:sz w:val="19"/>
        </w:rPr>
        <w:t>to</w:t>
      </w:r>
      <w:r>
        <w:rPr>
          <w:color w:val="231F20"/>
          <w:spacing w:val="-6"/>
          <w:sz w:val="19"/>
        </w:rPr>
        <w:t> </w:t>
      </w:r>
      <w:r>
        <w:rPr>
          <w:color w:val="231F20"/>
          <w:sz w:val="19"/>
        </w:rPr>
        <w:t>deprive</w:t>
      </w:r>
      <w:r>
        <w:rPr>
          <w:color w:val="231F20"/>
          <w:spacing w:val="-8"/>
          <w:sz w:val="19"/>
        </w:rPr>
        <w:t> </w:t>
      </w:r>
      <w:r>
        <w:rPr>
          <w:color w:val="231F20"/>
          <w:sz w:val="19"/>
        </w:rPr>
        <w:t>the</w:t>
      </w:r>
      <w:r>
        <w:rPr>
          <w:color w:val="231F20"/>
          <w:spacing w:val="-6"/>
          <w:sz w:val="19"/>
        </w:rPr>
        <w:t> </w:t>
      </w:r>
      <w:r>
        <w:rPr>
          <w:color w:val="231F20"/>
          <w:sz w:val="19"/>
        </w:rPr>
        <w:t>business</w:t>
      </w:r>
      <w:r>
        <w:rPr>
          <w:color w:val="231F20"/>
          <w:spacing w:val="-7"/>
          <w:sz w:val="19"/>
        </w:rPr>
        <w:t> </w:t>
      </w:r>
      <w:r>
        <w:rPr>
          <w:color w:val="231F20"/>
          <w:sz w:val="19"/>
        </w:rPr>
        <w:t>of the remuneration that it is owed under the contract, based on an untainted term. The other aim of Article 6(1) UCTD, together with dissuasiveness, is party equality.</w:t>
      </w:r>
      <w:r>
        <w:rPr>
          <w:color w:val="231F20"/>
          <w:sz w:val="19"/>
          <w:vertAlign w:val="superscript"/>
        </w:rPr>
        <w:t>135</w:t>
      </w:r>
      <w:r>
        <w:rPr>
          <w:color w:val="231F20"/>
          <w:sz w:val="19"/>
          <w:vertAlign w:val="baseline"/>
        </w:rPr>
        <w:t> As Grundmann and Badenhoop noted, </w:t>
      </w:r>
      <w:r>
        <w:rPr>
          <w:rFonts w:ascii="Arial" w:hAnsi="Arial"/>
          <w:color w:val="231F20"/>
          <w:sz w:val="19"/>
          <w:vertAlign w:val="baseline"/>
        </w:rPr>
        <w:t>‘</w:t>
      </w:r>
      <w:r>
        <w:rPr>
          <w:color w:val="231F20"/>
          <w:sz w:val="19"/>
          <w:vertAlign w:val="baseline"/>
        </w:rPr>
        <w:t>[t]here is no indication either in recitals or in the norms that giving windfall profits to the client/consumer constitutes an aim of the directive as well</w:t>
      </w:r>
      <w:r>
        <w:rPr>
          <w:rFonts w:ascii="Arial" w:hAnsi="Arial"/>
          <w:color w:val="231F20"/>
          <w:sz w:val="19"/>
          <w:vertAlign w:val="baseline"/>
        </w:rPr>
        <w:t>’</w:t>
      </w:r>
      <w:r>
        <w:rPr>
          <w:color w:val="231F20"/>
          <w:sz w:val="19"/>
          <w:vertAlign w:val="baseline"/>
        </w:rPr>
        <w:t>.</w:t>
      </w:r>
      <w:r>
        <w:rPr>
          <w:color w:val="231F20"/>
          <w:sz w:val="19"/>
          <w:vertAlign w:val="superscript"/>
        </w:rPr>
        <w:t>136</w:t>
      </w:r>
    </w:p>
    <w:p>
      <w:pPr>
        <w:pStyle w:val="ListParagraph"/>
        <w:numPr>
          <w:ilvl w:val="0"/>
          <w:numId w:val="4"/>
        </w:numPr>
        <w:tabs>
          <w:tab w:pos="1324" w:val="left" w:leader="none"/>
        </w:tabs>
        <w:spacing w:line="288" w:lineRule="auto" w:before="110" w:after="0"/>
        <w:ind w:left="871" w:right="868" w:firstLine="0"/>
        <w:jc w:val="both"/>
        <w:rPr>
          <w:sz w:val="19"/>
        </w:rPr>
      </w:pPr>
      <w:r>
        <w:rPr>
          <w:color w:val="231F20"/>
          <w:sz w:val="19"/>
        </w:rPr>
        <w:t>The</w:t>
      </w:r>
      <w:r>
        <w:rPr>
          <w:color w:val="231F20"/>
          <w:spacing w:val="-5"/>
          <w:sz w:val="19"/>
        </w:rPr>
        <w:t> </w:t>
      </w:r>
      <w:r>
        <w:rPr>
          <w:color w:val="231F20"/>
          <w:sz w:val="19"/>
        </w:rPr>
        <w:t>sanction</w:t>
      </w:r>
      <w:r>
        <w:rPr>
          <w:color w:val="231F20"/>
          <w:spacing w:val="-5"/>
          <w:sz w:val="19"/>
        </w:rPr>
        <w:t> </w:t>
      </w:r>
      <w:r>
        <w:rPr>
          <w:color w:val="231F20"/>
          <w:sz w:val="19"/>
        </w:rPr>
        <w:t>that</w:t>
      </w:r>
      <w:r>
        <w:rPr>
          <w:color w:val="231F20"/>
          <w:spacing w:val="-5"/>
          <w:sz w:val="19"/>
        </w:rPr>
        <w:t> </w:t>
      </w:r>
      <w:r>
        <w:rPr>
          <w:color w:val="231F20"/>
          <w:sz w:val="19"/>
        </w:rPr>
        <w:t>the</w:t>
      </w:r>
      <w:r>
        <w:rPr>
          <w:color w:val="231F20"/>
          <w:spacing w:val="-5"/>
          <w:sz w:val="19"/>
        </w:rPr>
        <w:t> </w:t>
      </w:r>
      <w:r>
        <w:rPr>
          <w:color w:val="231F20"/>
          <w:sz w:val="19"/>
        </w:rPr>
        <w:t>ECJ</w:t>
      </w:r>
      <w:r>
        <w:rPr>
          <w:color w:val="231F20"/>
          <w:spacing w:val="-5"/>
          <w:sz w:val="19"/>
        </w:rPr>
        <w:t> </w:t>
      </w:r>
      <w:r>
        <w:rPr>
          <w:color w:val="231F20"/>
          <w:sz w:val="19"/>
        </w:rPr>
        <w:t>developed</w:t>
      </w:r>
      <w:r>
        <w:rPr>
          <w:color w:val="231F20"/>
          <w:spacing w:val="-6"/>
          <w:sz w:val="19"/>
        </w:rPr>
        <w:t> </w:t>
      </w:r>
      <w:r>
        <w:rPr>
          <w:color w:val="231F20"/>
          <w:sz w:val="19"/>
        </w:rPr>
        <w:t>following</w:t>
      </w:r>
      <w:r>
        <w:rPr>
          <w:color w:val="231F20"/>
          <w:spacing w:val="-5"/>
          <w:sz w:val="19"/>
        </w:rPr>
        <w:t> </w:t>
      </w:r>
      <w:r>
        <w:rPr>
          <w:color w:val="231F20"/>
          <w:sz w:val="19"/>
        </w:rPr>
        <w:t>the</w:t>
      </w:r>
      <w:r>
        <w:rPr>
          <w:color w:val="231F20"/>
          <w:spacing w:val="-5"/>
          <w:sz w:val="19"/>
        </w:rPr>
        <w:t> </w:t>
      </w:r>
      <w:r>
        <w:rPr>
          <w:color w:val="231F20"/>
          <w:sz w:val="19"/>
        </w:rPr>
        <w:t>finding</w:t>
      </w:r>
      <w:r>
        <w:rPr>
          <w:color w:val="231F20"/>
          <w:spacing w:val="-5"/>
          <w:sz w:val="19"/>
        </w:rPr>
        <w:t> </w:t>
      </w:r>
      <w:r>
        <w:rPr>
          <w:color w:val="231F20"/>
          <w:sz w:val="19"/>
        </w:rPr>
        <w:t>of</w:t>
      </w:r>
      <w:r>
        <w:rPr>
          <w:color w:val="231F20"/>
          <w:spacing w:val="-5"/>
          <w:sz w:val="19"/>
        </w:rPr>
        <w:t> </w:t>
      </w:r>
      <w:r>
        <w:rPr>
          <w:color w:val="231F20"/>
          <w:sz w:val="19"/>
        </w:rPr>
        <w:t>an</w:t>
      </w:r>
      <w:r>
        <w:rPr>
          <w:color w:val="231F20"/>
          <w:spacing w:val="-5"/>
          <w:sz w:val="19"/>
        </w:rPr>
        <w:t> </w:t>
      </w:r>
      <w:r>
        <w:rPr>
          <w:color w:val="231F20"/>
          <w:sz w:val="19"/>
        </w:rPr>
        <w:t>unfair</w:t>
      </w:r>
      <w:r>
        <w:rPr>
          <w:color w:val="231F20"/>
          <w:spacing w:val="-5"/>
          <w:sz w:val="19"/>
        </w:rPr>
        <w:t> </w:t>
      </w:r>
      <w:r>
        <w:rPr>
          <w:color w:val="231F20"/>
          <w:sz w:val="19"/>
        </w:rPr>
        <w:t>term, whereby the contract cannot be integrated nor modified if it can continue in existence, is not absolute. Its limit seems to be the unjust enrichment of the </w:t>
      </w:r>
      <w:r>
        <w:rPr>
          <w:color w:val="231F20"/>
          <w:spacing w:val="-2"/>
          <w:sz w:val="19"/>
        </w:rPr>
        <w:t>consumer,</w:t>
      </w:r>
      <w:r>
        <w:rPr>
          <w:color w:val="231F20"/>
          <w:spacing w:val="-5"/>
          <w:sz w:val="19"/>
        </w:rPr>
        <w:t> </w:t>
      </w:r>
      <w:r>
        <w:rPr>
          <w:color w:val="231F20"/>
          <w:spacing w:val="-2"/>
          <w:sz w:val="19"/>
        </w:rPr>
        <w:t>which</w:t>
      </w:r>
      <w:r>
        <w:rPr>
          <w:color w:val="231F20"/>
          <w:spacing w:val="-5"/>
          <w:sz w:val="19"/>
        </w:rPr>
        <w:t> </w:t>
      </w:r>
      <w:r>
        <w:rPr>
          <w:color w:val="231F20"/>
          <w:spacing w:val="-2"/>
          <w:sz w:val="19"/>
        </w:rPr>
        <w:t>would</w:t>
      </w:r>
      <w:r>
        <w:rPr>
          <w:color w:val="231F20"/>
          <w:spacing w:val="-6"/>
          <w:sz w:val="19"/>
        </w:rPr>
        <w:t> </w:t>
      </w:r>
      <w:r>
        <w:rPr>
          <w:color w:val="231F20"/>
          <w:spacing w:val="-2"/>
          <w:sz w:val="19"/>
        </w:rPr>
        <w:t>result</w:t>
      </w:r>
      <w:r>
        <w:rPr>
          <w:color w:val="231F20"/>
          <w:spacing w:val="-5"/>
          <w:sz w:val="19"/>
        </w:rPr>
        <w:t> </w:t>
      </w:r>
      <w:r>
        <w:rPr>
          <w:color w:val="231F20"/>
          <w:spacing w:val="-2"/>
          <w:sz w:val="19"/>
        </w:rPr>
        <w:t>from</w:t>
      </w:r>
      <w:r>
        <w:rPr>
          <w:color w:val="231F20"/>
          <w:spacing w:val="-4"/>
          <w:sz w:val="19"/>
        </w:rPr>
        <w:t> </w:t>
      </w:r>
      <w:r>
        <w:rPr>
          <w:color w:val="231F20"/>
          <w:spacing w:val="-2"/>
          <w:sz w:val="19"/>
        </w:rPr>
        <w:t>the</w:t>
      </w:r>
      <w:r>
        <w:rPr>
          <w:color w:val="231F20"/>
          <w:spacing w:val="-5"/>
          <w:sz w:val="19"/>
        </w:rPr>
        <w:t> </w:t>
      </w:r>
      <w:r>
        <w:rPr>
          <w:color w:val="231F20"/>
          <w:spacing w:val="-2"/>
          <w:sz w:val="19"/>
        </w:rPr>
        <w:t>non-application</w:t>
      </w:r>
      <w:r>
        <w:rPr>
          <w:color w:val="231F20"/>
          <w:spacing w:val="-5"/>
          <w:sz w:val="19"/>
        </w:rPr>
        <w:t> </w:t>
      </w:r>
      <w:r>
        <w:rPr>
          <w:color w:val="231F20"/>
          <w:spacing w:val="-2"/>
          <w:sz w:val="19"/>
        </w:rPr>
        <w:t>of</w:t>
      </w:r>
      <w:r>
        <w:rPr>
          <w:color w:val="231F20"/>
          <w:spacing w:val="-5"/>
          <w:sz w:val="19"/>
        </w:rPr>
        <w:t> </w:t>
      </w:r>
      <w:r>
        <w:rPr>
          <w:color w:val="231F20"/>
          <w:spacing w:val="-2"/>
          <w:sz w:val="19"/>
        </w:rPr>
        <w:t>an</w:t>
      </w:r>
      <w:r>
        <w:rPr>
          <w:color w:val="231F20"/>
          <w:spacing w:val="-5"/>
          <w:sz w:val="19"/>
        </w:rPr>
        <w:t> </w:t>
      </w:r>
      <w:r>
        <w:rPr>
          <w:color w:val="231F20"/>
          <w:spacing w:val="-2"/>
          <w:sz w:val="19"/>
        </w:rPr>
        <w:t>agreed</w:t>
      </w:r>
      <w:r>
        <w:rPr>
          <w:color w:val="231F20"/>
          <w:spacing w:val="-5"/>
          <w:sz w:val="19"/>
        </w:rPr>
        <w:t> </w:t>
      </w:r>
      <w:r>
        <w:rPr>
          <w:color w:val="231F20"/>
          <w:spacing w:val="-2"/>
          <w:sz w:val="19"/>
        </w:rPr>
        <w:t>remuneration </w:t>
      </w:r>
      <w:r>
        <w:rPr>
          <w:color w:val="231F20"/>
          <w:sz w:val="19"/>
        </w:rPr>
        <w:t>that remained unchallenged. Instead, other benefits of the business, including compensation</w:t>
      </w:r>
      <w:r>
        <w:rPr>
          <w:color w:val="231F20"/>
          <w:spacing w:val="-1"/>
          <w:sz w:val="19"/>
        </w:rPr>
        <w:t> </w:t>
      </w:r>
      <w:r>
        <w:rPr>
          <w:color w:val="231F20"/>
          <w:sz w:val="19"/>
        </w:rPr>
        <w:t>arising</w:t>
      </w:r>
      <w:r>
        <w:rPr>
          <w:color w:val="231F20"/>
          <w:spacing w:val="-1"/>
          <w:sz w:val="19"/>
        </w:rPr>
        <w:t> </w:t>
      </w:r>
      <w:r>
        <w:rPr>
          <w:color w:val="231F20"/>
          <w:sz w:val="19"/>
        </w:rPr>
        <w:t>from</w:t>
      </w:r>
      <w:r>
        <w:rPr>
          <w:color w:val="231F20"/>
          <w:spacing w:val="-1"/>
          <w:sz w:val="19"/>
        </w:rPr>
        <w:t> </w:t>
      </w:r>
      <w:r>
        <w:rPr>
          <w:color w:val="231F20"/>
          <w:sz w:val="19"/>
        </w:rPr>
        <w:t>national</w:t>
      </w:r>
      <w:r>
        <w:rPr>
          <w:color w:val="231F20"/>
          <w:spacing w:val="-1"/>
          <w:sz w:val="19"/>
        </w:rPr>
        <w:t> </w:t>
      </w:r>
      <w:r>
        <w:rPr>
          <w:color w:val="231F20"/>
          <w:sz w:val="19"/>
        </w:rPr>
        <w:t>law</w:t>
      </w:r>
      <w:r>
        <w:rPr>
          <w:color w:val="231F20"/>
          <w:spacing w:val="-1"/>
          <w:sz w:val="19"/>
        </w:rPr>
        <w:t> </w:t>
      </w:r>
      <w:r>
        <w:rPr>
          <w:color w:val="231F20"/>
          <w:sz w:val="19"/>
        </w:rPr>
        <w:t>(not</w:t>
      </w:r>
      <w:r>
        <w:rPr>
          <w:color w:val="231F20"/>
          <w:spacing w:val="-1"/>
          <w:sz w:val="19"/>
        </w:rPr>
        <w:t> </w:t>
      </w:r>
      <w:r>
        <w:rPr>
          <w:color w:val="231F20"/>
          <w:sz w:val="19"/>
        </w:rPr>
        <w:t>the</w:t>
      </w:r>
      <w:r>
        <w:rPr>
          <w:color w:val="231F20"/>
          <w:spacing w:val="-1"/>
          <w:sz w:val="19"/>
        </w:rPr>
        <w:t> </w:t>
      </w:r>
      <w:r>
        <w:rPr>
          <w:color w:val="231F20"/>
          <w:sz w:val="19"/>
        </w:rPr>
        <w:t>contract),</w:t>
      </w:r>
      <w:r>
        <w:rPr>
          <w:color w:val="231F20"/>
          <w:spacing w:val="-1"/>
          <w:sz w:val="19"/>
        </w:rPr>
        <w:t> </w:t>
      </w:r>
      <w:r>
        <w:rPr>
          <w:color w:val="231F20"/>
          <w:sz w:val="19"/>
        </w:rPr>
        <w:t>form</w:t>
      </w:r>
      <w:r>
        <w:rPr>
          <w:color w:val="231F20"/>
          <w:spacing w:val="-2"/>
          <w:sz w:val="19"/>
        </w:rPr>
        <w:t> </w:t>
      </w:r>
      <w:r>
        <w:rPr>
          <w:color w:val="231F20"/>
          <w:sz w:val="19"/>
        </w:rPr>
        <w:t>part</w:t>
      </w:r>
      <w:r>
        <w:rPr>
          <w:color w:val="231F20"/>
          <w:spacing w:val="-1"/>
          <w:sz w:val="19"/>
        </w:rPr>
        <w:t> </w:t>
      </w:r>
      <w:r>
        <w:rPr>
          <w:color w:val="231F20"/>
          <w:sz w:val="19"/>
        </w:rPr>
        <w:t>of the</w:t>
      </w:r>
      <w:r>
        <w:rPr>
          <w:color w:val="231F20"/>
          <w:spacing w:val="-1"/>
          <w:sz w:val="19"/>
        </w:rPr>
        <w:t> </w:t>
      </w:r>
      <w:r>
        <w:rPr>
          <w:color w:val="231F20"/>
          <w:sz w:val="19"/>
        </w:rPr>
        <w:t>sanc- tion, as the ECJ made clear in joined Cases C-229/19 and C-289/19, </w:t>
      </w:r>
      <w:r>
        <w:rPr>
          <w:i/>
          <w:color w:val="231F20"/>
          <w:sz w:val="19"/>
        </w:rPr>
        <w:t>Dexia.</w:t>
      </w:r>
      <w:r>
        <w:rPr>
          <w:color w:val="231F20"/>
          <w:sz w:val="19"/>
          <w:vertAlign w:val="superscript"/>
        </w:rPr>
        <w:t>137</w:t>
      </w:r>
    </w:p>
    <w:p>
      <w:pPr>
        <w:pStyle w:val="ListParagraph"/>
        <w:numPr>
          <w:ilvl w:val="0"/>
          <w:numId w:val="4"/>
        </w:numPr>
        <w:tabs>
          <w:tab w:pos="1324" w:val="left" w:leader="none"/>
        </w:tabs>
        <w:spacing w:line="283" w:lineRule="auto" w:before="120" w:after="0"/>
        <w:ind w:left="871" w:right="869" w:firstLine="0"/>
        <w:jc w:val="both"/>
        <w:rPr>
          <w:sz w:val="19"/>
        </w:rPr>
      </w:pPr>
      <w:r>
        <w:rPr>
          <w:color w:val="231F20"/>
          <w:sz w:val="19"/>
        </w:rPr>
        <w:t>Therefore,</w:t>
      </w:r>
      <w:r>
        <w:rPr>
          <w:color w:val="231F20"/>
          <w:spacing w:val="-1"/>
          <w:sz w:val="19"/>
        </w:rPr>
        <w:t> </w:t>
      </w:r>
      <w:r>
        <w:rPr>
          <w:color w:val="231F20"/>
          <w:sz w:val="19"/>
        </w:rPr>
        <w:t>the</w:t>
      </w:r>
      <w:r>
        <w:rPr>
          <w:color w:val="231F20"/>
          <w:spacing w:val="-1"/>
          <w:sz w:val="19"/>
        </w:rPr>
        <w:t> </w:t>
      </w:r>
      <w:r>
        <w:rPr>
          <w:color w:val="231F20"/>
          <w:sz w:val="19"/>
        </w:rPr>
        <w:t>principle of</w:t>
      </w:r>
      <w:r>
        <w:rPr>
          <w:color w:val="231F20"/>
          <w:spacing w:val="-2"/>
          <w:sz w:val="19"/>
        </w:rPr>
        <w:t> </w:t>
      </w:r>
      <w:r>
        <w:rPr>
          <w:color w:val="231F20"/>
          <w:sz w:val="19"/>
        </w:rPr>
        <w:t>proportionality is</w:t>
      </w:r>
      <w:r>
        <w:rPr>
          <w:color w:val="231F20"/>
          <w:spacing w:val="-1"/>
          <w:sz w:val="19"/>
        </w:rPr>
        <w:t> </w:t>
      </w:r>
      <w:r>
        <w:rPr>
          <w:color w:val="231F20"/>
          <w:sz w:val="19"/>
        </w:rPr>
        <w:t>implied in</w:t>
      </w:r>
      <w:r>
        <w:rPr>
          <w:color w:val="231F20"/>
          <w:spacing w:val="-1"/>
          <w:sz w:val="19"/>
        </w:rPr>
        <w:t> </w:t>
      </w:r>
      <w:r>
        <w:rPr>
          <w:color w:val="231F20"/>
          <w:sz w:val="19"/>
        </w:rPr>
        <w:t>the</w:t>
      </w:r>
      <w:r>
        <w:rPr>
          <w:color w:val="231F20"/>
          <w:spacing w:val="-1"/>
          <w:sz w:val="19"/>
        </w:rPr>
        <w:t> </w:t>
      </w:r>
      <w:r>
        <w:rPr>
          <w:color w:val="231F20"/>
          <w:sz w:val="19"/>
        </w:rPr>
        <w:t>reasoning of the ECJ</w:t>
      </w:r>
      <w:r>
        <w:rPr>
          <w:color w:val="231F20"/>
          <w:spacing w:val="49"/>
          <w:sz w:val="19"/>
        </w:rPr>
        <w:t> </w:t>
      </w:r>
      <w:r>
        <w:rPr>
          <w:color w:val="231F20"/>
          <w:sz w:val="19"/>
        </w:rPr>
        <w:t>to</w:t>
      </w:r>
      <w:r>
        <w:rPr>
          <w:color w:val="231F20"/>
          <w:spacing w:val="48"/>
          <w:sz w:val="19"/>
        </w:rPr>
        <w:t> </w:t>
      </w:r>
      <w:r>
        <w:rPr>
          <w:color w:val="231F20"/>
          <w:sz w:val="19"/>
        </w:rPr>
        <w:t>calibrate</w:t>
      </w:r>
      <w:r>
        <w:rPr>
          <w:color w:val="231F20"/>
          <w:spacing w:val="49"/>
          <w:sz w:val="19"/>
        </w:rPr>
        <w:t> </w:t>
      </w:r>
      <w:r>
        <w:rPr>
          <w:color w:val="231F20"/>
          <w:sz w:val="19"/>
        </w:rPr>
        <w:t>the</w:t>
      </w:r>
      <w:r>
        <w:rPr>
          <w:color w:val="231F20"/>
          <w:spacing w:val="49"/>
          <w:sz w:val="19"/>
        </w:rPr>
        <w:t> </w:t>
      </w:r>
      <w:r>
        <w:rPr>
          <w:color w:val="231F20"/>
          <w:sz w:val="19"/>
        </w:rPr>
        <w:t>sanction</w:t>
      </w:r>
      <w:r>
        <w:rPr>
          <w:color w:val="231F20"/>
          <w:spacing w:val="49"/>
          <w:sz w:val="19"/>
        </w:rPr>
        <w:t> </w:t>
      </w:r>
      <w:r>
        <w:rPr>
          <w:color w:val="231F20"/>
          <w:sz w:val="19"/>
        </w:rPr>
        <w:t>for</w:t>
      </w:r>
      <w:r>
        <w:rPr>
          <w:color w:val="231F20"/>
          <w:spacing w:val="47"/>
          <w:sz w:val="19"/>
        </w:rPr>
        <w:t> </w:t>
      </w:r>
      <w:r>
        <w:rPr>
          <w:color w:val="231F20"/>
          <w:sz w:val="19"/>
        </w:rPr>
        <w:t>unfair</w:t>
      </w:r>
      <w:r>
        <w:rPr>
          <w:color w:val="231F20"/>
          <w:spacing w:val="50"/>
          <w:sz w:val="19"/>
        </w:rPr>
        <w:t> </w:t>
      </w:r>
      <w:r>
        <w:rPr>
          <w:color w:val="231F20"/>
          <w:sz w:val="19"/>
        </w:rPr>
        <w:t>terms.</w:t>
      </w:r>
      <w:r>
        <w:rPr>
          <w:color w:val="231F20"/>
          <w:spacing w:val="48"/>
          <w:sz w:val="19"/>
        </w:rPr>
        <w:t> </w:t>
      </w:r>
      <w:r>
        <w:rPr>
          <w:color w:val="231F20"/>
          <w:sz w:val="19"/>
        </w:rPr>
        <w:t>In</w:t>
      </w:r>
      <w:r>
        <w:rPr>
          <w:color w:val="231F20"/>
          <w:spacing w:val="48"/>
          <w:sz w:val="19"/>
        </w:rPr>
        <w:t> </w:t>
      </w:r>
      <w:r>
        <w:rPr>
          <w:color w:val="231F20"/>
          <w:sz w:val="19"/>
        </w:rPr>
        <w:t>the</w:t>
      </w:r>
      <w:r>
        <w:rPr>
          <w:color w:val="231F20"/>
          <w:spacing w:val="49"/>
          <w:sz w:val="19"/>
        </w:rPr>
        <w:t> </w:t>
      </w:r>
      <w:r>
        <w:rPr>
          <w:color w:val="231F20"/>
          <w:sz w:val="19"/>
        </w:rPr>
        <w:t>Court</w:t>
      </w:r>
      <w:r>
        <w:rPr>
          <w:rFonts w:ascii="Arial" w:hAnsi="Arial"/>
          <w:color w:val="231F20"/>
          <w:sz w:val="19"/>
        </w:rPr>
        <w:t>’</w:t>
      </w:r>
      <w:r>
        <w:rPr>
          <w:color w:val="231F20"/>
          <w:sz w:val="19"/>
        </w:rPr>
        <w:t>s</w:t>
      </w:r>
      <w:r>
        <w:rPr>
          <w:color w:val="231F20"/>
          <w:spacing w:val="48"/>
          <w:sz w:val="19"/>
        </w:rPr>
        <w:t> </w:t>
      </w:r>
      <w:r>
        <w:rPr>
          <w:color w:val="231F20"/>
          <w:sz w:val="19"/>
        </w:rPr>
        <w:t>case</w:t>
      </w:r>
      <w:r>
        <w:rPr>
          <w:color w:val="231F20"/>
          <w:spacing w:val="49"/>
          <w:sz w:val="19"/>
        </w:rPr>
        <w:t> </w:t>
      </w:r>
      <w:r>
        <w:rPr>
          <w:color w:val="231F20"/>
          <w:sz w:val="19"/>
        </w:rPr>
        <w:t>law,</w:t>
      </w:r>
      <w:r>
        <w:rPr>
          <w:color w:val="231F20"/>
          <w:spacing w:val="49"/>
          <w:sz w:val="19"/>
        </w:rPr>
        <w:t> </w:t>
      </w:r>
      <w:r>
        <w:rPr>
          <w:color w:val="231F20"/>
          <w:spacing w:val="-5"/>
          <w:sz w:val="19"/>
        </w:rPr>
        <w:t>the</w:t>
      </w:r>
    </w:p>
    <w:p>
      <w:pPr>
        <w:pStyle w:val="BodyText"/>
        <w:spacing w:before="196"/>
        <w:rPr>
          <w:sz w:val="20"/>
        </w:rPr>
      </w:pPr>
      <w:r>
        <w:rPr/>
        <mc:AlternateContent>
          <mc:Choice Requires="wps">
            <w:drawing>
              <wp:anchor distT="0" distB="0" distL="0" distR="0" allowOverlap="1" layoutInCell="1" locked="0" behindDoc="1" simplePos="0" relativeHeight="487600128">
                <wp:simplePos x="0" y="0"/>
                <wp:positionH relativeFrom="page">
                  <wp:posOffset>1979993</wp:posOffset>
                </wp:positionH>
                <wp:positionV relativeFrom="paragraph">
                  <wp:posOffset>284134</wp:posOffset>
                </wp:positionV>
                <wp:extent cx="1656080" cy="4445"/>
                <wp:effectExtent l="0" t="0" r="0" b="0"/>
                <wp:wrapTopAndBottom/>
                <wp:docPr id="27" name="Graphic 27"/>
                <wp:cNvGraphicFramePr>
                  <a:graphicFrameLocks/>
                </wp:cNvGraphicFramePr>
                <a:graphic>
                  <a:graphicData uri="http://schemas.microsoft.com/office/word/2010/wordprocessingShape">
                    <wps:wsp>
                      <wps:cNvPr id="27" name="Graphic 27"/>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2.372808pt;width:130.394pt;height:.34015pt;mso-position-horizontal-relative:page;mso-position-vertical-relative:paragraph;z-index:-15716352;mso-wrap-distance-left:0;mso-wrap-distance-right:0" id="docshape27"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6" w:val="left" w:leader="none"/>
        </w:tabs>
        <w:spacing w:line="285" w:lineRule="auto" w:before="1" w:after="0"/>
        <w:ind w:left="866" w:right="868" w:hanging="354"/>
        <w:jc w:val="both"/>
        <w:rPr>
          <w:sz w:val="16"/>
        </w:rPr>
      </w:pPr>
      <w:r>
        <w:rPr>
          <w:color w:val="231F20"/>
          <w:sz w:val="16"/>
        </w:rPr>
        <w:t>F. P</w:t>
      </w:r>
      <w:r>
        <w:rPr>
          <w:color w:val="231F20"/>
          <w:sz w:val="11"/>
        </w:rPr>
        <w:t>ANTALEÓN</w:t>
      </w:r>
      <w:r>
        <w:rPr>
          <w:color w:val="231F20"/>
          <w:sz w:val="16"/>
        </w:rPr>
        <w:t>, </w:t>
      </w:r>
      <w:r>
        <w:rPr>
          <w:rFonts w:ascii="Arial" w:hAnsi="Arial"/>
          <w:color w:val="231F20"/>
          <w:sz w:val="16"/>
        </w:rPr>
        <w:t>‘</w:t>
      </w:r>
      <w:r>
        <w:rPr>
          <w:color w:val="231F20"/>
          <w:sz w:val="16"/>
        </w:rPr>
        <w:t>De nuevo sobre la consecuencia jurídica de la declaración de abusividad de una</w:t>
      </w:r>
      <w:r>
        <w:rPr>
          <w:color w:val="231F20"/>
          <w:spacing w:val="40"/>
          <w:sz w:val="16"/>
        </w:rPr>
        <w:t> </w:t>
      </w:r>
      <w:r>
        <w:rPr>
          <w:color w:val="231F20"/>
          <w:spacing w:val="-2"/>
          <w:sz w:val="16"/>
        </w:rPr>
        <w:t>cláusula</w:t>
      </w:r>
      <w:r>
        <w:rPr>
          <w:color w:val="231F20"/>
          <w:spacing w:val="-3"/>
          <w:sz w:val="16"/>
        </w:rPr>
        <w:t> </w:t>
      </w:r>
      <w:r>
        <w:rPr>
          <w:color w:val="231F20"/>
          <w:spacing w:val="-2"/>
          <w:sz w:val="16"/>
        </w:rPr>
        <w:t>no negociada individualmente</w:t>
      </w:r>
      <w:r>
        <w:rPr>
          <w:rFonts w:ascii="Arial" w:hAnsi="Arial"/>
          <w:color w:val="231F20"/>
          <w:spacing w:val="-2"/>
          <w:sz w:val="16"/>
        </w:rPr>
        <w:t>’</w:t>
      </w:r>
      <w:r>
        <w:rPr>
          <w:color w:val="231F20"/>
          <w:spacing w:val="-2"/>
          <w:sz w:val="16"/>
        </w:rPr>
        <w:t>,</w:t>
      </w:r>
      <w:r>
        <w:rPr>
          <w:color w:val="231F20"/>
          <w:spacing w:val="-3"/>
          <w:sz w:val="16"/>
        </w:rPr>
        <w:t> </w:t>
      </w:r>
      <w:r>
        <w:rPr>
          <w:i/>
          <w:color w:val="231F20"/>
          <w:spacing w:val="-2"/>
          <w:sz w:val="16"/>
        </w:rPr>
        <w:t>Almacén de</w:t>
      </w:r>
      <w:r>
        <w:rPr>
          <w:i/>
          <w:color w:val="231F20"/>
          <w:spacing w:val="-3"/>
          <w:sz w:val="16"/>
        </w:rPr>
        <w:t> </w:t>
      </w:r>
      <w:r>
        <w:rPr>
          <w:i/>
          <w:color w:val="231F20"/>
          <w:spacing w:val="-2"/>
          <w:sz w:val="16"/>
        </w:rPr>
        <w:t>Derecho</w:t>
      </w:r>
      <w:r>
        <w:rPr>
          <w:color w:val="231F20"/>
          <w:spacing w:val="-2"/>
          <w:sz w:val="16"/>
        </w:rPr>
        <w:t>,</w:t>
      </w:r>
      <w:r>
        <w:rPr>
          <w:color w:val="231F20"/>
          <w:spacing w:val="-3"/>
          <w:sz w:val="16"/>
        </w:rPr>
        <w:t> </w:t>
      </w:r>
      <w:r>
        <w:rPr>
          <w:color w:val="231F20"/>
          <w:spacing w:val="-2"/>
          <w:sz w:val="16"/>
        </w:rPr>
        <w:t>26</w:t>
      </w:r>
      <w:r>
        <w:rPr>
          <w:color w:val="231F20"/>
          <w:spacing w:val="-3"/>
          <w:sz w:val="16"/>
        </w:rPr>
        <w:t> </w:t>
      </w:r>
      <w:r>
        <w:rPr>
          <w:color w:val="231F20"/>
          <w:spacing w:val="-2"/>
          <w:sz w:val="16"/>
        </w:rPr>
        <w:t>Sep.</w:t>
      </w:r>
      <w:r>
        <w:rPr>
          <w:color w:val="231F20"/>
          <w:spacing w:val="-3"/>
          <w:sz w:val="16"/>
        </w:rPr>
        <w:t> </w:t>
      </w:r>
      <w:r>
        <w:rPr>
          <w:color w:val="231F20"/>
          <w:spacing w:val="-2"/>
          <w:sz w:val="16"/>
        </w:rPr>
        <w:t>2018, </w:t>
      </w:r>
      <w:r>
        <w:rPr>
          <w:color w:val="231F20"/>
          <w:spacing w:val="-2"/>
          <w:sz w:val="16"/>
        </w:rPr>
        <w:t>https://almacendeder</w:t>
      </w:r>
      <w:r>
        <w:rPr>
          <w:color w:val="231F20"/>
          <w:spacing w:val="40"/>
          <w:sz w:val="16"/>
        </w:rPr>
        <w:t> </w:t>
      </w:r>
      <w:r>
        <w:rPr>
          <w:color w:val="231F20"/>
          <w:spacing w:val="-2"/>
          <w:sz w:val="16"/>
        </w:rPr>
        <w:t>echo.org/de-nuevo-sobre-los-intereses-moratorios-abusivos-en-contratos-de-prestamo.</w:t>
      </w:r>
    </w:p>
    <w:p>
      <w:pPr>
        <w:pStyle w:val="ListParagraph"/>
        <w:numPr>
          <w:ilvl w:val="0"/>
          <w:numId w:val="3"/>
        </w:numPr>
        <w:tabs>
          <w:tab w:pos="865" w:val="left" w:leader="none"/>
        </w:tabs>
        <w:spacing w:line="240" w:lineRule="auto" w:before="3" w:after="0"/>
        <w:ind w:left="865" w:right="0" w:hanging="353"/>
        <w:jc w:val="left"/>
        <w:rPr>
          <w:sz w:val="16"/>
        </w:rPr>
      </w:pPr>
      <w:r>
        <w:rPr>
          <w:color w:val="231F20"/>
          <w:sz w:val="16"/>
        </w:rPr>
        <w:t>ECJ</w:t>
      </w:r>
      <w:r>
        <w:rPr>
          <w:color w:val="231F20"/>
          <w:spacing w:val="-3"/>
          <w:sz w:val="16"/>
        </w:rPr>
        <w:t> </w:t>
      </w:r>
      <w:r>
        <w:rPr>
          <w:color w:val="231F20"/>
          <w:sz w:val="16"/>
        </w:rPr>
        <w:t>7</w:t>
      </w:r>
      <w:r>
        <w:rPr>
          <w:color w:val="231F20"/>
          <w:spacing w:val="-2"/>
          <w:sz w:val="16"/>
        </w:rPr>
        <w:t> </w:t>
      </w:r>
      <w:r>
        <w:rPr>
          <w:color w:val="231F20"/>
          <w:sz w:val="16"/>
        </w:rPr>
        <w:t>Aug.</w:t>
      </w:r>
      <w:r>
        <w:rPr>
          <w:color w:val="231F20"/>
          <w:spacing w:val="-1"/>
          <w:sz w:val="16"/>
        </w:rPr>
        <w:t> </w:t>
      </w:r>
      <w:r>
        <w:rPr>
          <w:color w:val="231F20"/>
          <w:sz w:val="16"/>
        </w:rPr>
        <w:t>2018,</w:t>
      </w:r>
      <w:r>
        <w:rPr>
          <w:color w:val="231F20"/>
          <w:spacing w:val="-1"/>
          <w:sz w:val="16"/>
        </w:rPr>
        <w:t> </w:t>
      </w:r>
      <w:r>
        <w:rPr>
          <w:color w:val="231F20"/>
          <w:sz w:val="16"/>
        </w:rPr>
        <w:t>ECLI:EU:C:</w:t>
      </w:r>
      <w:r>
        <w:rPr>
          <w:color w:val="231F20"/>
          <w:spacing w:val="-2"/>
          <w:sz w:val="16"/>
        </w:rPr>
        <w:t> </w:t>
      </w:r>
      <w:r>
        <w:rPr>
          <w:color w:val="231F20"/>
          <w:sz w:val="16"/>
        </w:rPr>
        <w:t>2018:643,</w:t>
      </w:r>
      <w:r>
        <w:rPr>
          <w:color w:val="231F20"/>
          <w:spacing w:val="-2"/>
          <w:sz w:val="16"/>
        </w:rPr>
        <w:t> </w:t>
      </w:r>
      <w:r>
        <w:rPr>
          <w:i/>
          <w:color w:val="231F20"/>
          <w:sz w:val="16"/>
        </w:rPr>
        <w:t>Escobedo</w:t>
      </w:r>
      <w:r>
        <w:rPr>
          <w:i/>
          <w:color w:val="231F20"/>
          <w:spacing w:val="-1"/>
          <w:sz w:val="16"/>
        </w:rPr>
        <w:t> </w:t>
      </w:r>
      <w:r>
        <w:rPr>
          <w:i/>
          <w:color w:val="231F20"/>
          <w:sz w:val="16"/>
        </w:rPr>
        <w:t>Cortés</w:t>
      </w:r>
      <w:r>
        <w:rPr>
          <w:color w:val="231F20"/>
          <w:sz w:val="16"/>
        </w:rPr>
        <w:t>,</w:t>
      </w:r>
      <w:r>
        <w:rPr>
          <w:color w:val="231F20"/>
          <w:spacing w:val="-2"/>
          <w:sz w:val="16"/>
        </w:rPr>
        <w:t> </w:t>
      </w:r>
      <w:r>
        <w:rPr>
          <w:color w:val="231F20"/>
          <w:sz w:val="16"/>
        </w:rPr>
        <w:t>para.</w:t>
      </w:r>
      <w:r>
        <w:rPr>
          <w:color w:val="231F20"/>
          <w:spacing w:val="-2"/>
          <w:sz w:val="16"/>
        </w:rPr>
        <w:t> </w:t>
      </w:r>
      <w:r>
        <w:rPr>
          <w:color w:val="231F20"/>
          <w:spacing w:val="-5"/>
          <w:sz w:val="16"/>
        </w:rPr>
        <w:t>76.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3"/>
          <w:sz w:val="16"/>
        </w:rPr>
        <w:t> </w:t>
      </w:r>
      <w:r>
        <w:rPr>
          <w:color w:val="231F20"/>
          <w:sz w:val="16"/>
        </w:rPr>
        <w:t>7</w:t>
      </w:r>
      <w:r>
        <w:rPr>
          <w:color w:val="231F20"/>
          <w:spacing w:val="-2"/>
          <w:sz w:val="16"/>
        </w:rPr>
        <w:t> </w:t>
      </w:r>
      <w:r>
        <w:rPr>
          <w:color w:val="231F20"/>
          <w:sz w:val="16"/>
        </w:rPr>
        <w:t>Aug.</w:t>
      </w:r>
      <w:r>
        <w:rPr>
          <w:color w:val="231F20"/>
          <w:spacing w:val="-1"/>
          <w:sz w:val="16"/>
        </w:rPr>
        <w:t> </w:t>
      </w:r>
      <w:r>
        <w:rPr>
          <w:color w:val="231F20"/>
          <w:sz w:val="16"/>
        </w:rPr>
        <w:t>2018,</w:t>
      </w:r>
      <w:r>
        <w:rPr>
          <w:color w:val="231F20"/>
          <w:spacing w:val="-1"/>
          <w:sz w:val="16"/>
        </w:rPr>
        <w:t> </w:t>
      </w:r>
      <w:r>
        <w:rPr>
          <w:color w:val="231F20"/>
          <w:sz w:val="16"/>
        </w:rPr>
        <w:t>ECLI:EU:C:</w:t>
      </w:r>
      <w:r>
        <w:rPr>
          <w:color w:val="231F20"/>
          <w:spacing w:val="-2"/>
          <w:sz w:val="16"/>
        </w:rPr>
        <w:t> </w:t>
      </w:r>
      <w:r>
        <w:rPr>
          <w:color w:val="231F20"/>
          <w:sz w:val="16"/>
        </w:rPr>
        <w:t>2018:643,</w:t>
      </w:r>
      <w:r>
        <w:rPr>
          <w:color w:val="231F20"/>
          <w:spacing w:val="-2"/>
          <w:sz w:val="16"/>
        </w:rPr>
        <w:t> </w:t>
      </w:r>
      <w:r>
        <w:rPr>
          <w:i/>
          <w:color w:val="231F20"/>
          <w:sz w:val="16"/>
        </w:rPr>
        <w:t>Escobedo</w:t>
      </w:r>
      <w:r>
        <w:rPr>
          <w:i/>
          <w:color w:val="231F20"/>
          <w:spacing w:val="-1"/>
          <w:sz w:val="16"/>
        </w:rPr>
        <w:t> </w:t>
      </w:r>
      <w:r>
        <w:rPr>
          <w:i/>
          <w:color w:val="231F20"/>
          <w:sz w:val="16"/>
        </w:rPr>
        <w:t>Cortés</w:t>
      </w:r>
      <w:r>
        <w:rPr>
          <w:color w:val="231F20"/>
          <w:sz w:val="16"/>
        </w:rPr>
        <w:t>,</w:t>
      </w:r>
      <w:r>
        <w:rPr>
          <w:color w:val="231F20"/>
          <w:spacing w:val="-2"/>
          <w:sz w:val="16"/>
        </w:rPr>
        <w:t> </w:t>
      </w:r>
      <w:r>
        <w:rPr>
          <w:color w:val="231F20"/>
          <w:sz w:val="16"/>
        </w:rPr>
        <w:t>para.</w:t>
      </w:r>
      <w:r>
        <w:rPr>
          <w:color w:val="231F20"/>
          <w:spacing w:val="-2"/>
          <w:sz w:val="16"/>
        </w:rPr>
        <w:t> </w:t>
      </w:r>
      <w:r>
        <w:rPr>
          <w:color w:val="231F20"/>
          <w:spacing w:val="-5"/>
          <w:sz w:val="16"/>
        </w:rPr>
        <w:t>76.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3"/>
          <w:sz w:val="16"/>
        </w:rPr>
        <w:t> </w:t>
      </w:r>
      <w:r>
        <w:rPr>
          <w:color w:val="231F20"/>
          <w:sz w:val="16"/>
        </w:rPr>
        <w:t>7</w:t>
      </w:r>
      <w:r>
        <w:rPr>
          <w:color w:val="231F20"/>
          <w:spacing w:val="-2"/>
          <w:sz w:val="16"/>
        </w:rPr>
        <w:t> </w:t>
      </w:r>
      <w:r>
        <w:rPr>
          <w:color w:val="231F20"/>
          <w:sz w:val="16"/>
        </w:rPr>
        <w:t>Aug.</w:t>
      </w:r>
      <w:r>
        <w:rPr>
          <w:color w:val="231F20"/>
          <w:spacing w:val="-1"/>
          <w:sz w:val="16"/>
        </w:rPr>
        <w:t> </w:t>
      </w:r>
      <w:r>
        <w:rPr>
          <w:color w:val="231F20"/>
          <w:sz w:val="16"/>
        </w:rPr>
        <w:t>2018,</w:t>
      </w:r>
      <w:r>
        <w:rPr>
          <w:color w:val="231F20"/>
          <w:spacing w:val="-1"/>
          <w:sz w:val="16"/>
        </w:rPr>
        <w:t> </w:t>
      </w:r>
      <w:r>
        <w:rPr>
          <w:color w:val="231F20"/>
          <w:sz w:val="16"/>
        </w:rPr>
        <w:t>ECLI:EU:C:</w:t>
      </w:r>
      <w:r>
        <w:rPr>
          <w:color w:val="231F20"/>
          <w:spacing w:val="-2"/>
          <w:sz w:val="16"/>
        </w:rPr>
        <w:t> </w:t>
      </w:r>
      <w:r>
        <w:rPr>
          <w:color w:val="231F20"/>
          <w:sz w:val="16"/>
        </w:rPr>
        <w:t>2018:643,</w:t>
      </w:r>
      <w:r>
        <w:rPr>
          <w:color w:val="231F20"/>
          <w:spacing w:val="-2"/>
          <w:sz w:val="16"/>
        </w:rPr>
        <w:t> </w:t>
      </w:r>
      <w:r>
        <w:rPr>
          <w:i/>
          <w:color w:val="231F20"/>
          <w:sz w:val="16"/>
        </w:rPr>
        <w:t>Escobedo</w:t>
      </w:r>
      <w:r>
        <w:rPr>
          <w:i/>
          <w:color w:val="231F20"/>
          <w:spacing w:val="-1"/>
          <w:sz w:val="16"/>
        </w:rPr>
        <w:t> </w:t>
      </w:r>
      <w:r>
        <w:rPr>
          <w:i/>
          <w:color w:val="231F20"/>
          <w:sz w:val="16"/>
        </w:rPr>
        <w:t>Cortés</w:t>
      </w:r>
      <w:r>
        <w:rPr>
          <w:color w:val="231F20"/>
          <w:sz w:val="16"/>
        </w:rPr>
        <w:t>,</w:t>
      </w:r>
      <w:r>
        <w:rPr>
          <w:color w:val="231F20"/>
          <w:spacing w:val="-2"/>
          <w:sz w:val="16"/>
        </w:rPr>
        <w:t> </w:t>
      </w:r>
      <w:r>
        <w:rPr>
          <w:color w:val="231F20"/>
          <w:sz w:val="16"/>
        </w:rPr>
        <w:t>para.</w:t>
      </w:r>
      <w:r>
        <w:rPr>
          <w:color w:val="231F20"/>
          <w:spacing w:val="-2"/>
          <w:sz w:val="16"/>
        </w:rPr>
        <w:t> </w:t>
      </w:r>
      <w:r>
        <w:rPr>
          <w:color w:val="231F20"/>
          <w:spacing w:val="-5"/>
          <w:sz w:val="16"/>
        </w:rPr>
        <w:t>76.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38.</w:t>
      </w:r>
    </w:p>
    <w:p>
      <w:pPr>
        <w:pStyle w:val="ListParagraph"/>
        <w:numPr>
          <w:ilvl w:val="0"/>
          <w:numId w:val="3"/>
        </w:numPr>
        <w:tabs>
          <w:tab w:pos="865" w:val="left" w:leader="none"/>
        </w:tabs>
        <w:spacing w:line="240" w:lineRule="auto" w:before="34" w:after="0"/>
        <w:ind w:left="865" w:right="0" w:hanging="353"/>
        <w:jc w:val="left"/>
        <w:rPr>
          <w:sz w:val="16"/>
        </w:rPr>
      </w:pPr>
      <w:r>
        <w:rPr>
          <w:color w:val="231F20"/>
          <w:sz w:val="16"/>
        </w:rPr>
        <w:t>S.</w:t>
      </w:r>
      <w:r>
        <w:rPr>
          <w:color w:val="231F20"/>
          <w:spacing w:val="4"/>
          <w:sz w:val="16"/>
        </w:rPr>
        <w:t> </w:t>
      </w:r>
      <w:r>
        <w:rPr>
          <w:color w:val="231F20"/>
          <w:sz w:val="16"/>
        </w:rPr>
        <w:t>G</w:t>
      </w:r>
      <w:r>
        <w:rPr>
          <w:color w:val="231F20"/>
          <w:sz w:val="11"/>
        </w:rPr>
        <w:t>RUNDMANN</w:t>
      </w:r>
      <w:r>
        <w:rPr>
          <w:color w:val="231F20"/>
          <w:spacing w:val="17"/>
          <w:sz w:val="11"/>
        </w:rPr>
        <w:t> </w:t>
      </w:r>
      <w:r>
        <w:rPr>
          <w:color w:val="231F20"/>
          <w:sz w:val="16"/>
        </w:rPr>
        <w:t>&amp;</w:t>
      </w:r>
      <w:r>
        <w:rPr>
          <w:color w:val="231F20"/>
          <w:spacing w:val="5"/>
          <w:sz w:val="16"/>
        </w:rPr>
        <w:t> </w:t>
      </w:r>
      <w:r>
        <w:rPr>
          <w:color w:val="231F20"/>
          <w:sz w:val="16"/>
        </w:rPr>
        <w:t>N.</w:t>
      </w:r>
      <w:r>
        <w:rPr>
          <w:color w:val="231F20"/>
          <w:spacing w:val="4"/>
          <w:sz w:val="16"/>
        </w:rPr>
        <w:t> </w:t>
      </w:r>
      <w:r>
        <w:rPr>
          <w:color w:val="231F20"/>
          <w:sz w:val="16"/>
        </w:rPr>
        <w:t>B</w:t>
      </w:r>
      <w:r>
        <w:rPr>
          <w:color w:val="231F20"/>
          <w:sz w:val="11"/>
        </w:rPr>
        <w:t>ADENHOOP</w:t>
      </w:r>
      <w:r>
        <w:rPr>
          <w:color w:val="231F20"/>
          <w:sz w:val="16"/>
        </w:rPr>
        <w:t>,</w:t>
      </w:r>
      <w:r>
        <w:rPr>
          <w:color w:val="231F20"/>
          <w:spacing w:val="4"/>
          <w:sz w:val="16"/>
        </w:rPr>
        <w:t> </w:t>
      </w:r>
      <w:r>
        <w:rPr>
          <w:rFonts w:ascii="Arial" w:hAnsi="Arial"/>
          <w:color w:val="231F20"/>
          <w:sz w:val="16"/>
        </w:rPr>
        <w:t>‘</w:t>
      </w:r>
      <w:r>
        <w:rPr>
          <w:color w:val="231F20"/>
          <w:sz w:val="16"/>
        </w:rPr>
        <w:t>Foreign</w:t>
      </w:r>
      <w:r>
        <w:rPr>
          <w:color w:val="231F20"/>
          <w:spacing w:val="6"/>
          <w:sz w:val="16"/>
        </w:rPr>
        <w:t> </w:t>
      </w:r>
      <w:r>
        <w:rPr>
          <w:color w:val="231F20"/>
          <w:sz w:val="16"/>
        </w:rPr>
        <w:t>Currency</w:t>
      </w:r>
      <w:r>
        <w:rPr>
          <w:color w:val="231F20"/>
          <w:spacing w:val="5"/>
          <w:sz w:val="16"/>
        </w:rPr>
        <w:t> </w:t>
      </w:r>
      <w:r>
        <w:rPr>
          <w:color w:val="231F20"/>
          <w:sz w:val="16"/>
        </w:rPr>
        <w:t>Loans</w:t>
      </w:r>
      <w:r>
        <w:rPr>
          <w:rFonts w:ascii="Arial" w:hAnsi="Arial"/>
          <w:color w:val="231F20"/>
          <w:sz w:val="16"/>
        </w:rPr>
        <w:t>’</w:t>
      </w:r>
      <w:r>
        <w:rPr>
          <w:color w:val="231F20"/>
          <w:sz w:val="16"/>
        </w:rPr>
        <w:t>,</w:t>
      </w:r>
      <w:r>
        <w:rPr>
          <w:color w:val="231F20"/>
          <w:spacing w:val="4"/>
          <w:sz w:val="16"/>
        </w:rPr>
        <w:t> </w:t>
      </w:r>
      <w:r>
        <w:rPr>
          <w:color w:val="231F20"/>
          <w:sz w:val="16"/>
        </w:rPr>
        <w:t>p</w:t>
      </w:r>
      <w:r>
        <w:rPr>
          <w:color w:val="231F20"/>
          <w:spacing w:val="4"/>
          <w:sz w:val="16"/>
        </w:rPr>
        <w:t> </w:t>
      </w:r>
      <w:r>
        <w:rPr>
          <w:color w:val="231F20"/>
          <w:spacing w:val="-5"/>
          <w:sz w:val="16"/>
        </w:rPr>
        <w:t>18.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27</w:t>
      </w:r>
      <w:r>
        <w:rPr>
          <w:color w:val="231F20"/>
          <w:spacing w:val="1"/>
          <w:sz w:val="16"/>
        </w:rPr>
        <w:t> </w:t>
      </w:r>
      <w:r>
        <w:rPr>
          <w:color w:val="231F20"/>
          <w:sz w:val="16"/>
        </w:rPr>
        <w:t>Jan.</w:t>
      </w:r>
      <w:r>
        <w:rPr>
          <w:color w:val="231F20"/>
          <w:spacing w:val="1"/>
          <w:sz w:val="16"/>
        </w:rPr>
        <w:t> </w:t>
      </w:r>
      <w:r>
        <w:rPr>
          <w:color w:val="231F20"/>
          <w:sz w:val="16"/>
        </w:rPr>
        <w:t>2021,</w:t>
      </w:r>
      <w:r>
        <w:rPr>
          <w:color w:val="231F20"/>
          <w:spacing w:val="2"/>
          <w:sz w:val="16"/>
        </w:rPr>
        <w:t> </w:t>
      </w:r>
      <w:r>
        <w:rPr>
          <w:color w:val="231F20"/>
          <w:sz w:val="16"/>
        </w:rPr>
        <w:t>ECLI:EU:C:2021:68,</w:t>
      </w:r>
      <w:r>
        <w:rPr>
          <w:color w:val="231F20"/>
          <w:spacing w:val="2"/>
          <w:sz w:val="16"/>
        </w:rPr>
        <w:t> </w:t>
      </w:r>
      <w:r>
        <w:rPr>
          <w:i/>
          <w:color w:val="231F20"/>
          <w:sz w:val="16"/>
        </w:rPr>
        <w:t>Dexia</w:t>
      </w:r>
      <w:r>
        <w:rPr>
          <w:color w:val="231F20"/>
          <w:sz w:val="16"/>
        </w:rPr>
        <w:t>,</w:t>
      </w:r>
      <w:r>
        <w:rPr>
          <w:color w:val="231F20"/>
          <w:spacing w:val="2"/>
          <w:sz w:val="16"/>
        </w:rPr>
        <w:t> </w:t>
      </w:r>
      <w:r>
        <w:rPr>
          <w:color w:val="231F20"/>
          <w:sz w:val="16"/>
        </w:rPr>
        <w:t>para.</w:t>
      </w:r>
      <w:r>
        <w:rPr>
          <w:color w:val="231F20"/>
          <w:spacing w:val="1"/>
          <w:sz w:val="16"/>
        </w:rPr>
        <w:t> </w:t>
      </w:r>
      <w:r>
        <w:rPr>
          <w:color w:val="231F20"/>
          <w:spacing w:val="-5"/>
          <w:sz w:val="16"/>
        </w:rPr>
        <w:t>66.</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prohibition of unjust enrichment is the most salient criterion for a </w:t>
      </w:r>
      <w:r>
        <w:rPr>
          <w:color w:val="231F20"/>
        </w:rPr>
        <w:t>proportionate </w:t>
      </w:r>
      <w:r>
        <w:rPr>
          <w:color w:val="231F20"/>
          <w:spacing w:val="-2"/>
        </w:rPr>
        <w:t>imposition of the</w:t>
      </w:r>
      <w:r>
        <w:rPr>
          <w:color w:val="231F20"/>
          <w:spacing w:val="-3"/>
        </w:rPr>
        <w:t> </w:t>
      </w:r>
      <w:r>
        <w:rPr>
          <w:color w:val="231F20"/>
          <w:spacing w:val="-2"/>
        </w:rPr>
        <w:t>sanction. While the</w:t>
      </w:r>
      <w:r>
        <w:rPr>
          <w:color w:val="231F20"/>
          <w:spacing w:val="-3"/>
        </w:rPr>
        <w:t> </w:t>
      </w:r>
      <w:r>
        <w:rPr>
          <w:color w:val="231F20"/>
          <w:spacing w:val="-2"/>
        </w:rPr>
        <w:t>principles of</w:t>
      </w:r>
      <w:r>
        <w:rPr>
          <w:color w:val="231F20"/>
          <w:spacing w:val="-5"/>
        </w:rPr>
        <w:t> </w:t>
      </w:r>
      <w:r>
        <w:rPr>
          <w:color w:val="231F20"/>
          <w:spacing w:val="-2"/>
        </w:rPr>
        <w:t>effectiveness and dissuasiveness </w:t>
      </w:r>
      <w:r>
        <w:rPr>
          <w:color w:val="231F20"/>
        </w:rPr>
        <w:t>have</w:t>
      </w:r>
      <w:r>
        <w:rPr>
          <w:color w:val="231F20"/>
          <w:spacing w:val="-2"/>
        </w:rPr>
        <w:t> </w:t>
      </w:r>
      <w:r>
        <w:rPr>
          <w:color w:val="231F20"/>
        </w:rPr>
        <w:t>advanced</w:t>
      </w:r>
      <w:r>
        <w:rPr>
          <w:color w:val="231F20"/>
          <w:spacing w:val="-1"/>
        </w:rPr>
        <w:t> </w:t>
      </w:r>
      <w:r>
        <w:rPr>
          <w:color w:val="231F20"/>
        </w:rPr>
        <w:t>the</w:t>
      </w:r>
      <w:r>
        <w:rPr>
          <w:color w:val="231F20"/>
          <w:spacing w:val="-1"/>
        </w:rPr>
        <w:t> </w:t>
      </w:r>
      <w:r>
        <w:rPr>
          <w:color w:val="231F20"/>
        </w:rPr>
        <w:t>remedy</w:t>
      </w:r>
      <w:r>
        <w:rPr>
          <w:color w:val="231F20"/>
          <w:spacing w:val="-1"/>
        </w:rPr>
        <w:t> </w:t>
      </w:r>
      <w:r>
        <w:rPr>
          <w:color w:val="231F20"/>
        </w:rPr>
        <w:t>under Article</w:t>
      </w:r>
      <w:r>
        <w:rPr>
          <w:color w:val="231F20"/>
          <w:spacing w:val="-1"/>
        </w:rPr>
        <w:t> </w:t>
      </w:r>
      <w:r>
        <w:rPr>
          <w:color w:val="231F20"/>
        </w:rPr>
        <w:t>6(1) UCTD,</w:t>
      </w:r>
      <w:r>
        <w:rPr>
          <w:color w:val="231F20"/>
          <w:spacing w:val="-1"/>
        </w:rPr>
        <w:t> </w:t>
      </w:r>
      <w:r>
        <w:rPr>
          <w:color w:val="231F20"/>
        </w:rPr>
        <w:t>proportionality</w:t>
      </w:r>
      <w:r>
        <w:rPr>
          <w:color w:val="231F20"/>
          <w:spacing w:val="-1"/>
        </w:rPr>
        <w:t> </w:t>
      </w:r>
      <w:r>
        <w:rPr>
          <w:color w:val="231F20"/>
        </w:rPr>
        <w:t>calibrates</w:t>
      </w:r>
      <w:r>
        <w:rPr>
          <w:color w:val="231F20"/>
          <w:spacing w:val="-1"/>
        </w:rPr>
        <w:t> </w:t>
      </w:r>
      <w:r>
        <w:rPr>
          <w:color w:val="231F20"/>
        </w:rPr>
        <w:t>it.</w:t>
      </w:r>
    </w:p>
    <w:p>
      <w:pPr>
        <w:pStyle w:val="ListParagraph"/>
        <w:numPr>
          <w:ilvl w:val="0"/>
          <w:numId w:val="4"/>
        </w:numPr>
        <w:tabs>
          <w:tab w:pos="1324" w:val="left" w:leader="none"/>
        </w:tabs>
        <w:spacing w:line="288" w:lineRule="auto" w:before="120" w:after="0"/>
        <w:ind w:left="871" w:right="868" w:firstLine="0"/>
        <w:jc w:val="both"/>
        <w:rPr>
          <w:sz w:val="19"/>
        </w:rPr>
      </w:pPr>
      <w:r>
        <w:rPr>
          <w:color w:val="231F20"/>
          <w:sz w:val="19"/>
        </w:rPr>
        <w:t>It remains to be seen how the public law penalties that the Omnibus Directive</w:t>
      </w:r>
      <w:r>
        <w:rPr>
          <w:color w:val="231F20"/>
          <w:sz w:val="19"/>
          <w:vertAlign w:val="superscript"/>
        </w:rPr>
        <w:t>138</w:t>
      </w:r>
      <w:r>
        <w:rPr>
          <w:color w:val="231F20"/>
          <w:spacing w:val="-8"/>
          <w:sz w:val="19"/>
          <w:vertAlign w:val="baseline"/>
        </w:rPr>
        <w:t> </w:t>
      </w:r>
      <w:r>
        <w:rPr>
          <w:color w:val="231F20"/>
          <w:sz w:val="19"/>
          <w:vertAlign w:val="baseline"/>
        </w:rPr>
        <w:t>incorporated</w:t>
      </w:r>
      <w:r>
        <w:rPr>
          <w:color w:val="231F20"/>
          <w:spacing w:val="-9"/>
          <w:sz w:val="19"/>
          <w:vertAlign w:val="baseline"/>
        </w:rPr>
        <w:t> </w:t>
      </w:r>
      <w:r>
        <w:rPr>
          <w:color w:val="231F20"/>
          <w:sz w:val="19"/>
          <w:vertAlign w:val="baseline"/>
        </w:rPr>
        <w:t>into</w:t>
      </w:r>
      <w:r>
        <w:rPr>
          <w:color w:val="231F20"/>
          <w:spacing w:val="-9"/>
          <w:sz w:val="19"/>
          <w:vertAlign w:val="baseline"/>
        </w:rPr>
        <w:t> </w:t>
      </w:r>
      <w:r>
        <w:rPr>
          <w:color w:val="231F20"/>
          <w:sz w:val="19"/>
          <w:vertAlign w:val="baseline"/>
        </w:rPr>
        <w:t>the</w:t>
      </w:r>
      <w:r>
        <w:rPr>
          <w:color w:val="231F20"/>
          <w:spacing w:val="-9"/>
          <w:sz w:val="19"/>
          <w:vertAlign w:val="baseline"/>
        </w:rPr>
        <w:t> </w:t>
      </w:r>
      <w:r>
        <w:rPr>
          <w:color w:val="231F20"/>
          <w:sz w:val="19"/>
          <w:vertAlign w:val="baseline"/>
        </w:rPr>
        <w:t>UCTD</w:t>
      </w:r>
      <w:r>
        <w:rPr>
          <w:color w:val="231F20"/>
          <w:spacing w:val="-9"/>
          <w:sz w:val="19"/>
          <w:vertAlign w:val="baseline"/>
        </w:rPr>
        <w:t> </w:t>
      </w:r>
      <w:r>
        <w:rPr>
          <w:color w:val="231F20"/>
          <w:sz w:val="19"/>
          <w:vertAlign w:val="baseline"/>
        </w:rPr>
        <w:t>will</w:t>
      </w:r>
      <w:r>
        <w:rPr>
          <w:color w:val="231F20"/>
          <w:spacing w:val="-9"/>
          <w:sz w:val="19"/>
          <w:vertAlign w:val="baseline"/>
        </w:rPr>
        <w:t> </w:t>
      </w:r>
      <w:r>
        <w:rPr>
          <w:color w:val="231F20"/>
          <w:sz w:val="19"/>
          <w:vertAlign w:val="baseline"/>
        </w:rPr>
        <w:t>interact</w:t>
      </w:r>
      <w:r>
        <w:rPr>
          <w:color w:val="231F20"/>
          <w:spacing w:val="-9"/>
          <w:sz w:val="19"/>
          <w:vertAlign w:val="baseline"/>
        </w:rPr>
        <w:t> </w:t>
      </w:r>
      <w:r>
        <w:rPr>
          <w:color w:val="231F20"/>
          <w:sz w:val="19"/>
          <w:vertAlign w:val="baseline"/>
        </w:rPr>
        <w:t>with</w:t>
      </w:r>
      <w:r>
        <w:rPr>
          <w:color w:val="231F20"/>
          <w:spacing w:val="-9"/>
          <w:sz w:val="19"/>
          <w:vertAlign w:val="baseline"/>
        </w:rPr>
        <w:t> </w:t>
      </w:r>
      <w:r>
        <w:rPr>
          <w:color w:val="231F20"/>
          <w:sz w:val="19"/>
          <w:vertAlign w:val="baseline"/>
        </w:rPr>
        <w:t>the</w:t>
      </w:r>
      <w:r>
        <w:rPr>
          <w:color w:val="231F20"/>
          <w:spacing w:val="-9"/>
          <w:sz w:val="19"/>
          <w:vertAlign w:val="baseline"/>
        </w:rPr>
        <w:t> </w:t>
      </w:r>
      <w:r>
        <w:rPr>
          <w:color w:val="231F20"/>
          <w:sz w:val="19"/>
          <w:vertAlign w:val="baseline"/>
        </w:rPr>
        <w:t>private</w:t>
      </w:r>
      <w:r>
        <w:rPr>
          <w:color w:val="231F20"/>
          <w:spacing w:val="-8"/>
          <w:sz w:val="19"/>
          <w:vertAlign w:val="baseline"/>
        </w:rPr>
        <w:t> </w:t>
      </w:r>
      <w:r>
        <w:rPr>
          <w:color w:val="231F20"/>
          <w:sz w:val="19"/>
          <w:vertAlign w:val="baseline"/>
        </w:rPr>
        <w:t>law</w:t>
      </w:r>
      <w:r>
        <w:rPr>
          <w:color w:val="231F20"/>
          <w:spacing w:val="-8"/>
          <w:sz w:val="19"/>
          <w:vertAlign w:val="baseline"/>
        </w:rPr>
        <w:t> </w:t>
      </w:r>
      <w:r>
        <w:rPr>
          <w:color w:val="231F20"/>
          <w:sz w:val="19"/>
          <w:vertAlign w:val="baseline"/>
        </w:rPr>
        <w:t>sanction that the ECJ developed. The combined public and private enforcement</w:t>
      </w:r>
      <w:r>
        <w:rPr>
          <w:color w:val="231F20"/>
          <w:spacing w:val="-1"/>
          <w:sz w:val="19"/>
          <w:vertAlign w:val="baseline"/>
        </w:rPr>
        <w:t> </w:t>
      </w:r>
      <w:r>
        <w:rPr>
          <w:color w:val="231F20"/>
          <w:sz w:val="19"/>
          <w:vertAlign w:val="baseline"/>
        </w:rPr>
        <w:t>of EU law </w:t>
      </w:r>
      <w:r>
        <w:rPr>
          <w:color w:val="231F20"/>
          <w:spacing w:val="-2"/>
          <w:sz w:val="19"/>
          <w:vertAlign w:val="baseline"/>
        </w:rPr>
        <w:t>ensures</w:t>
      </w:r>
      <w:r>
        <w:rPr>
          <w:color w:val="231F20"/>
          <w:spacing w:val="-5"/>
          <w:sz w:val="19"/>
          <w:vertAlign w:val="baseline"/>
        </w:rPr>
        <w:t> </w:t>
      </w:r>
      <w:r>
        <w:rPr>
          <w:color w:val="231F20"/>
          <w:spacing w:val="-2"/>
          <w:sz w:val="19"/>
          <w:vertAlign w:val="baseline"/>
        </w:rPr>
        <w:t>their</w:t>
      </w:r>
      <w:r>
        <w:rPr>
          <w:color w:val="231F20"/>
          <w:spacing w:val="-4"/>
          <w:sz w:val="19"/>
          <w:vertAlign w:val="baseline"/>
        </w:rPr>
        <w:t> </w:t>
      </w:r>
      <w:r>
        <w:rPr>
          <w:color w:val="231F20"/>
          <w:spacing w:val="-2"/>
          <w:sz w:val="19"/>
          <w:vertAlign w:val="baseline"/>
        </w:rPr>
        <w:t>coexistence.</w:t>
      </w:r>
      <w:r>
        <w:rPr>
          <w:color w:val="231F20"/>
          <w:spacing w:val="-4"/>
          <w:sz w:val="19"/>
          <w:vertAlign w:val="baseline"/>
        </w:rPr>
        <w:t> </w:t>
      </w:r>
      <w:r>
        <w:rPr>
          <w:color w:val="231F20"/>
          <w:spacing w:val="-2"/>
          <w:sz w:val="19"/>
          <w:vertAlign w:val="baseline"/>
        </w:rPr>
        <w:t>However,</w:t>
      </w:r>
      <w:r>
        <w:rPr>
          <w:color w:val="231F20"/>
          <w:spacing w:val="-4"/>
          <w:sz w:val="19"/>
          <w:vertAlign w:val="baseline"/>
        </w:rPr>
        <w:t> </w:t>
      </w:r>
      <w:r>
        <w:rPr>
          <w:color w:val="231F20"/>
          <w:spacing w:val="-2"/>
          <w:sz w:val="19"/>
          <w:vertAlign w:val="baseline"/>
        </w:rPr>
        <w:t>they</w:t>
      </w:r>
      <w:r>
        <w:rPr>
          <w:color w:val="231F20"/>
          <w:spacing w:val="-4"/>
          <w:sz w:val="19"/>
          <w:vertAlign w:val="baseline"/>
        </w:rPr>
        <w:t> </w:t>
      </w:r>
      <w:r>
        <w:rPr>
          <w:color w:val="231F20"/>
          <w:spacing w:val="-2"/>
          <w:sz w:val="19"/>
          <w:vertAlign w:val="baseline"/>
        </w:rPr>
        <w:t>should</w:t>
      </w:r>
      <w:r>
        <w:rPr>
          <w:color w:val="231F20"/>
          <w:spacing w:val="-4"/>
          <w:sz w:val="19"/>
          <w:vertAlign w:val="baseline"/>
        </w:rPr>
        <w:t> </w:t>
      </w:r>
      <w:r>
        <w:rPr>
          <w:color w:val="231F20"/>
          <w:spacing w:val="-2"/>
          <w:sz w:val="19"/>
          <w:vertAlign w:val="baseline"/>
        </w:rPr>
        <w:t>be</w:t>
      </w:r>
      <w:r>
        <w:rPr>
          <w:color w:val="231F20"/>
          <w:spacing w:val="-4"/>
          <w:sz w:val="19"/>
          <w:vertAlign w:val="baseline"/>
        </w:rPr>
        <w:t> </w:t>
      </w:r>
      <w:r>
        <w:rPr>
          <w:color w:val="231F20"/>
          <w:spacing w:val="-2"/>
          <w:sz w:val="19"/>
          <w:vertAlign w:val="baseline"/>
        </w:rPr>
        <w:t>considered</w:t>
      </w:r>
      <w:r>
        <w:rPr>
          <w:color w:val="231F20"/>
          <w:spacing w:val="-4"/>
          <w:sz w:val="19"/>
          <w:vertAlign w:val="baseline"/>
        </w:rPr>
        <w:t> </w:t>
      </w:r>
      <w:r>
        <w:rPr>
          <w:color w:val="231F20"/>
          <w:spacing w:val="-2"/>
          <w:sz w:val="19"/>
          <w:vertAlign w:val="baseline"/>
        </w:rPr>
        <w:t>jointly</w:t>
      </w:r>
      <w:r>
        <w:rPr>
          <w:color w:val="231F20"/>
          <w:spacing w:val="-4"/>
          <w:sz w:val="19"/>
          <w:vertAlign w:val="baseline"/>
        </w:rPr>
        <w:t> </w:t>
      </w:r>
      <w:r>
        <w:rPr>
          <w:color w:val="231F20"/>
          <w:spacing w:val="-2"/>
          <w:sz w:val="19"/>
          <w:vertAlign w:val="baseline"/>
        </w:rPr>
        <w:t>to</w:t>
      </w:r>
      <w:r>
        <w:rPr>
          <w:color w:val="231F20"/>
          <w:spacing w:val="-4"/>
          <w:sz w:val="19"/>
          <w:vertAlign w:val="baseline"/>
        </w:rPr>
        <w:t> </w:t>
      </w:r>
      <w:r>
        <w:rPr>
          <w:color w:val="231F20"/>
          <w:spacing w:val="-2"/>
          <w:sz w:val="19"/>
          <w:vertAlign w:val="baseline"/>
        </w:rPr>
        <w:t>achieve</w:t>
      </w:r>
      <w:r>
        <w:rPr>
          <w:color w:val="231F20"/>
          <w:spacing w:val="-4"/>
          <w:sz w:val="19"/>
          <w:vertAlign w:val="baseline"/>
        </w:rPr>
        <w:t> </w:t>
      </w:r>
      <w:r>
        <w:rPr>
          <w:color w:val="231F20"/>
          <w:spacing w:val="-2"/>
          <w:sz w:val="19"/>
          <w:vertAlign w:val="baseline"/>
        </w:rPr>
        <w:t>an </w:t>
      </w:r>
      <w:r>
        <w:rPr>
          <w:color w:val="231F20"/>
          <w:sz w:val="19"/>
          <w:vertAlign w:val="baseline"/>
        </w:rPr>
        <w:t>adequate imposition of sanctions that are effective, dissuasive, and proportional.</w:t>
      </w:r>
    </w:p>
    <w:p>
      <w:pPr>
        <w:pStyle w:val="BodyText"/>
        <w:spacing w:before="74"/>
      </w:pPr>
    </w:p>
    <w:p>
      <w:pPr>
        <w:pStyle w:val="Heading2"/>
        <w:numPr>
          <w:ilvl w:val="1"/>
          <w:numId w:val="1"/>
        </w:numPr>
        <w:tabs>
          <w:tab w:pos="848" w:val="left" w:leader="none"/>
        </w:tabs>
        <w:spacing w:line="240" w:lineRule="auto" w:before="0" w:after="0"/>
        <w:ind w:left="848" w:right="0" w:hanging="545"/>
        <w:jc w:val="left"/>
        <w:rPr>
          <w:i/>
        </w:rPr>
      </w:pPr>
      <w:r>
        <w:rPr>
          <w:i/>
          <w:color w:val="231F20"/>
          <w:w w:val="105"/>
        </w:rPr>
        <w:t>Weaker</w:t>
      </w:r>
      <w:r>
        <w:rPr>
          <w:i/>
          <w:color w:val="231F20"/>
          <w:spacing w:val="5"/>
          <w:w w:val="105"/>
        </w:rPr>
        <w:t> </w:t>
      </w:r>
      <w:r>
        <w:rPr>
          <w:i/>
          <w:color w:val="231F20"/>
          <w:w w:val="105"/>
        </w:rPr>
        <w:t>Party</w:t>
      </w:r>
      <w:r>
        <w:rPr>
          <w:i/>
          <w:color w:val="231F20"/>
          <w:spacing w:val="5"/>
          <w:w w:val="105"/>
        </w:rPr>
        <w:t> </w:t>
      </w:r>
      <w:r>
        <w:rPr>
          <w:i/>
          <w:color w:val="231F20"/>
          <w:w w:val="105"/>
        </w:rPr>
        <w:t>Protection</w:t>
      </w:r>
      <w:r>
        <w:rPr>
          <w:i/>
          <w:color w:val="231F20"/>
          <w:spacing w:val="5"/>
          <w:w w:val="105"/>
        </w:rPr>
        <w:t> </w:t>
      </w:r>
      <w:r>
        <w:rPr>
          <w:i/>
          <w:color w:val="231F20"/>
          <w:w w:val="105"/>
        </w:rPr>
        <w:t>and</w:t>
      </w:r>
      <w:r>
        <w:rPr>
          <w:i/>
          <w:color w:val="231F20"/>
          <w:spacing w:val="5"/>
          <w:w w:val="105"/>
        </w:rPr>
        <w:t> </w:t>
      </w:r>
      <w:r>
        <w:rPr>
          <w:i/>
          <w:color w:val="231F20"/>
          <w:w w:val="105"/>
        </w:rPr>
        <w:t>Lack</w:t>
      </w:r>
      <w:r>
        <w:rPr>
          <w:i/>
          <w:color w:val="231F20"/>
          <w:spacing w:val="4"/>
          <w:w w:val="105"/>
        </w:rPr>
        <w:t> </w:t>
      </w:r>
      <w:r>
        <w:rPr>
          <w:i/>
          <w:color w:val="231F20"/>
          <w:w w:val="105"/>
        </w:rPr>
        <w:t>of</w:t>
      </w:r>
      <w:r>
        <w:rPr>
          <w:i/>
          <w:color w:val="231F20"/>
          <w:spacing w:val="5"/>
          <w:w w:val="105"/>
        </w:rPr>
        <w:t> </w:t>
      </w:r>
      <w:r>
        <w:rPr>
          <w:i/>
          <w:color w:val="231F20"/>
          <w:spacing w:val="-2"/>
          <w:w w:val="105"/>
        </w:rPr>
        <w:t>Dissuasiveness</w:t>
      </w:r>
    </w:p>
    <w:p>
      <w:pPr>
        <w:pStyle w:val="ListParagraph"/>
        <w:numPr>
          <w:ilvl w:val="2"/>
          <w:numId w:val="1"/>
        </w:numPr>
        <w:tabs>
          <w:tab w:pos="899" w:val="left" w:leader="none"/>
        </w:tabs>
        <w:spacing w:line="240" w:lineRule="auto" w:before="139" w:after="0"/>
        <w:ind w:left="899" w:right="0" w:hanging="680"/>
        <w:jc w:val="left"/>
        <w:rPr>
          <w:i/>
          <w:sz w:val="22"/>
        </w:rPr>
      </w:pPr>
      <w:r>
        <w:rPr>
          <w:i/>
          <w:color w:val="231F20"/>
          <w:spacing w:val="-2"/>
          <w:sz w:val="22"/>
        </w:rPr>
        <w:t>The</w:t>
      </w:r>
      <w:r>
        <w:rPr>
          <w:i/>
          <w:color w:val="231F20"/>
          <w:spacing w:val="-3"/>
          <w:sz w:val="22"/>
        </w:rPr>
        <w:t> </w:t>
      </w:r>
      <w:r>
        <w:rPr>
          <w:i/>
          <w:color w:val="231F20"/>
          <w:spacing w:val="-2"/>
          <w:sz w:val="22"/>
        </w:rPr>
        <w:t>Rule</w:t>
      </w:r>
      <w:r>
        <w:rPr>
          <w:i/>
          <w:color w:val="231F20"/>
          <w:spacing w:val="-3"/>
          <w:sz w:val="22"/>
        </w:rPr>
        <w:t> </w:t>
      </w:r>
      <w:r>
        <w:rPr>
          <w:i/>
          <w:color w:val="231F20"/>
          <w:spacing w:val="-2"/>
          <w:sz w:val="22"/>
        </w:rPr>
        <w:t>in Kásler: Equality,</w:t>
      </w:r>
      <w:r>
        <w:rPr>
          <w:i/>
          <w:color w:val="231F20"/>
          <w:spacing w:val="-3"/>
          <w:sz w:val="22"/>
        </w:rPr>
        <w:t> </w:t>
      </w:r>
      <w:r>
        <w:rPr>
          <w:i/>
          <w:color w:val="231F20"/>
          <w:spacing w:val="-2"/>
          <w:sz w:val="22"/>
        </w:rPr>
        <w:t>not Dissuasiveness</w:t>
      </w:r>
    </w:p>
    <w:p>
      <w:pPr>
        <w:pStyle w:val="ListParagraph"/>
        <w:numPr>
          <w:ilvl w:val="0"/>
          <w:numId w:val="4"/>
        </w:numPr>
        <w:tabs>
          <w:tab w:pos="1324" w:val="left" w:leader="none"/>
        </w:tabs>
        <w:spacing w:line="288" w:lineRule="auto" w:before="167" w:after="0"/>
        <w:ind w:left="871" w:right="867" w:firstLine="0"/>
        <w:jc w:val="both"/>
        <w:rPr>
          <w:sz w:val="19"/>
        </w:rPr>
      </w:pPr>
      <w:r>
        <w:rPr>
          <w:color w:val="231F20"/>
          <w:sz w:val="19"/>
        </w:rPr>
        <w:t>The ruling in Case C-618/10, </w:t>
      </w:r>
      <w:r>
        <w:rPr>
          <w:i/>
          <w:color w:val="231F20"/>
          <w:sz w:val="19"/>
        </w:rPr>
        <w:t>Banco Español</w:t>
      </w:r>
      <w:r>
        <w:rPr>
          <w:color w:val="231F20"/>
          <w:sz w:val="19"/>
        </w:rPr>
        <w:t>, whereby courts cannot </w:t>
      </w:r>
      <w:r>
        <w:rPr>
          <w:color w:val="231F20"/>
          <w:sz w:val="19"/>
        </w:rPr>
        <w:t>revise the</w:t>
      </w:r>
      <w:r>
        <w:rPr>
          <w:color w:val="231F20"/>
          <w:spacing w:val="-4"/>
          <w:sz w:val="19"/>
        </w:rPr>
        <w:t> </w:t>
      </w:r>
      <w:r>
        <w:rPr>
          <w:color w:val="231F20"/>
          <w:sz w:val="19"/>
        </w:rPr>
        <w:t>contents</w:t>
      </w:r>
      <w:r>
        <w:rPr>
          <w:color w:val="231F20"/>
          <w:spacing w:val="-5"/>
          <w:sz w:val="19"/>
        </w:rPr>
        <w:t> </w:t>
      </w:r>
      <w:r>
        <w:rPr>
          <w:color w:val="231F20"/>
          <w:sz w:val="19"/>
        </w:rPr>
        <w:t>of</w:t>
      </w:r>
      <w:r>
        <w:rPr>
          <w:color w:val="231F20"/>
          <w:spacing w:val="-5"/>
          <w:sz w:val="19"/>
        </w:rPr>
        <w:t> </w:t>
      </w:r>
      <w:r>
        <w:rPr>
          <w:color w:val="231F20"/>
          <w:sz w:val="19"/>
        </w:rPr>
        <w:t>contracts</w:t>
      </w:r>
      <w:r>
        <w:rPr>
          <w:color w:val="231F20"/>
          <w:spacing w:val="-5"/>
          <w:sz w:val="19"/>
        </w:rPr>
        <w:t> </w:t>
      </w:r>
      <w:r>
        <w:rPr>
          <w:color w:val="231F20"/>
          <w:sz w:val="19"/>
        </w:rPr>
        <w:t>by</w:t>
      </w:r>
      <w:r>
        <w:rPr>
          <w:color w:val="231F20"/>
          <w:spacing w:val="-4"/>
          <w:sz w:val="19"/>
        </w:rPr>
        <w:t> </w:t>
      </w:r>
      <w:r>
        <w:rPr>
          <w:color w:val="231F20"/>
          <w:sz w:val="19"/>
        </w:rPr>
        <w:t>substituting</w:t>
      </w:r>
      <w:r>
        <w:rPr>
          <w:color w:val="231F20"/>
          <w:spacing w:val="-5"/>
          <w:sz w:val="19"/>
        </w:rPr>
        <w:t> </w:t>
      </w:r>
      <w:r>
        <w:rPr>
          <w:color w:val="231F20"/>
          <w:sz w:val="19"/>
        </w:rPr>
        <w:t>the</w:t>
      </w:r>
      <w:r>
        <w:rPr>
          <w:color w:val="231F20"/>
          <w:spacing w:val="-4"/>
          <w:sz w:val="19"/>
        </w:rPr>
        <w:t> </w:t>
      </w:r>
      <w:r>
        <w:rPr>
          <w:color w:val="231F20"/>
          <w:sz w:val="19"/>
        </w:rPr>
        <w:t>unfair</w:t>
      </w:r>
      <w:r>
        <w:rPr>
          <w:color w:val="231F20"/>
          <w:spacing w:val="-5"/>
          <w:sz w:val="19"/>
        </w:rPr>
        <w:t> </w:t>
      </w:r>
      <w:r>
        <w:rPr>
          <w:color w:val="231F20"/>
          <w:sz w:val="19"/>
        </w:rPr>
        <w:t>term,</w:t>
      </w:r>
      <w:r>
        <w:rPr>
          <w:color w:val="231F20"/>
          <w:spacing w:val="-5"/>
          <w:sz w:val="19"/>
        </w:rPr>
        <w:t> </w:t>
      </w:r>
      <w:r>
        <w:rPr>
          <w:color w:val="231F20"/>
          <w:sz w:val="19"/>
        </w:rPr>
        <w:t>was</w:t>
      </w:r>
      <w:r>
        <w:rPr>
          <w:color w:val="231F20"/>
          <w:spacing w:val="-5"/>
          <w:sz w:val="19"/>
        </w:rPr>
        <w:t> </w:t>
      </w:r>
      <w:r>
        <w:rPr>
          <w:color w:val="231F20"/>
          <w:sz w:val="19"/>
        </w:rPr>
        <w:t>nuanced</w:t>
      </w:r>
      <w:r>
        <w:rPr>
          <w:color w:val="231F20"/>
          <w:spacing w:val="-4"/>
          <w:sz w:val="19"/>
        </w:rPr>
        <w:t> </w:t>
      </w:r>
      <w:r>
        <w:rPr>
          <w:color w:val="231F20"/>
          <w:sz w:val="19"/>
        </w:rPr>
        <w:t>in</w:t>
      </w:r>
      <w:r>
        <w:rPr>
          <w:color w:val="231F20"/>
          <w:spacing w:val="-5"/>
          <w:sz w:val="19"/>
        </w:rPr>
        <w:t> </w:t>
      </w:r>
      <w:r>
        <w:rPr>
          <w:color w:val="231F20"/>
          <w:sz w:val="19"/>
        </w:rPr>
        <w:t>the</w:t>
      </w:r>
      <w:r>
        <w:rPr>
          <w:color w:val="231F20"/>
          <w:spacing w:val="-4"/>
          <w:sz w:val="19"/>
        </w:rPr>
        <w:t> </w:t>
      </w:r>
      <w:r>
        <w:rPr>
          <w:color w:val="231F20"/>
          <w:sz w:val="19"/>
        </w:rPr>
        <w:t>Case C-26/13, </w:t>
      </w:r>
      <w:r>
        <w:rPr>
          <w:i/>
          <w:color w:val="231F20"/>
          <w:sz w:val="19"/>
        </w:rPr>
        <w:t>Kásler.</w:t>
      </w:r>
      <w:r>
        <w:rPr>
          <w:color w:val="231F20"/>
          <w:sz w:val="19"/>
          <w:vertAlign w:val="superscript"/>
        </w:rPr>
        <w:t>139</w:t>
      </w:r>
      <w:r>
        <w:rPr>
          <w:color w:val="231F20"/>
          <w:sz w:val="19"/>
          <w:vertAlign w:val="baseline"/>
        </w:rPr>
        <w:t> It initiated a thread of judgments from the ECJ that involved loans denominated in foreign currencies or indexed to them.</w:t>
      </w:r>
      <w:r>
        <w:rPr>
          <w:color w:val="231F20"/>
          <w:sz w:val="19"/>
          <w:vertAlign w:val="superscript"/>
        </w:rPr>
        <w:t>140</w:t>
      </w:r>
    </w:p>
    <w:p>
      <w:pPr>
        <w:pStyle w:val="ListParagraph"/>
        <w:numPr>
          <w:ilvl w:val="0"/>
          <w:numId w:val="4"/>
        </w:numPr>
        <w:tabs>
          <w:tab w:pos="1324" w:val="left" w:leader="none"/>
        </w:tabs>
        <w:spacing w:line="288" w:lineRule="auto" w:before="119" w:after="0"/>
        <w:ind w:left="871" w:right="867" w:firstLine="0"/>
        <w:jc w:val="both"/>
        <w:rPr>
          <w:sz w:val="19"/>
        </w:rPr>
      </w:pPr>
      <w:r>
        <w:rPr>
          <w:color w:val="231F20"/>
          <w:spacing w:val="-4"/>
          <w:sz w:val="19"/>
        </w:rPr>
        <w:t>It</w:t>
      </w:r>
      <w:r>
        <w:rPr>
          <w:color w:val="231F20"/>
          <w:spacing w:val="-8"/>
          <w:sz w:val="19"/>
        </w:rPr>
        <w:t> </w:t>
      </w:r>
      <w:r>
        <w:rPr>
          <w:color w:val="231F20"/>
          <w:spacing w:val="-4"/>
          <w:sz w:val="19"/>
        </w:rPr>
        <w:t>was</w:t>
      </w:r>
      <w:r>
        <w:rPr>
          <w:color w:val="231F20"/>
          <w:spacing w:val="-7"/>
          <w:sz w:val="19"/>
        </w:rPr>
        <w:t> </w:t>
      </w:r>
      <w:r>
        <w:rPr>
          <w:color w:val="231F20"/>
          <w:spacing w:val="-4"/>
          <w:sz w:val="19"/>
        </w:rPr>
        <w:t>clear</w:t>
      </w:r>
      <w:r>
        <w:rPr>
          <w:color w:val="231F20"/>
          <w:spacing w:val="-7"/>
          <w:sz w:val="19"/>
        </w:rPr>
        <w:t> </w:t>
      </w:r>
      <w:r>
        <w:rPr>
          <w:color w:val="231F20"/>
          <w:spacing w:val="-4"/>
          <w:sz w:val="19"/>
        </w:rPr>
        <w:t>in</w:t>
      </w:r>
      <w:r>
        <w:rPr>
          <w:color w:val="231F20"/>
          <w:spacing w:val="-8"/>
          <w:sz w:val="19"/>
        </w:rPr>
        <w:t> </w:t>
      </w:r>
      <w:r>
        <w:rPr>
          <w:i/>
          <w:color w:val="231F20"/>
          <w:spacing w:val="-4"/>
          <w:sz w:val="19"/>
        </w:rPr>
        <w:t>Banco</w:t>
      </w:r>
      <w:r>
        <w:rPr>
          <w:i/>
          <w:color w:val="231F20"/>
          <w:spacing w:val="-6"/>
          <w:sz w:val="19"/>
        </w:rPr>
        <w:t> </w:t>
      </w:r>
      <w:r>
        <w:rPr>
          <w:i/>
          <w:color w:val="231F20"/>
          <w:spacing w:val="-4"/>
          <w:sz w:val="19"/>
        </w:rPr>
        <w:t>Español</w:t>
      </w:r>
      <w:r>
        <w:rPr>
          <w:i/>
          <w:color w:val="231F20"/>
          <w:spacing w:val="-7"/>
          <w:sz w:val="19"/>
        </w:rPr>
        <w:t> </w:t>
      </w:r>
      <w:r>
        <w:rPr>
          <w:color w:val="231F20"/>
          <w:spacing w:val="-4"/>
          <w:sz w:val="19"/>
        </w:rPr>
        <w:t>that</w:t>
      </w:r>
      <w:r>
        <w:rPr>
          <w:color w:val="231F20"/>
          <w:spacing w:val="-6"/>
          <w:sz w:val="19"/>
        </w:rPr>
        <w:t> </w:t>
      </w:r>
      <w:r>
        <w:rPr>
          <w:color w:val="231F20"/>
          <w:spacing w:val="-4"/>
          <w:sz w:val="19"/>
        </w:rPr>
        <w:t>the</w:t>
      </w:r>
      <w:r>
        <w:rPr>
          <w:color w:val="231F20"/>
          <w:spacing w:val="-8"/>
          <w:sz w:val="19"/>
        </w:rPr>
        <w:t> </w:t>
      </w:r>
      <w:r>
        <w:rPr>
          <w:color w:val="231F20"/>
          <w:spacing w:val="-4"/>
          <w:sz w:val="19"/>
        </w:rPr>
        <w:t>unfair</w:t>
      </w:r>
      <w:r>
        <w:rPr>
          <w:color w:val="231F20"/>
          <w:spacing w:val="-7"/>
          <w:sz w:val="19"/>
        </w:rPr>
        <w:t> </w:t>
      </w:r>
      <w:r>
        <w:rPr>
          <w:color w:val="231F20"/>
          <w:spacing w:val="-4"/>
          <w:sz w:val="19"/>
        </w:rPr>
        <w:t>term</w:t>
      </w:r>
      <w:r>
        <w:rPr>
          <w:color w:val="231F20"/>
          <w:spacing w:val="-7"/>
          <w:sz w:val="19"/>
        </w:rPr>
        <w:t> </w:t>
      </w:r>
      <w:r>
        <w:rPr>
          <w:color w:val="231F20"/>
          <w:spacing w:val="-4"/>
          <w:sz w:val="19"/>
        </w:rPr>
        <w:t>was</w:t>
      </w:r>
      <w:r>
        <w:rPr>
          <w:color w:val="231F20"/>
          <w:spacing w:val="-6"/>
          <w:sz w:val="19"/>
        </w:rPr>
        <w:t> </w:t>
      </w:r>
      <w:r>
        <w:rPr>
          <w:color w:val="231F20"/>
          <w:spacing w:val="-4"/>
          <w:sz w:val="19"/>
        </w:rPr>
        <w:t>an</w:t>
      </w:r>
      <w:r>
        <w:rPr>
          <w:color w:val="231F20"/>
          <w:spacing w:val="-8"/>
          <w:sz w:val="19"/>
        </w:rPr>
        <w:t> </w:t>
      </w:r>
      <w:r>
        <w:rPr>
          <w:color w:val="231F20"/>
          <w:spacing w:val="-4"/>
          <w:sz w:val="19"/>
        </w:rPr>
        <w:t>ancillary</w:t>
      </w:r>
      <w:r>
        <w:rPr>
          <w:color w:val="231F20"/>
          <w:spacing w:val="-7"/>
          <w:sz w:val="19"/>
        </w:rPr>
        <w:t> </w:t>
      </w:r>
      <w:r>
        <w:rPr>
          <w:color w:val="231F20"/>
          <w:spacing w:val="-4"/>
          <w:sz w:val="19"/>
        </w:rPr>
        <w:t>one</w:t>
      </w:r>
      <w:r>
        <w:rPr>
          <w:color w:val="231F20"/>
          <w:spacing w:val="-6"/>
          <w:sz w:val="19"/>
        </w:rPr>
        <w:t> </w:t>
      </w:r>
      <w:r>
        <w:rPr>
          <w:color w:val="231F20"/>
          <w:spacing w:val="-4"/>
          <w:sz w:val="19"/>
        </w:rPr>
        <w:t>and</w:t>
      </w:r>
      <w:r>
        <w:rPr>
          <w:color w:val="231F20"/>
          <w:spacing w:val="-6"/>
          <w:sz w:val="19"/>
        </w:rPr>
        <w:t> </w:t>
      </w:r>
      <w:r>
        <w:rPr>
          <w:color w:val="231F20"/>
          <w:spacing w:val="-4"/>
          <w:sz w:val="19"/>
        </w:rPr>
        <w:t>that the</w:t>
      </w:r>
      <w:r>
        <w:rPr>
          <w:color w:val="231F20"/>
          <w:spacing w:val="-8"/>
          <w:sz w:val="19"/>
        </w:rPr>
        <w:t> </w:t>
      </w:r>
      <w:r>
        <w:rPr>
          <w:color w:val="231F20"/>
          <w:spacing w:val="-4"/>
          <w:sz w:val="19"/>
        </w:rPr>
        <w:t>contract</w:t>
      </w:r>
      <w:r>
        <w:rPr>
          <w:color w:val="231F20"/>
          <w:spacing w:val="-7"/>
          <w:sz w:val="19"/>
        </w:rPr>
        <w:t> </w:t>
      </w:r>
      <w:r>
        <w:rPr>
          <w:color w:val="231F20"/>
          <w:spacing w:val="-4"/>
          <w:sz w:val="19"/>
        </w:rPr>
        <w:t>could</w:t>
      </w:r>
      <w:r>
        <w:rPr>
          <w:color w:val="231F20"/>
          <w:spacing w:val="-8"/>
          <w:sz w:val="19"/>
        </w:rPr>
        <w:t> </w:t>
      </w:r>
      <w:r>
        <w:rPr>
          <w:color w:val="231F20"/>
          <w:spacing w:val="-4"/>
          <w:sz w:val="19"/>
        </w:rPr>
        <w:t>continue</w:t>
      </w:r>
      <w:r>
        <w:rPr>
          <w:color w:val="231F20"/>
          <w:spacing w:val="-7"/>
          <w:sz w:val="19"/>
        </w:rPr>
        <w:t> </w:t>
      </w:r>
      <w:r>
        <w:rPr>
          <w:color w:val="231F20"/>
          <w:spacing w:val="-4"/>
          <w:sz w:val="19"/>
        </w:rPr>
        <w:t>in</w:t>
      </w:r>
      <w:r>
        <w:rPr>
          <w:color w:val="231F20"/>
          <w:spacing w:val="-8"/>
          <w:sz w:val="19"/>
        </w:rPr>
        <w:t> </w:t>
      </w:r>
      <w:r>
        <w:rPr>
          <w:color w:val="231F20"/>
          <w:spacing w:val="-4"/>
          <w:sz w:val="19"/>
        </w:rPr>
        <w:t>existence</w:t>
      </w:r>
      <w:r>
        <w:rPr>
          <w:color w:val="231F20"/>
          <w:spacing w:val="-7"/>
          <w:sz w:val="19"/>
        </w:rPr>
        <w:t> </w:t>
      </w:r>
      <w:r>
        <w:rPr>
          <w:color w:val="231F20"/>
          <w:spacing w:val="-4"/>
          <w:sz w:val="19"/>
        </w:rPr>
        <w:t>without</w:t>
      </w:r>
      <w:r>
        <w:rPr>
          <w:color w:val="231F20"/>
          <w:spacing w:val="-8"/>
          <w:sz w:val="19"/>
        </w:rPr>
        <w:t> </w:t>
      </w:r>
      <w:r>
        <w:rPr>
          <w:color w:val="231F20"/>
          <w:spacing w:val="-4"/>
          <w:sz w:val="19"/>
        </w:rPr>
        <w:t>the</w:t>
      </w:r>
      <w:r>
        <w:rPr>
          <w:color w:val="231F20"/>
          <w:spacing w:val="-7"/>
          <w:sz w:val="19"/>
        </w:rPr>
        <w:t> </w:t>
      </w:r>
      <w:r>
        <w:rPr>
          <w:color w:val="231F20"/>
          <w:spacing w:val="-4"/>
          <w:sz w:val="19"/>
        </w:rPr>
        <w:t>unfair</w:t>
      </w:r>
      <w:r>
        <w:rPr>
          <w:color w:val="231F20"/>
          <w:spacing w:val="-8"/>
          <w:sz w:val="19"/>
        </w:rPr>
        <w:t> </w:t>
      </w:r>
      <w:r>
        <w:rPr>
          <w:color w:val="231F20"/>
          <w:spacing w:val="-4"/>
          <w:sz w:val="19"/>
        </w:rPr>
        <w:t>term.</w:t>
      </w:r>
      <w:r>
        <w:rPr>
          <w:color w:val="231F20"/>
          <w:spacing w:val="-7"/>
          <w:sz w:val="19"/>
        </w:rPr>
        <w:t> </w:t>
      </w:r>
      <w:r>
        <w:rPr>
          <w:color w:val="231F20"/>
          <w:spacing w:val="-4"/>
          <w:sz w:val="19"/>
        </w:rPr>
        <w:t>Instead,</w:t>
      </w:r>
      <w:r>
        <w:rPr>
          <w:color w:val="231F20"/>
          <w:spacing w:val="-8"/>
          <w:sz w:val="19"/>
        </w:rPr>
        <w:t> </w:t>
      </w:r>
      <w:r>
        <w:rPr>
          <w:color w:val="231F20"/>
          <w:spacing w:val="-4"/>
          <w:sz w:val="19"/>
        </w:rPr>
        <w:t>the</w:t>
      </w:r>
      <w:r>
        <w:rPr>
          <w:color w:val="231F20"/>
          <w:spacing w:val="-7"/>
          <w:sz w:val="19"/>
        </w:rPr>
        <w:t> </w:t>
      </w:r>
      <w:r>
        <w:rPr>
          <w:color w:val="231F20"/>
          <w:spacing w:val="-4"/>
          <w:sz w:val="19"/>
        </w:rPr>
        <w:t>group</w:t>
      </w:r>
      <w:r>
        <w:rPr>
          <w:color w:val="231F20"/>
          <w:spacing w:val="-7"/>
          <w:sz w:val="19"/>
        </w:rPr>
        <w:t> </w:t>
      </w:r>
      <w:r>
        <w:rPr>
          <w:color w:val="231F20"/>
          <w:spacing w:val="-4"/>
          <w:sz w:val="19"/>
        </w:rPr>
        <w:t>of </w:t>
      </w:r>
      <w:r>
        <w:rPr>
          <w:color w:val="231F20"/>
          <w:spacing w:val="-6"/>
          <w:sz w:val="19"/>
        </w:rPr>
        <w:t>cases</w:t>
      </w:r>
      <w:r>
        <w:rPr>
          <w:color w:val="231F20"/>
          <w:sz w:val="19"/>
        </w:rPr>
        <w:t> </w:t>
      </w:r>
      <w:r>
        <w:rPr>
          <w:color w:val="231F20"/>
          <w:spacing w:val="-6"/>
          <w:sz w:val="19"/>
        </w:rPr>
        <w:t>that</w:t>
      </w:r>
      <w:r>
        <w:rPr>
          <w:color w:val="231F20"/>
          <w:sz w:val="19"/>
        </w:rPr>
        <w:t> </w:t>
      </w:r>
      <w:r>
        <w:rPr>
          <w:color w:val="231F20"/>
          <w:spacing w:val="-6"/>
          <w:sz w:val="19"/>
        </w:rPr>
        <w:t>started</w:t>
      </w:r>
      <w:r>
        <w:rPr>
          <w:color w:val="231F20"/>
          <w:sz w:val="19"/>
        </w:rPr>
        <w:t> </w:t>
      </w:r>
      <w:r>
        <w:rPr>
          <w:color w:val="231F20"/>
          <w:spacing w:val="-6"/>
          <w:sz w:val="19"/>
        </w:rPr>
        <w:t>with</w:t>
      </w:r>
      <w:r>
        <w:rPr>
          <w:color w:val="231F20"/>
          <w:sz w:val="19"/>
        </w:rPr>
        <w:t> </w:t>
      </w:r>
      <w:r>
        <w:rPr>
          <w:i/>
          <w:color w:val="231F20"/>
          <w:spacing w:val="-6"/>
          <w:sz w:val="19"/>
        </w:rPr>
        <w:t>Kásler</w:t>
      </w:r>
      <w:r>
        <w:rPr>
          <w:i/>
          <w:color w:val="231F20"/>
          <w:spacing w:val="-2"/>
          <w:sz w:val="19"/>
        </w:rPr>
        <w:t> </w:t>
      </w:r>
      <w:r>
        <w:rPr>
          <w:color w:val="231F20"/>
          <w:spacing w:val="-6"/>
          <w:sz w:val="19"/>
        </w:rPr>
        <w:t>recurrently</w:t>
      </w:r>
      <w:r>
        <w:rPr>
          <w:color w:val="231F20"/>
          <w:sz w:val="19"/>
        </w:rPr>
        <w:t> </w:t>
      </w:r>
      <w:r>
        <w:rPr>
          <w:color w:val="231F20"/>
          <w:spacing w:val="-6"/>
          <w:sz w:val="19"/>
        </w:rPr>
        <w:t>treated</w:t>
      </w:r>
      <w:r>
        <w:rPr>
          <w:color w:val="231F20"/>
          <w:sz w:val="19"/>
        </w:rPr>
        <w:t> </w:t>
      </w:r>
      <w:r>
        <w:rPr>
          <w:color w:val="231F20"/>
          <w:spacing w:val="-6"/>
          <w:sz w:val="19"/>
        </w:rPr>
        <w:t>the</w:t>
      </w:r>
      <w:r>
        <w:rPr>
          <w:color w:val="231F20"/>
          <w:spacing w:val="-2"/>
          <w:sz w:val="19"/>
        </w:rPr>
        <w:t> </w:t>
      </w:r>
      <w:r>
        <w:rPr>
          <w:color w:val="231F20"/>
          <w:spacing w:val="-6"/>
          <w:sz w:val="19"/>
        </w:rPr>
        <w:t>denomination</w:t>
      </w:r>
      <w:r>
        <w:rPr>
          <w:color w:val="231F20"/>
          <w:sz w:val="19"/>
        </w:rPr>
        <w:t> </w:t>
      </w:r>
      <w:r>
        <w:rPr>
          <w:color w:val="231F20"/>
          <w:spacing w:val="-6"/>
          <w:sz w:val="19"/>
        </w:rPr>
        <w:t>of</w:t>
      </w:r>
      <w:r>
        <w:rPr>
          <w:color w:val="231F20"/>
          <w:spacing w:val="14"/>
          <w:sz w:val="19"/>
        </w:rPr>
        <w:t> </w:t>
      </w:r>
      <w:r>
        <w:rPr>
          <w:color w:val="231F20"/>
          <w:spacing w:val="-6"/>
          <w:sz w:val="19"/>
        </w:rPr>
        <w:t>loans</w:t>
      </w:r>
      <w:r>
        <w:rPr>
          <w:color w:val="231F20"/>
          <w:sz w:val="19"/>
        </w:rPr>
        <w:t> </w:t>
      </w:r>
      <w:r>
        <w:rPr>
          <w:color w:val="231F20"/>
          <w:spacing w:val="-6"/>
          <w:sz w:val="19"/>
        </w:rPr>
        <w:t>in</w:t>
      </w:r>
      <w:r>
        <w:rPr>
          <w:color w:val="231F20"/>
          <w:spacing w:val="-3"/>
          <w:sz w:val="19"/>
        </w:rPr>
        <w:t> </w:t>
      </w:r>
      <w:r>
        <w:rPr>
          <w:color w:val="231F20"/>
          <w:spacing w:val="-6"/>
          <w:sz w:val="19"/>
        </w:rPr>
        <w:t>foreign</w:t>
      </w:r>
      <w:r>
        <w:rPr>
          <w:color w:val="231F20"/>
          <w:spacing w:val="-2"/>
          <w:sz w:val="19"/>
        </w:rPr>
        <w:t> currencies,</w:t>
      </w:r>
      <w:r>
        <w:rPr>
          <w:color w:val="231F20"/>
          <w:spacing w:val="-5"/>
          <w:sz w:val="19"/>
        </w:rPr>
        <w:t> </w:t>
      </w:r>
      <w:r>
        <w:rPr>
          <w:color w:val="231F20"/>
          <w:spacing w:val="-2"/>
          <w:sz w:val="19"/>
        </w:rPr>
        <w:t>and</w:t>
      </w:r>
      <w:r>
        <w:rPr>
          <w:color w:val="231F20"/>
          <w:spacing w:val="-5"/>
          <w:sz w:val="19"/>
        </w:rPr>
        <w:t> </w:t>
      </w:r>
      <w:r>
        <w:rPr>
          <w:color w:val="231F20"/>
          <w:spacing w:val="-2"/>
          <w:sz w:val="19"/>
        </w:rPr>
        <w:t>the</w:t>
      </w:r>
      <w:r>
        <w:rPr>
          <w:color w:val="231F20"/>
          <w:spacing w:val="-7"/>
          <w:sz w:val="19"/>
        </w:rPr>
        <w:t> </w:t>
      </w:r>
      <w:r>
        <w:rPr>
          <w:color w:val="231F20"/>
          <w:spacing w:val="-2"/>
          <w:sz w:val="19"/>
        </w:rPr>
        <w:t>indexation</w:t>
      </w:r>
      <w:r>
        <w:rPr>
          <w:color w:val="231F20"/>
          <w:spacing w:val="-5"/>
          <w:sz w:val="19"/>
        </w:rPr>
        <w:t> </w:t>
      </w:r>
      <w:r>
        <w:rPr>
          <w:color w:val="231F20"/>
          <w:spacing w:val="-2"/>
          <w:sz w:val="19"/>
        </w:rPr>
        <w:t>to</w:t>
      </w:r>
      <w:r>
        <w:rPr>
          <w:color w:val="231F20"/>
          <w:spacing w:val="-7"/>
          <w:sz w:val="19"/>
        </w:rPr>
        <w:t> </w:t>
      </w:r>
      <w:r>
        <w:rPr>
          <w:color w:val="231F20"/>
          <w:spacing w:val="-2"/>
          <w:sz w:val="19"/>
        </w:rPr>
        <w:t>them,</w:t>
      </w:r>
      <w:r>
        <w:rPr>
          <w:color w:val="231F20"/>
          <w:spacing w:val="-7"/>
          <w:sz w:val="19"/>
        </w:rPr>
        <w:t> </w:t>
      </w:r>
      <w:r>
        <w:rPr>
          <w:color w:val="231F20"/>
          <w:spacing w:val="-2"/>
          <w:sz w:val="19"/>
        </w:rPr>
        <w:t>as</w:t>
      </w:r>
      <w:r>
        <w:rPr>
          <w:color w:val="231F20"/>
          <w:spacing w:val="-7"/>
          <w:sz w:val="19"/>
        </w:rPr>
        <w:t> </w:t>
      </w:r>
      <w:r>
        <w:rPr>
          <w:color w:val="231F20"/>
          <w:spacing w:val="-2"/>
          <w:sz w:val="19"/>
        </w:rPr>
        <w:t>relating</w:t>
      </w:r>
      <w:r>
        <w:rPr>
          <w:color w:val="231F20"/>
          <w:spacing w:val="-6"/>
          <w:sz w:val="19"/>
        </w:rPr>
        <w:t> </w:t>
      </w:r>
      <w:r>
        <w:rPr>
          <w:color w:val="231F20"/>
          <w:spacing w:val="-2"/>
          <w:sz w:val="19"/>
        </w:rPr>
        <w:t>to</w:t>
      </w:r>
      <w:r>
        <w:rPr>
          <w:color w:val="231F20"/>
          <w:spacing w:val="-7"/>
          <w:sz w:val="19"/>
        </w:rPr>
        <w:t> </w:t>
      </w:r>
      <w:r>
        <w:rPr>
          <w:color w:val="231F20"/>
          <w:spacing w:val="-2"/>
          <w:sz w:val="19"/>
        </w:rPr>
        <w:t>the</w:t>
      </w:r>
      <w:r>
        <w:rPr>
          <w:color w:val="231F20"/>
          <w:spacing w:val="-6"/>
          <w:sz w:val="19"/>
        </w:rPr>
        <w:t> </w:t>
      </w:r>
      <w:r>
        <w:rPr>
          <w:color w:val="231F20"/>
          <w:spacing w:val="-2"/>
          <w:sz w:val="19"/>
        </w:rPr>
        <w:t>main</w:t>
      </w:r>
      <w:r>
        <w:rPr>
          <w:color w:val="231F20"/>
          <w:spacing w:val="-7"/>
          <w:sz w:val="19"/>
        </w:rPr>
        <w:t> </w:t>
      </w:r>
      <w:r>
        <w:rPr>
          <w:color w:val="231F20"/>
          <w:spacing w:val="-2"/>
          <w:sz w:val="19"/>
        </w:rPr>
        <w:t>subject</w:t>
      </w:r>
      <w:r>
        <w:rPr>
          <w:color w:val="231F20"/>
          <w:spacing w:val="-6"/>
          <w:sz w:val="19"/>
        </w:rPr>
        <w:t> </w:t>
      </w:r>
      <w:r>
        <w:rPr>
          <w:color w:val="231F20"/>
          <w:spacing w:val="-2"/>
          <w:sz w:val="19"/>
        </w:rPr>
        <w:t>matter</w:t>
      </w:r>
      <w:r>
        <w:rPr>
          <w:color w:val="231F20"/>
          <w:spacing w:val="-5"/>
          <w:sz w:val="19"/>
        </w:rPr>
        <w:t> </w:t>
      </w:r>
      <w:r>
        <w:rPr>
          <w:color w:val="231F20"/>
          <w:spacing w:val="-2"/>
          <w:sz w:val="19"/>
        </w:rPr>
        <w:t>of</w:t>
      </w:r>
      <w:r>
        <w:rPr>
          <w:color w:val="231F20"/>
          <w:spacing w:val="-3"/>
          <w:sz w:val="19"/>
        </w:rPr>
        <w:t> </w:t>
      </w:r>
      <w:r>
        <w:rPr>
          <w:color w:val="231F20"/>
          <w:spacing w:val="-2"/>
          <w:sz w:val="19"/>
        </w:rPr>
        <w:t>the </w:t>
      </w:r>
      <w:r>
        <w:rPr>
          <w:color w:val="231F20"/>
          <w:sz w:val="19"/>
        </w:rPr>
        <w:t>contract. This interpretation could be controversial for loans indexed to foreign currencies.</w:t>
      </w:r>
      <w:r>
        <w:rPr>
          <w:color w:val="231F20"/>
          <w:sz w:val="19"/>
          <w:vertAlign w:val="superscript"/>
        </w:rPr>
        <w:t>141</w:t>
      </w:r>
      <w:r>
        <w:rPr>
          <w:color w:val="231F20"/>
          <w:sz w:val="19"/>
          <w:vertAlign w:val="baseline"/>
        </w:rPr>
        <w:t> In</w:t>
      </w:r>
      <w:r>
        <w:rPr>
          <w:color w:val="231F20"/>
          <w:spacing w:val="-1"/>
          <w:sz w:val="19"/>
          <w:vertAlign w:val="baseline"/>
        </w:rPr>
        <w:t> </w:t>
      </w:r>
      <w:r>
        <w:rPr>
          <w:color w:val="231F20"/>
          <w:sz w:val="19"/>
          <w:vertAlign w:val="baseline"/>
        </w:rPr>
        <w:t>any</w:t>
      </w:r>
      <w:r>
        <w:rPr>
          <w:color w:val="231F20"/>
          <w:spacing w:val="-1"/>
          <w:sz w:val="19"/>
          <w:vertAlign w:val="baseline"/>
        </w:rPr>
        <w:t> </w:t>
      </w:r>
      <w:r>
        <w:rPr>
          <w:color w:val="231F20"/>
          <w:sz w:val="19"/>
          <w:vertAlign w:val="baseline"/>
        </w:rPr>
        <w:t>event,</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ECJ</w:t>
      </w:r>
      <w:r>
        <w:rPr>
          <w:color w:val="231F20"/>
          <w:spacing w:val="-1"/>
          <w:sz w:val="19"/>
          <w:vertAlign w:val="baseline"/>
        </w:rPr>
        <w:t> </w:t>
      </w:r>
      <w:r>
        <w:rPr>
          <w:color w:val="231F20"/>
          <w:sz w:val="19"/>
          <w:vertAlign w:val="baseline"/>
        </w:rPr>
        <w:t>had to</w:t>
      </w:r>
      <w:r>
        <w:rPr>
          <w:color w:val="231F20"/>
          <w:spacing w:val="-1"/>
          <w:sz w:val="19"/>
          <w:vertAlign w:val="baseline"/>
        </w:rPr>
        <w:t> </w:t>
      </w:r>
      <w:r>
        <w:rPr>
          <w:color w:val="231F20"/>
          <w:sz w:val="19"/>
          <w:vertAlign w:val="baseline"/>
        </w:rPr>
        <w:t>deal</w:t>
      </w:r>
      <w:r>
        <w:rPr>
          <w:color w:val="231F20"/>
          <w:spacing w:val="-1"/>
          <w:sz w:val="19"/>
          <w:vertAlign w:val="baseline"/>
        </w:rPr>
        <w:t> </w:t>
      </w:r>
      <w:r>
        <w:rPr>
          <w:color w:val="231F20"/>
          <w:sz w:val="19"/>
          <w:vertAlign w:val="baseline"/>
        </w:rPr>
        <w:t>with</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consequences</w:t>
      </w:r>
      <w:r>
        <w:rPr>
          <w:color w:val="231F20"/>
          <w:spacing w:val="-1"/>
          <w:sz w:val="19"/>
          <w:vertAlign w:val="baseline"/>
        </w:rPr>
        <w:t> </w:t>
      </w:r>
      <w:r>
        <w:rPr>
          <w:color w:val="231F20"/>
          <w:sz w:val="19"/>
          <w:vertAlign w:val="baseline"/>
        </w:rPr>
        <w:t>of</w:t>
      </w:r>
      <w:r>
        <w:rPr>
          <w:color w:val="231F20"/>
          <w:spacing w:val="-1"/>
          <w:sz w:val="19"/>
          <w:vertAlign w:val="baseline"/>
        </w:rPr>
        <w:t> </w:t>
      </w:r>
      <w:r>
        <w:rPr>
          <w:color w:val="231F20"/>
          <w:sz w:val="19"/>
          <w:vertAlign w:val="baseline"/>
        </w:rPr>
        <w:t>a</w:t>
      </w:r>
      <w:r>
        <w:rPr>
          <w:color w:val="231F20"/>
          <w:spacing w:val="-1"/>
          <w:sz w:val="19"/>
          <w:vertAlign w:val="baseline"/>
        </w:rPr>
        <w:t> </w:t>
      </w:r>
      <w:r>
        <w:rPr>
          <w:color w:val="231F20"/>
          <w:sz w:val="19"/>
          <w:vertAlign w:val="baseline"/>
        </w:rPr>
        <w:t>lack</w:t>
      </w:r>
      <w:r>
        <w:rPr>
          <w:color w:val="231F20"/>
          <w:spacing w:val="-3"/>
          <w:sz w:val="19"/>
          <w:vertAlign w:val="baseline"/>
        </w:rPr>
        <w:t> </w:t>
      </w:r>
      <w:r>
        <w:rPr>
          <w:color w:val="231F20"/>
          <w:sz w:val="19"/>
          <w:vertAlign w:val="baseline"/>
        </w:rPr>
        <w:t>of </w:t>
      </w:r>
      <w:r>
        <w:rPr>
          <w:color w:val="231F20"/>
          <w:spacing w:val="-4"/>
          <w:sz w:val="19"/>
          <w:vertAlign w:val="baseline"/>
        </w:rPr>
        <w:t>transparency</w:t>
      </w:r>
      <w:r>
        <w:rPr>
          <w:color w:val="231F20"/>
          <w:spacing w:val="-8"/>
          <w:sz w:val="19"/>
          <w:vertAlign w:val="baseline"/>
        </w:rPr>
        <w:t> </w:t>
      </w:r>
      <w:r>
        <w:rPr>
          <w:color w:val="231F20"/>
          <w:spacing w:val="-4"/>
          <w:sz w:val="19"/>
          <w:vertAlign w:val="baseline"/>
        </w:rPr>
        <w:t>of</w:t>
      </w:r>
      <w:r>
        <w:rPr>
          <w:color w:val="231F20"/>
          <w:spacing w:val="-5"/>
          <w:sz w:val="19"/>
          <w:vertAlign w:val="baseline"/>
        </w:rPr>
        <w:t> </w:t>
      </w:r>
      <w:r>
        <w:rPr>
          <w:color w:val="231F20"/>
          <w:spacing w:val="-4"/>
          <w:sz w:val="19"/>
          <w:vertAlign w:val="baseline"/>
        </w:rPr>
        <w:t>the</w:t>
      </w:r>
      <w:r>
        <w:rPr>
          <w:color w:val="231F20"/>
          <w:spacing w:val="-7"/>
          <w:sz w:val="19"/>
          <w:vertAlign w:val="baseline"/>
        </w:rPr>
        <w:t> </w:t>
      </w:r>
      <w:r>
        <w:rPr>
          <w:color w:val="231F20"/>
          <w:spacing w:val="-4"/>
          <w:sz w:val="19"/>
          <w:vertAlign w:val="baseline"/>
        </w:rPr>
        <w:t>main</w:t>
      </w:r>
      <w:r>
        <w:rPr>
          <w:color w:val="231F20"/>
          <w:spacing w:val="-8"/>
          <w:sz w:val="19"/>
          <w:vertAlign w:val="baseline"/>
        </w:rPr>
        <w:t> </w:t>
      </w:r>
      <w:r>
        <w:rPr>
          <w:color w:val="231F20"/>
          <w:spacing w:val="-4"/>
          <w:sz w:val="19"/>
          <w:vertAlign w:val="baseline"/>
        </w:rPr>
        <w:t>terms</w:t>
      </w:r>
      <w:r>
        <w:rPr>
          <w:color w:val="231F20"/>
          <w:spacing w:val="-6"/>
          <w:sz w:val="19"/>
          <w:vertAlign w:val="baseline"/>
        </w:rPr>
        <w:t> </w:t>
      </w:r>
      <w:r>
        <w:rPr>
          <w:color w:val="231F20"/>
          <w:spacing w:val="-4"/>
          <w:sz w:val="19"/>
          <w:vertAlign w:val="baseline"/>
        </w:rPr>
        <w:t>under</w:t>
      </w:r>
      <w:r>
        <w:rPr>
          <w:color w:val="231F20"/>
          <w:spacing w:val="-5"/>
          <w:sz w:val="19"/>
          <w:vertAlign w:val="baseline"/>
        </w:rPr>
        <w:t> </w:t>
      </w:r>
      <w:r>
        <w:rPr>
          <w:color w:val="231F20"/>
          <w:spacing w:val="-4"/>
          <w:sz w:val="19"/>
          <w:vertAlign w:val="baseline"/>
        </w:rPr>
        <w:t>Article</w:t>
      </w:r>
      <w:r>
        <w:rPr>
          <w:color w:val="231F20"/>
          <w:spacing w:val="-8"/>
          <w:sz w:val="19"/>
          <w:vertAlign w:val="baseline"/>
        </w:rPr>
        <w:t> </w:t>
      </w:r>
      <w:r>
        <w:rPr>
          <w:color w:val="231F20"/>
          <w:spacing w:val="-4"/>
          <w:sz w:val="19"/>
          <w:vertAlign w:val="baseline"/>
        </w:rPr>
        <w:t>4(2)</w:t>
      </w:r>
      <w:r>
        <w:rPr>
          <w:color w:val="231F20"/>
          <w:spacing w:val="-5"/>
          <w:sz w:val="19"/>
          <w:vertAlign w:val="baseline"/>
        </w:rPr>
        <w:t> </w:t>
      </w:r>
      <w:r>
        <w:rPr>
          <w:color w:val="231F20"/>
          <w:spacing w:val="-4"/>
          <w:sz w:val="19"/>
          <w:vertAlign w:val="baseline"/>
        </w:rPr>
        <w:t>UCTD,</w:t>
      </w:r>
      <w:r>
        <w:rPr>
          <w:color w:val="231F20"/>
          <w:spacing w:val="-7"/>
          <w:sz w:val="19"/>
          <w:vertAlign w:val="baseline"/>
        </w:rPr>
        <w:t> </w:t>
      </w:r>
      <w:r>
        <w:rPr>
          <w:color w:val="231F20"/>
          <w:spacing w:val="-4"/>
          <w:sz w:val="19"/>
          <w:vertAlign w:val="baseline"/>
        </w:rPr>
        <w:t>as</w:t>
      </w:r>
      <w:r>
        <w:rPr>
          <w:color w:val="231F20"/>
          <w:spacing w:val="-8"/>
          <w:sz w:val="19"/>
          <w:vertAlign w:val="baseline"/>
        </w:rPr>
        <w:t> </w:t>
      </w:r>
      <w:r>
        <w:rPr>
          <w:color w:val="231F20"/>
          <w:spacing w:val="-4"/>
          <w:sz w:val="19"/>
          <w:vertAlign w:val="baseline"/>
        </w:rPr>
        <w:t>well</w:t>
      </w:r>
      <w:r>
        <w:rPr>
          <w:color w:val="231F20"/>
          <w:spacing w:val="-6"/>
          <w:sz w:val="19"/>
          <w:vertAlign w:val="baseline"/>
        </w:rPr>
        <w:t> </w:t>
      </w:r>
      <w:r>
        <w:rPr>
          <w:color w:val="231F20"/>
          <w:spacing w:val="-4"/>
          <w:sz w:val="19"/>
          <w:vertAlign w:val="baseline"/>
        </w:rPr>
        <w:t>as</w:t>
      </w:r>
      <w:r>
        <w:rPr>
          <w:color w:val="231F20"/>
          <w:spacing w:val="-8"/>
          <w:sz w:val="19"/>
          <w:vertAlign w:val="baseline"/>
        </w:rPr>
        <w:t> </w:t>
      </w:r>
      <w:r>
        <w:rPr>
          <w:color w:val="231F20"/>
          <w:spacing w:val="-4"/>
          <w:sz w:val="19"/>
          <w:vertAlign w:val="baseline"/>
        </w:rPr>
        <w:t>with</w:t>
      </w:r>
      <w:r>
        <w:rPr>
          <w:color w:val="231F20"/>
          <w:spacing w:val="-6"/>
          <w:sz w:val="19"/>
          <w:vertAlign w:val="baseline"/>
        </w:rPr>
        <w:t> </w:t>
      </w:r>
      <w:r>
        <w:rPr>
          <w:color w:val="231F20"/>
          <w:spacing w:val="-4"/>
          <w:sz w:val="19"/>
          <w:vertAlign w:val="baseline"/>
        </w:rPr>
        <w:t>situations</w:t>
      </w:r>
      <w:r>
        <w:rPr>
          <w:color w:val="231F20"/>
          <w:spacing w:val="-7"/>
          <w:sz w:val="19"/>
          <w:vertAlign w:val="baseline"/>
        </w:rPr>
        <w:t> </w:t>
      </w:r>
      <w:r>
        <w:rPr>
          <w:color w:val="231F20"/>
          <w:spacing w:val="-4"/>
          <w:sz w:val="19"/>
          <w:vertAlign w:val="baseline"/>
        </w:rPr>
        <w:t>in which</w:t>
      </w:r>
      <w:r>
        <w:rPr>
          <w:color w:val="231F20"/>
          <w:spacing w:val="-8"/>
          <w:sz w:val="19"/>
          <w:vertAlign w:val="baseline"/>
        </w:rPr>
        <w:t> </w:t>
      </w:r>
      <w:r>
        <w:rPr>
          <w:color w:val="231F20"/>
          <w:spacing w:val="-4"/>
          <w:sz w:val="19"/>
          <w:vertAlign w:val="baseline"/>
        </w:rPr>
        <w:t>the</w:t>
      </w:r>
      <w:r>
        <w:rPr>
          <w:color w:val="231F20"/>
          <w:spacing w:val="-7"/>
          <w:sz w:val="19"/>
          <w:vertAlign w:val="baseline"/>
        </w:rPr>
        <w:t> </w:t>
      </w:r>
      <w:r>
        <w:rPr>
          <w:color w:val="231F20"/>
          <w:spacing w:val="-4"/>
          <w:sz w:val="19"/>
          <w:vertAlign w:val="baseline"/>
        </w:rPr>
        <w:t>contract</w:t>
      </w:r>
      <w:r>
        <w:rPr>
          <w:color w:val="231F20"/>
          <w:spacing w:val="-8"/>
          <w:sz w:val="19"/>
          <w:vertAlign w:val="baseline"/>
        </w:rPr>
        <w:t> </w:t>
      </w:r>
      <w:r>
        <w:rPr>
          <w:color w:val="231F20"/>
          <w:spacing w:val="-4"/>
          <w:sz w:val="19"/>
          <w:vertAlign w:val="baseline"/>
        </w:rPr>
        <w:t>could</w:t>
      </w:r>
      <w:r>
        <w:rPr>
          <w:color w:val="231F20"/>
          <w:spacing w:val="-7"/>
          <w:sz w:val="19"/>
          <w:vertAlign w:val="baseline"/>
        </w:rPr>
        <w:t> </w:t>
      </w:r>
      <w:r>
        <w:rPr>
          <w:color w:val="231F20"/>
          <w:spacing w:val="-4"/>
          <w:sz w:val="19"/>
          <w:vertAlign w:val="baseline"/>
        </w:rPr>
        <w:t>not</w:t>
      </w:r>
      <w:r>
        <w:rPr>
          <w:color w:val="231F20"/>
          <w:spacing w:val="-8"/>
          <w:sz w:val="19"/>
          <w:vertAlign w:val="baseline"/>
        </w:rPr>
        <w:t> </w:t>
      </w:r>
      <w:r>
        <w:rPr>
          <w:color w:val="231F20"/>
          <w:spacing w:val="-4"/>
          <w:sz w:val="19"/>
          <w:vertAlign w:val="baseline"/>
        </w:rPr>
        <w:t>continue</w:t>
      </w:r>
      <w:r>
        <w:rPr>
          <w:color w:val="231F20"/>
          <w:spacing w:val="-7"/>
          <w:sz w:val="19"/>
          <w:vertAlign w:val="baseline"/>
        </w:rPr>
        <w:t> </w:t>
      </w:r>
      <w:r>
        <w:rPr>
          <w:color w:val="231F20"/>
          <w:spacing w:val="-4"/>
          <w:sz w:val="19"/>
          <w:vertAlign w:val="baseline"/>
        </w:rPr>
        <w:t>in</w:t>
      </w:r>
      <w:r>
        <w:rPr>
          <w:color w:val="231F20"/>
          <w:spacing w:val="-8"/>
          <w:sz w:val="19"/>
          <w:vertAlign w:val="baseline"/>
        </w:rPr>
        <w:t> </w:t>
      </w:r>
      <w:r>
        <w:rPr>
          <w:color w:val="231F20"/>
          <w:spacing w:val="-4"/>
          <w:sz w:val="19"/>
          <w:vertAlign w:val="baseline"/>
        </w:rPr>
        <w:t>existence.</w:t>
      </w:r>
      <w:r>
        <w:rPr>
          <w:color w:val="231F20"/>
          <w:spacing w:val="-7"/>
          <w:sz w:val="19"/>
          <w:vertAlign w:val="baseline"/>
        </w:rPr>
        <w:t> </w:t>
      </w:r>
      <w:r>
        <w:rPr>
          <w:color w:val="231F20"/>
          <w:spacing w:val="-4"/>
          <w:sz w:val="19"/>
          <w:vertAlign w:val="baseline"/>
        </w:rPr>
        <w:t>Against</w:t>
      </w:r>
      <w:r>
        <w:rPr>
          <w:color w:val="231F20"/>
          <w:spacing w:val="-8"/>
          <w:sz w:val="19"/>
          <w:vertAlign w:val="baseline"/>
        </w:rPr>
        <w:t> </w:t>
      </w:r>
      <w:r>
        <w:rPr>
          <w:color w:val="231F20"/>
          <w:spacing w:val="-4"/>
          <w:sz w:val="19"/>
          <w:vertAlign w:val="baseline"/>
        </w:rPr>
        <w:t>this</w:t>
      </w:r>
      <w:r>
        <w:rPr>
          <w:color w:val="231F20"/>
          <w:spacing w:val="-7"/>
          <w:sz w:val="19"/>
          <w:vertAlign w:val="baseline"/>
        </w:rPr>
        <w:t> </w:t>
      </w:r>
      <w:r>
        <w:rPr>
          <w:color w:val="231F20"/>
          <w:spacing w:val="-4"/>
          <w:sz w:val="19"/>
          <w:vertAlign w:val="baseline"/>
        </w:rPr>
        <w:t>backdrop,</w:t>
      </w:r>
      <w:r>
        <w:rPr>
          <w:color w:val="231F20"/>
          <w:spacing w:val="-8"/>
          <w:sz w:val="19"/>
          <w:vertAlign w:val="baseline"/>
        </w:rPr>
        <w:t> </w:t>
      </w:r>
      <w:r>
        <w:rPr>
          <w:color w:val="231F20"/>
          <w:spacing w:val="-4"/>
          <w:sz w:val="19"/>
          <w:vertAlign w:val="baseline"/>
        </w:rPr>
        <w:t>Article</w:t>
      </w:r>
      <w:r>
        <w:rPr>
          <w:color w:val="231F20"/>
          <w:spacing w:val="-7"/>
          <w:sz w:val="19"/>
          <w:vertAlign w:val="baseline"/>
        </w:rPr>
        <w:t> </w:t>
      </w:r>
      <w:r>
        <w:rPr>
          <w:color w:val="231F20"/>
          <w:spacing w:val="-4"/>
          <w:sz w:val="19"/>
          <w:vertAlign w:val="baseline"/>
        </w:rPr>
        <w:t>6(1) </w:t>
      </w:r>
      <w:r>
        <w:rPr>
          <w:color w:val="231F20"/>
          <w:sz w:val="19"/>
          <w:vertAlign w:val="baseline"/>
        </w:rPr>
        <w:t>UCTD</w:t>
      </w:r>
      <w:r>
        <w:rPr>
          <w:color w:val="231F20"/>
          <w:spacing w:val="-4"/>
          <w:sz w:val="19"/>
          <w:vertAlign w:val="baseline"/>
        </w:rPr>
        <w:t> </w:t>
      </w:r>
      <w:r>
        <w:rPr>
          <w:color w:val="231F20"/>
          <w:sz w:val="19"/>
          <w:vertAlign w:val="baseline"/>
        </w:rPr>
        <w:t>implies</w:t>
      </w:r>
      <w:r>
        <w:rPr>
          <w:color w:val="231F20"/>
          <w:spacing w:val="-5"/>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whole</w:t>
      </w:r>
      <w:r>
        <w:rPr>
          <w:color w:val="231F20"/>
          <w:spacing w:val="-4"/>
          <w:sz w:val="19"/>
          <w:vertAlign w:val="baseline"/>
        </w:rPr>
        <w:t> </w:t>
      </w:r>
      <w:r>
        <w:rPr>
          <w:color w:val="231F20"/>
          <w:sz w:val="19"/>
          <w:vertAlign w:val="baseline"/>
        </w:rPr>
        <w:t>contract</w:t>
      </w:r>
      <w:r>
        <w:rPr>
          <w:color w:val="231F20"/>
          <w:spacing w:val="-4"/>
          <w:sz w:val="19"/>
          <w:vertAlign w:val="baseline"/>
        </w:rPr>
        <w:t> </w:t>
      </w:r>
      <w:r>
        <w:rPr>
          <w:color w:val="231F20"/>
          <w:sz w:val="19"/>
          <w:vertAlign w:val="baseline"/>
        </w:rPr>
        <w:t>should</w:t>
      </w:r>
      <w:r>
        <w:rPr>
          <w:color w:val="231F20"/>
          <w:spacing w:val="-6"/>
          <w:sz w:val="19"/>
          <w:vertAlign w:val="baseline"/>
        </w:rPr>
        <w:t> </w:t>
      </w:r>
      <w:r>
        <w:rPr>
          <w:color w:val="231F20"/>
          <w:sz w:val="19"/>
          <w:vertAlign w:val="baseline"/>
        </w:rPr>
        <w:t>not</w:t>
      </w:r>
      <w:r>
        <w:rPr>
          <w:color w:val="231F20"/>
          <w:spacing w:val="-4"/>
          <w:sz w:val="19"/>
          <w:vertAlign w:val="baseline"/>
        </w:rPr>
        <w:t> </w:t>
      </w:r>
      <w:r>
        <w:rPr>
          <w:color w:val="231F20"/>
          <w:sz w:val="19"/>
          <w:vertAlign w:val="baseline"/>
        </w:rPr>
        <w:t>be</w:t>
      </w:r>
      <w:r>
        <w:rPr>
          <w:color w:val="231F20"/>
          <w:spacing w:val="-4"/>
          <w:sz w:val="19"/>
          <w:vertAlign w:val="baseline"/>
        </w:rPr>
        <w:t> </w:t>
      </w:r>
      <w:r>
        <w:rPr>
          <w:color w:val="231F20"/>
          <w:sz w:val="19"/>
          <w:vertAlign w:val="baseline"/>
        </w:rPr>
        <w:t>binding.</w:t>
      </w:r>
    </w:p>
    <w:p>
      <w:pPr>
        <w:pStyle w:val="ListParagraph"/>
        <w:numPr>
          <w:ilvl w:val="0"/>
          <w:numId w:val="4"/>
        </w:numPr>
        <w:tabs>
          <w:tab w:pos="1324" w:val="left" w:leader="none"/>
        </w:tabs>
        <w:spacing w:line="285" w:lineRule="auto" w:before="119" w:after="0"/>
        <w:ind w:left="871" w:right="869" w:firstLine="0"/>
        <w:jc w:val="both"/>
        <w:rPr>
          <w:sz w:val="19"/>
        </w:rPr>
      </w:pPr>
      <w:r>
        <w:rPr>
          <w:color w:val="231F20"/>
          <w:spacing w:val="-2"/>
          <w:sz w:val="19"/>
        </w:rPr>
        <w:t>In</w:t>
      </w:r>
      <w:r>
        <w:rPr>
          <w:color w:val="231F20"/>
          <w:spacing w:val="-5"/>
          <w:sz w:val="19"/>
        </w:rPr>
        <w:t> </w:t>
      </w:r>
      <w:r>
        <w:rPr>
          <w:i/>
          <w:color w:val="231F20"/>
          <w:spacing w:val="-2"/>
          <w:sz w:val="19"/>
        </w:rPr>
        <w:t>Kásler</w:t>
      </w:r>
      <w:r>
        <w:rPr>
          <w:color w:val="231F20"/>
          <w:spacing w:val="-2"/>
          <w:sz w:val="19"/>
        </w:rPr>
        <w:t>,</w:t>
      </w:r>
      <w:r>
        <w:rPr>
          <w:color w:val="231F20"/>
          <w:spacing w:val="-5"/>
          <w:sz w:val="19"/>
        </w:rPr>
        <w:t> </w:t>
      </w:r>
      <w:r>
        <w:rPr>
          <w:color w:val="231F20"/>
          <w:spacing w:val="-2"/>
          <w:sz w:val="19"/>
        </w:rPr>
        <w:t>the</w:t>
      </w:r>
      <w:r>
        <w:rPr>
          <w:color w:val="231F20"/>
          <w:spacing w:val="-4"/>
          <w:sz w:val="19"/>
        </w:rPr>
        <w:t> </w:t>
      </w:r>
      <w:r>
        <w:rPr>
          <w:color w:val="231F20"/>
          <w:spacing w:val="-2"/>
          <w:sz w:val="19"/>
        </w:rPr>
        <w:t>ECJ</w:t>
      </w:r>
      <w:r>
        <w:rPr>
          <w:color w:val="231F20"/>
          <w:spacing w:val="-5"/>
          <w:sz w:val="19"/>
        </w:rPr>
        <w:t> </w:t>
      </w:r>
      <w:r>
        <w:rPr>
          <w:color w:val="231F20"/>
          <w:spacing w:val="-2"/>
          <w:sz w:val="19"/>
        </w:rPr>
        <w:t>noted</w:t>
      </w:r>
      <w:r>
        <w:rPr>
          <w:color w:val="231F20"/>
          <w:spacing w:val="-5"/>
          <w:sz w:val="19"/>
        </w:rPr>
        <w:t> </w:t>
      </w:r>
      <w:r>
        <w:rPr>
          <w:color w:val="231F20"/>
          <w:spacing w:val="-2"/>
          <w:sz w:val="19"/>
        </w:rPr>
        <w:t>that</w:t>
      </w:r>
      <w:r>
        <w:rPr>
          <w:color w:val="231F20"/>
          <w:spacing w:val="-5"/>
          <w:sz w:val="19"/>
        </w:rPr>
        <w:t> </w:t>
      </w:r>
      <w:r>
        <w:rPr>
          <w:color w:val="231F20"/>
          <w:spacing w:val="-2"/>
          <w:sz w:val="19"/>
        </w:rPr>
        <w:t>the</w:t>
      </w:r>
      <w:r>
        <w:rPr>
          <w:color w:val="231F20"/>
          <w:spacing w:val="-4"/>
          <w:sz w:val="19"/>
        </w:rPr>
        <w:t> </w:t>
      </w:r>
      <w:r>
        <w:rPr>
          <w:color w:val="231F20"/>
          <w:spacing w:val="-2"/>
          <w:sz w:val="19"/>
        </w:rPr>
        <w:t>consequence</w:t>
      </w:r>
      <w:r>
        <w:rPr>
          <w:color w:val="231F20"/>
          <w:spacing w:val="-5"/>
          <w:sz w:val="19"/>
        </w:rPr>
        <w:t> </w:t>
      </w:r>
      <w:r>
        <w:rPr>
          <w:color w:val="231F20"/>
          <w:spacing w:val="-2"/>
          <w:sz w:val="19"/>
        </w:rPr>
        <w:t>of</w:t>
      </w:r>
      <w:r>
        <w:rPr>
          <w:color w:val="231F20"/>
          <w:spacing w:val="-5"/>
          <w:sz w:val="19"/>
        </w:rPr>
        <w:t> </w:t>
      </w:r>
      <w:r>
        <w:rPr>
          <w:color w:val="231F20"/>
          <w:spacing w:val="-2"/>
          <w:sz w:val="19"/>
        </w:rPr>
        <w:t>annulling</w:t>
      </w:r>
      <w:r>
        <w:rPr>
          <w:color w:val="231F20"/>
          <w:spacing w:val="-4"/>
          <w:sz w:val="19"/>
        </w:rPr>
        <w:t> </w:t>
      </w:r>
      <w:r>
        <w:rPr>
          <w:color w:val="231F20"/>
          <w:spacing w:val="-2"/>
          <w:sz w:val="19"/>
        </w:rPr>
        <w:t>the</w:t>
      </w:r>
      <w:r>
        <w:rPr>
          <w:color w:val="231F20"/>
          <w:spacing w:val="-4"/>
          <w:sz w:val="19"/>
        </w:rPr>
        <w:t> </w:t>
      </w:r>
      <w:r>
        <w:rPr>
          <w:color w:val="231F20"/>
          <w:spacing w:val="-2"/>
          <w:sz w:val="19"/>
        </w:rPr>
        <w:t>contract</w:t>
      </w:r>
      <w:r>
        <w:rPr>
          <w:color w:val="231F20"/>
          <w:spacing w:val="-5"/>
          <w:sz w:val="19"/>
        </w:rPr>
        <w:t> </w:t>
      </w:r>
      <w:r>
        <w:rPr>
          <w:color w:val="231F20"/>
          <w:spacing w:val="-2"/>
          <w:sz w:val="19"/>
        </w:rPr>
        <w:t>when </w:t>
      </w:r>
      <w:r>
        <w:rPr>
          <w:color w:val="231F20"/>
          <w:sz w:val="19"/>
        </w:rPr>
        <w:t>it</w:t>
      </w:r>
      <w:r>
        <w:rPr>
          <w:color w:val="231F20"/>
          <w:spacing w:val="-12"/>
          <w:sz w:val="19"/>
        </w:rPr>
        <w:t> </w:t>
      </w:r>
      <w:r>
        <w:rPr>
          <w:color w:val="231F20"/>
          <w:sz w:val="19"/>
        </w:rPr>
        <w:t>cannot</w:t>
      </w:r>
      <w:r>
        <w:rPr>
          <w:color w:val="231F20"/>
          <w:spacing w:val="-11"/>
          <w:sz w:val="19"/>
        </w:rPr>
        <w:t> </w:t>
      </w:r>
      <w:r>
        <w:rPr>
          <w:color w:val="231F20"/>
          <w:sz w:val="19"/>
        </w:rPr>
        <w:t>continue</w:t>
      </w:r>
      <w:r>
        <w:rPr>
          <w:color w:val="231F20"/>
          <w:spacing w:val="-12"/>
          <w:sz w:val="19"/>
        </w:rPr>
        <w:t> </w:t>
      </w:r>
      <w:r>
        <w:rPr>
          <w:color w:val="231F20"/>
          <w:sz w:val="19"/>
        </w:rPr>
        <w:t>in</w:t>
      </w:r>
      <w:r>
        <w:rPr>
          <w:color w:val="231F20"/>
          <w:spacing w:val="-11"/>
          <w:sz w:val="19"/>
        </w:rPr>
        <w:t> </w:t>
      </w:r>
      <w:r>
        <w:rPr>
          <w:color w:val="231F20"/>
          <w:sz w:val="19"/>
        </w:rPr>
        <w:t>existence</w:t>
      </w:r>
      <w:r>
        <w:rPr>
          <w:color w:val="231F20"/>
          <w:spacing w:val="-12"/>
          <w:sz w:val="19"/>
        </w:rPr>
        <w:t> </w:t>
      </w:r>
      <w:r>
        <w:rPr>
          <w:color w:val="231F20"/>
          <w:sz w:val="19"/>
        </w:rPr>
        <w:t>is</w:t>
      </w:r>
      <w:r>
        <w:rPr>
          <w:color w:val="231F20"/>
          <w:spacing w:val="-11"/>
          <w:sz w:val="19"/>
        </w:rPr>
        <w:t> </w:t>
      </w:r>
      <w:r>
        <w:rPr>
          <w:color w:val="231F20"/>
          <w:sz w:val="19"/>
        </w:rPr>
        <w:t>that</w:t>
      </w:r>
      <w:r>
        <w:rPr>
          <w:color w:val="231F20"/>
          <w:spacing w:val="-12"/>
          <w:sz w:val="19"/>
        </w:rPr>
        <w:t> </w:t>
      </w:r>
      <w:r>
        <w:rPr>
          <w:rFonts w:ascii="Arial" w:hAnsi="Arial"/>
          <w:color w:val="231F20"/>
          <w:sz w:val="19"/>
        </w:rPr>
        <w:t>‘</w:t>
      </w:r>
      <w:r>
        <w:rPr>
          <w:color w:val="231F20"/>
          <w:sz w:val="19"/>
        </w:rPr>
        <w:t>the</w:t>
      </w:r>
      <w:r>
        <w:rPr>
          <w:color w:val="231F20"/>
          <w:spacing w:val="-11"/>
          <w:sz w:val="19"/>
        </w:rPr>
        <w:t> </w:t>
      </w:r>
      <w:r>
        <w:rPr>
          <w:color w:val="231F20"/>
          <w:sz w:val="19"/>
        </w:rPr>
        <w:t>outstanding</w:t>
      </w:r>
      <w:r>
        <w:rPr>
          <w:color w:val="231F20"/>
          <w:spacing w:val="-12"/>
          <w:sz w:val="19"/>
        </w:rPr>
        <w:t> </w:t>
      </w:r>
      <w:r>
        <w:rPr>
          <w:color w:val="231F20"/>
          <w:sz w:val="19"/>
        </w:rPr>
        <w:t>balance</w:t>
      </w:r>
      <w:r>
        <w:rPr>
          <w:color w:val="231F20"/>
          <w:spacing w:val="-11"/>
          <w:sz w:val="19"/>
        </w:rPr>
        <w:t> </w:t>
      </w:r>
      <w:r>
        <w:rPr>
          <w:color w:val="231F20"/>
          <w:sz w:val="19"/>
        </w:rPr>
        <w:t>of</w:t>
      </w:r>
      <w:r>
        <w:rPr>
          <w:color w:val="231F20"/>
          <w:spacing w:val="-12"/>
          <w:sz w:val="19"/>
        </w:rPr>
        <w:t> </w:t>
      </w:r>
      <w:r>
        <w:rPr>
          <w:color w:val="231F20"/>
          <w:sz w:val="19"/>
        </w:rPr>
        <w:t>the</w:t>
      </w:r>
      <w:r>
        <w:rPr>
          <w:color w:val="231F20"/>
          <w:spacing w:val="-11"/>
          <w:sz w:val="19"/>
        </w:rPr>
        <w:t> </w:t>
      </w:r>
      <w:r>
        <w:rPr>
          <w:color w:val="231F20"/>
          <w:sz w:val="19"/>
        </w:rPr>
        <w:t>loan</w:t>
      </w:r>
      <w:r>
        <w:rPr>
          <w:color w:val="231F20"/>
          <w:spacing w:val="-11"/>
          <w:sz w:val="19"/>
        </w:rPr>
        <w:t> </w:t>
      </w:r>
      <w:r>
        <w:rPr>
          <w:color w:val="231F20"/>
          <w:sz w:val="19"/>
        </w:rPr>
        <w:t>becomes due</w:t>
      </w:r>
      <w:r>
        <w:rPr>
          <w:color w:val="231F20"/>
          <w:spacing w:val="-6"/>
          <w:sz w:val="19"/>
        </w:rPr>
        <w:t> </w:t>
      </w:r>
      <w:r>
        <w:rPr>
          <w:color w:val="231F20"/>
          <w:sz w:val="19"/>
        </w:rPr>
        <w:t>forthwith,</w:t>
      </w:r>
      <w:r>
        <w:rPr>
          <w:color w:val="231F20"/>
          <w:spacing w:val="-6"/>
          <w:sz w:val="19"/>
        </w:rPr>
        <w:t> </w:t>
      </w:r>
      <w:r>
        <w:rPr>
          <w:color w:val="231F20"/>
          <w:sz w:val="19"/>
        </w:rPr>
        <w:t>which</w:t>
      </w:r>
      <w:r>
        <w:rPr>
          <w:color w:val="231F20"/>
          <w:spacing w:val="-6"/>
          <w:sz w:val="19"/>
        </w:rPr>
        <w:t> </w:t>
      </w:r>
      <w:r>
        <w:rPr>
          <w:color w:val="231F20"/>
          <w:sz w:val="19"/>
        </w:rPr>
        <w:t>is</w:t>
      </w:r>
      <w:r>
        <w:rPr>
          <w:color w:val="231F20"/>
          <w:spacing w:val="-6"/>
          <w:sz w:val="19"/>
        </w:rPr>
        <w:t> </w:t>
      </w:r>
      <w:r>
        <w:rPr>
          <w:color w:val="231F20"/>
          <w:sz w:val="19"/>
        </w:rPr>
        <w:t>likely</w:t>
      </w:r>
      <w:r>
        <w:rPr>
          <w:color w:val="231F20"/>
          <w:spacing w:val="-6"/>
          <w:sz w:val="19"/>
        </w:rPr>
        <w:t> </w:t>
      </w:r>
      <w:r>
        <w:rPr>
          <w:color w:val="231F20"/>
          <w:sz w:val="19"/>
        </w:rPr>
        <w:t>to</w:t>
      </w:r>
      <w:r>
        <w:rPr>
          <w:color w:val="231F20"/>
          <w:spacing w:val="-7"/>
          <w:sz w:val="19"/>
        </w:rPr>
        <w:t> </w:t>
      </w:r>
      <w:r>
        <w:rPr>
          <w:color w:val="231F20"/>
          <w:sz w:val="19"/>
        </w:rPr>
        <w:t>be</w:t>
      </w:r>
      <w:r>
        <w:rPr>
          <w:color w:val="231F20"/>
          <w:spacing w:val="-6"/>
          <w:sz w:val="19"/>
        </w:rPr>
        <w:t> </w:t>
      </w:r>
      <w:r>
        <w:rPr>
          <w:color w:val="231F20"/>
          <w:sz w:val="19"/>
        </w:rPr>
        <w:t>in</w:t>
      </w:r>
      <w:r>
        <w:rPr>
          <w:color w:val="231F20"/>
          <w:spacing w:val="-7"/>
          <w:sz w:val="19"/>
        </w:rPr>
        <w:t> </w:t>
      </w:r>
      <w:r>
        <w:rPr>
          <w:color w:val="231F20"/>
          <w:sz w:val="19"/>
        </w:rPr>
        <w:t>excess</w:t>
      </w:r>
      <w:r>
        <w:rPr>
          <w:color w:val="231F20"/>
          <w:spacing w:val="-6"/>
          <w:sz w:val="19"/>
        </w:rPr>
        <w:t> </w:t>
      </w:r>
      <w:r>
        <w:rPr>
          <w:color w:val="231F20"/>
          <w:sz w:val="19"/>
        </w:rPr>
        <w:t>of</w:t>
      </w:r>
      <w:r>
        <w:rPr>
          <w:color w:val="231F20"/>
          <w:spacing w:val="-4"/>
          <w:sz w:val="19"/>
        </w:rPr>
        <w:t> </w:t>
      </w:r>
      <w:r>
        <w:rPr>
          <w:color w:val="231F20"/>
          <w:sz w:val="19"/>
        </w:rPr>
        <w:t>the</w:t>
      </w:r>
      <w:r>
        <w:rPr>
          <w:color w:val="231F20"/>
          <w:spacing w:val="-6"/>
          <w:sz w:val="19"/>
        </w:rPr>
        <w:t> </w:t>
      </w:r>
      <w:r>
        <w:rPr>
          <w:color w:val="231F20"/>
          <w:sz w:val="19"/>
        </w:rPr>
        <w:t>consumer</w:t>
      </w:r>
      <w:r>
        <w:rPr>
          <w:rFonts w:ascii="Arial" w:hAnsi="Arial"/>
          <w:color w:val="231F20"/>
          <w:sz w:val="19"/>
        </w:rPr>
        <w:t>’</w:t>
      </w:r>
      <w:r>
        <w:rPr>
          <w:color w:val="231F20"/>
          <w:sz w:val="19"/>
        </w:rPr>
        <w:t>s</w:t>
      </w:r>
      <w:r>
        <w:rPr>
          <w:color w:val="231F20"/>
          <w:spacing w:val="-6"/>
          <w:sz w:val="19"/>
        </w:rPr>
        <w:t> </w:t>
      </w:r>
      <w:r>
        <w:rPr>
          <w:color w:val="231F20"/>
          <w:sz w:val="19"/>
        </w:rPr>
        <w:t>financial</w:t>
      </w:r>
      <w:r>
        <w:rPr>
          <w:color w:val="231F20"/>
          <w:spacing w:val="-6"/>
          <w:sz w:val="19"/>
        </w:rPr>
        <w:t> </w:t>
      </w:r>
      <w:r>
        <w:rPr>
          <w:color w:val="231F20"/>
          <w:sz w:val="19"/>
        </w:rPr>
        <w:t>capacities and,</w:t>
      </w:r>
      <w:r>
        <w:rPr>
          <w:color w:val="231F20"/>
          <w:spacing w:val="5"/>
          <w:sz w:val="19"/>
        </w:rPr>
        <w:t> </w:t>
      </w:r>
      <w:r>
        <w:rPr>
          <w:color w:val="231F20"/>
          <w:sz w:val="19"/>
        </w:rPr>
        <w:t>as</w:t>
      </w:r>
      <w:r>
        <w:rPr>
          <w:color w:val="231F20"/>
          <w:spacing w:val="6"/>
          <w:sz w:val="19"/>
        </w:rPr>
        <w:t> </w:t>
      </w:r>
      <w:r>
        <w:rPr>
          <w:color w:val="231F20"/>
          <w:sz w:val="19"/>
        </w:rPr>
        <w:t>a</w:t>
      </w:r>
      <w:r>
        <w:rPr>
          <w:color w:val="231F20"/>
          <w:spacing w:val="6"/>
          <w:sz w:val="19"/>
        </w:rPr>
        <w:t> </w:t>
      </w:r>
      <w:r>
        <w:rPr>
          <w:color w:val="231F20"/>
          <w:sz w:val="19"/>
        </w:rPr>
        <w:t>result,</w:t>
      </w:r>
      <w:r>
        <w:rPr>
          <w:color w:val="231F20"/>
          <w:spacing w:val="6"/>
          <w:sz w:val="19"/>
        </w:rPr>
        <w:t> </w:t>
      </w:r>
      <w:r>
        <w:rPr>
          <w:color w:val="231F20"/>
          <w:sz w:val="19"/>
        </w:rPr>
        <w:t>tends</w:t>
      </w:r>
      <w:r>
        <w:rPr>
          <w:color w:val="231F20"/>
          <w:spacing w:val="6"/>
          <w:sz w:val="19"/>
        </w:rPr>
        <w:t> </w:t>
      </w:r>
      <w:r>
        <w:rPr>
          <w:color w:val="231F20"/>
          <w:sz w:val="19"/>
        </w:rPr>
        <w:t>to</w:t>
      </w:r>
      <w:r>
        <w:rPr>
          <w:color w:val="231F20"/>
          <w:spacing w:val="6"/>
          <w:sz w:val="19"/>
        </w:rPr>
        <w:t> </w:t>
      </w:r>
      <w:r>
        <w:rPr>
          <w:color w:val="231F20"/>
          <w:sz w:val="19"/>
        </w:rPr>
        <w:t>penalise</w:t>
      </w:r>
      <w:r>
        <w:rPr>
          <w:color w:val="231F20"/>
          <w:spacing w:val="6"/>
          <w:sz w:val="19"/>
        </w:rPr>
        <w:t> </w:t>
      </w:r>
      <w:r>
        <w:rPr>
          <w:color w:val="231F20"/>
          <w:sz w:val="19"/>
        </w:rPr>
        <w:t>the</w:t>
      </w:r>
      <w:r>
        <w:rPr>
          <w:color w:val="231F20"/>
          <w:spacing w:val="6"/>
          <w:sz w:val="19"/>
        </w:rPr>
        <w:t> </w:t>
      </w:r>
      <w:r>
        <w:rPr>
          <w:color w:val="231F20"/>
          <w:sz w:val="19"/>
        </w:rPr>
        <w:t>consumer</w:t>
      </w:r>
      <w:r>
        <w:rPr>
          <w:color w:val="231F20"/>
          <w:spacing w:val="5"/>
          <w:sz w:val="19"/>
        </w:rPr>
        <w:t> </w:t>
      </w:r>
      <w:r>
        <w:rPr>
          <w:color w:val="231F20"/>
          <w:sz w:val="19"/>
        </w:rPr>
        <w:t>rather</w:t>
      </w:r>
      <w:r>
        <w:rPr>
          <w:color w:val="231F20"/>
          <w:spacing w:val="6"/>
          <w:sz w:val="19"/>
        </w:rPr>
        <w:t> </w:t>
      </w:r>
      <w:r>
        <w:rPr>
          <w:color w:val="231F20"/>
          <w:sz w:val="19"/>
        </w:rPr>
        <w:t>than</w:t>
      </w:r>
      <w:r>
        <w:rPr>
          <w:color w:val="231F20"/>
          <w:spacing w:val="6"/>
          <w:sz w:val="19"/>
        </w:rPr>
        <w:t> </w:t>
      </w:r>
      <w:r>
        <w:rPr>
          <w:color w:val="231F20"/>
          <w:sz w:val="19"/>
        </w:rPr>
        <w:t>the</w:t>
      </w:r>
      <w:r>
        <w:rPr>
          <w:color w:val="231F20"/>
          <w:spacing w:val="6"/>
          <w:sz w:val="19"/>
        </w:rPr>
        <w:t> </w:t>
      </w:r>
      <w:r>
        <w:rPr>
          <w:color w:val="231F20"/>
          <w:sz w:val="19"/>
        </w:rPr>
        <w:t>lender</w:t>
      </w:r>
      <w:r>
        <w:rPr>
          <w:color w:val="231F20"/>
          <w:spacing w:val="6"/>
          <w:sz w:val="19"/>
        </w:rPr>
        <w:t> </w:t>
      </w:r>
      <w:r>
        <w:rPr>
          <w:color w:val="231F20"/>
          <w:sz w:val="19"/>
        </w:rPr>
        <w:t>who,</w:t>
      </w:r>
      <w:r>
        <w:rPr>
          <w:color w:val="231F20"/>
          <w:spacing w:val="6"/>
          <w:sz w:val="19"/>
        </w:rPr>
        <w:t> </w:t>
      </w:r>
      <w:r>
        <w:rPr>
          <w:color w:val="231F20"/>
          <w:sz w:val="19"/>
        </w:rPr>
        <w:t>as</w:t>
      </w:r>
      <w:r>
        <w:rPr>
          <w:color w:val="231F20"/>
          <w:spacing w:val="6"/>
          <w:sz w:val="19"/>
        </w:rPr>
        <w:t> </w:t>
      </w:r>
      <w:r>
        <w:rPr>
          <w:color w:val="231F20"/>
          <w:spacing w:val="-10"/>
          <w:sz w:val="19"/>
        </w:rPr>
        <w:t>a</w:t>
      </w:r>
    </w:p>
    <w:p>
      <w:pPr>
        <w:pStyle w:val="BodyText"/>
        <w:spacing w:before="110"/>
        <w:rPr>
          <w:sz w:val="20"/>
        </w:rPr>
      </w:pPr>
      <w:r>
        <w:rPr/>
        <mc:AlternateContent>
          <mc:Choice Requires="wps">
            <w:drawing>
              <wp:anchor distT="0" distB="0" distL="0" distR="0" allowOverlap="1" layoutInCell="1" locked="0" behindDoc="1" simplePos="0" relativeHeight="487600640">
                <wp:simplePos x="0" y="0"/>
                <wp:positionH relativeFrom="page">
                  <wp:posOffset>1979993</wp:posOffset>
                </wp:positionH>
                <wp:positionV relativeFrom="paragraph">
                  <wp:posOffset>229945</wp:posOffset>
                </wp:positionV>
                <wp:extent cx="1656080" cy="4445"/>
                <wp:effectExtent l="0" t="0" r="0" b="0"/>
                <wp:wrapTopAndBottom/>
                <wp:docPr id="28" name="Graphic 28"/>
                <wp:cNvGraphicFramePr>
                  <a:graphicFrameLocks/>
                </wp:cNvGraphicFramePr>
                <a:graphic>
                  <a:graphicData uri="http://schemas.microsoft.com/office/word/2010/wordprocessingShape">
                    <wps:wsp>
                      <wps:cNvPr id="28" name="Graphic 28"/>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8.105984pt;width:130.394pt;height:.34018pt;mso-position-horizontal-relative:page;mso-position-vertical-relative:paragraph;z-index:-15715840;mso-wrap-distance-left:0;mso-wrap-distance-right:0" id="docshape28"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90" w:lineRule="auto" w:before="0" w:after="0"/>
        <w:ind w:left="866" w:right="868" w:hanging="354"/>
        <w:jc w:val="both"/>
        <w:rPr>
          <w:sz w:val="16"/>
        </w:rPr>
      </w:pPr>
      <w:r>
        <w:rPr>
          <w:color w:val="231F20"/>
          <w:sz w:val="16"/>
        </w:rPr>
        <w:t>Article 1 of Directive (EU) 2019/2161 of the European Parliament and of the Council of 27 Nov.</w:t>
      </w:r>
      <w:r>
        <w:rPr>
          <w:color w:val="231F20"/>
          <w:spacing w:val="40"/>
          <w:sz w:val="16"/>
        </w:rPr>
        <w:t> </w:t>
      </w:r>
      <w:r>
        <w:rPr>
          <w:color w:val="231F20"/>
          <w:sz w:val="16"/>
        </w:rPr>
        <w:t>2019 amending Council Directive 93/13/EEC and Directives 98/6/EC, 2005/29/EC and </w:t>
      </w:r>
      <w:r>
        <w:rPr>
          <w:color w:val="231F20"/>
          <w:sz w:val="16"/>
        </w:rPr>
        <w:t>2011/</w:t>
      </w:r>
      <w:r>
        <w:rPr>
          <w:color w:val="231F20"/>
          <w:spacing w:val="40"/>
          <w:sz w:val="16"/>
        </w:rPr>
        <w:t> </w:t>
      </w:r>
      <w:r>
        <w:rPr>
          <w:color w:val="231F20"/>
          <w:sz w:val="16"/>
        </w:rPr>
        <w:t>83/EU of the European Parliament and of the Council as regards the better enforcement and</w:t>
      </w:r>
      <w:r>
        <w:rPr>
          <w:color w:val="231F20"/>
          <w:spacing w:val="40"/>
          <w:sz w:val="16"/>
        </w:rPr>
        <w:t> </w:t>
      </w:r>
      <w:r>
        <w:rPr>
          <w:color w:val="231F20"/>
          <w:sz w:val="16"/>
        </w:rPr>
        <w:t>modernization of Union consumer protection rules, data.europa.eu/eli/dir/2019/2161/oj.</w:t>
      </w:r>
    </w:p>
    <w:p>
      <w:pPr>
        <w:pStyle w:val="ListParagraph"/>
        <w:numPr>
          <w:ilvl w:val="0"/>
          <w:numId w:val="3"/>
        </w:numPr>
        <w:tabs>
          <w:tab w:pos="865" w:val="left" w:leader="none"/>
        </w:tabs>
        <w:spacing w:line="178" w:lineRule="exact" w:before="0" w:after="0"/>
        <w:ind w:left="865" w:right="0" w:hanging="353"/>
        <w:jc w:val="both"/>
        <w:rPr>
          <w:i/>
          <w:sz w:val="16"/>
        </w:rPr>
      </w:pPr>
      <w:r>
        <w:rPr>
          <w:color w:val="231F20"/>
          <w:sz w:val="16"/>
        </w:rPr>
        <w:t>ECJ</w:t>
      </w:r>
      <w:r>
        <w:rPr>
          <w:color w:val="231F20"/>
          <w:spacing w:val="1"/>
          <w:sz w:val="16"/>
        </w:rPr>
        <w:t> </w:t>
      </w:r>
      <w:r>
        <w:rPr>
          <w:color w:val="231F20"/>
          <w:sz w:val="16"/>
        </w:rPr>
        <w:t>30</w:t>
      </w:r>
      <w:r>
        <w:rPr>
          <w:color w:val="231F20"/>
          <w:spacing w:val="1"/>
          <w:sz w:val="16"/>
        </w:rPr>
        <w:t> </w:t>
      </w:r>
      <w:r>
        <w:rPr>
          <w:color w:val="231F20"/>
          <w:sz w:val="16"/>
        </w:rPr>
        <w:t>Apr.</w:t>
      </w:r>
      <w:r>
        <w:rPr>
          <w:color w:val="231F20"/>
          <w:spacing w:val="2"/>
          <w:sz w:val="16"/>
        </w:rPr>
        <w:t> </w:t>
      </w:r>
      <w:r>
        <w:rPr>
          <w:color w:val="231F20"/>
          <w:sz w:val="16"/>
        </w:rPr>
        <w:t>2014,</w:t>
      </w:r>
      <w:r>
        <w:rPr>
          <w:color w:val="231F20"/>
          <w:spacing w:val="1"/>
          <w:sz w:val="16"/>
        </w:rPr>
        <w:t> </w:t>
      </w:r>
      <w:r>
        <w:rPr>
          <w:color w:val="231F20"/>
          <w:sz w:val="16"/>
        </w:rPr>
        <w:t>ECLI:EU:C:2014:282,</w:t>
      </w:r>
      <w:r>
        <w:rPr>
          <w:color w:val="231F20"/>
          <w:spacing w:val="1"/>
          <w:sz w:val="16"/>
        </w:rPr>
        <w:t> </w:t>
      </w:r>
      <w:r>
        <w:rPr>
          <w:i/>
          <w:color w:val="231F20"/>
          <w:spacing w:val="-2"/>
          <w:sz w:val="16"/>
        </w:rPr>
        <w:t>Kásler.</w:t>
      </w:r>
    </w:p>
    <w:p>
      <w:pPr>
        <w:pStyle w:val="ListParagraph"/>
        <w:numPr>
          <w:ilvl w:val="0"/>
          <w:numId w:val="3"/>
        </w:numPr>
        <w:tabs>
          <w:tab w:pos="866" w:val="left" w:leader="none"/>
        </w:tabs>
        <w:spacing w:line="285" w:lineRule="auto" w:before="37" w:after="0"/>
        <w:ind w:left="866" w:right="868" w:hanging="354"/>
        <w:jc w:val="both"/>
        <w:rPr>
          <w:sz w:val="16"/>
        </w:rPr>
      </w:pPr>
      <w:r>
        <w:rPr>
          <w:color w:val="231F20"/>
          <w:sz w:val="16"/>
        </w:rPr>
        <w:t>On the distinction, see ECJ 20 Sep. 2017, ECLI:EU:C:2017:703, </w:t>
      </w:r>
      <w:r>
        <w:rPr>
          <w:i/>
          <w:color w:val="231F20"/>
          <w:sz w:val="16"/>
        </w:rPr>
        <w:t>Ruxandra Paula Andriciuc and</w:t>
      </w:r>
      <w:r>
        <w:rPr>
          <w:i/>
          <w:color w:val="231F20"/>
          <w:spacing w:val="40"/>
          <w:sz w:val="16"/>
        </w:rPr>
        <w:t> </w:t>
      </w:r>
      <w:r>
        <w:rPr>
          <w:i/>
          <w:color w:val="231F20"/>
          <w:spacing w:val="-4"/>
          <w:sz w:val="16"/>
        </w:rPr>
        <w:t>Others</w:t>
      </w:r>
      <w:r>
        <w:rPr>
          <w:i/>
          <w:color w:val="231F20"/>
          <w:spacing w:val="-6"/>
          <w:sz w:val="16"/>
        </w:rPr>
        <w:t> </w:t>
      </w:r>
      <w:r>
        <w:rPr>
          <w:color w:val="231F20"/>
          <w:spacing w:val="-4"/>
          <w:sz w:val="16"/>
        </w:rPr>
        <w:t>v.</w:t>
      </w:r>
      <w:r>
        <w:rPr>
          <w:color w:val="231F20"/>
          <w:spacing w:val="-6"/>
          <w:sz w:val="16"/>
        </w:rPr>
        <w:t> </w:t>
      </w:r>
      <w:r>
        <w:rPr>
          <w:i/>
          <w:color w:val="231F20"/>
          <w:spacing w:val="-4"/>
          <w:sz w:val="16"/>
        </w:rPr>
        <w:t>Banca</w:t>
      </w:r>
      <w:r>
        <w:rPr>
          <w:i/>
          <w:color w:val="231F20"/>
          <w:spacing w:val="-5"/>
          <w:sz w:val="16"/>
        </w:rPr>
        <w:t> </w:t>
      </w:r>
      <w:r>
        <w:rPr>
          <w:i/>
          <w:color w:val="231F20"/>
          <w:spacing w:val="-4"/>
          <w:sz w:val="16"/>
        </w:rPr>
        <w:t>Româneasc</w:t>
      </w:r>
      <w:r>
        <w:rPr>
          <w:rFonts w:ascii="Trebuchet MS" w:hAnsi="Trebuchet MS"/>
          <w:color w:val="231F20"/>
          <w:spacing w:val="-4"/>
          <w:sz w:val="16"/>
        </w:rPr>
        <w:t>ă</w:t>
      </w:r>
      <w:r>
        <w:rPr>
          <w:rFonts w:ascii="Trebuchet MS" w:hAnsi="Trebuchet MS"/>
          <w:color w:val="231F20"/>
          <w:spacing w:val="-8"/>
          <w:sz w:val="16"/>
        </w:rPr>
        <w:t> </w:t>
      </w:r>
      <w:r>
        <w:rPr>
          <w:i/>
          <w:color w:val="231F20"/>
          <w:spacing w:val="-4"/>
          <w:sz w:val="16"/>
        </w:rPr>
        <w:t>SA</w:t>
      </w:r>
      <w:r>
        <w:rPr>
          <w:color w:val="231F20"/>
          <w:spacing w:val="-4"/>
          <w:sz w:val="16"/>
        </w:rPr>
        <w:t>,</w:t>
      </w:r>
      <w:r>
        <w:rPr>
          <w:color w:val="231F20"/>
          <w:spacing w:val="-6"/>
          <w:sz w:val="16"/>
        </w:rPr>
        <w:t> </w:t>
      </w:r>
      <w:r>
        <w:rPr>
          <w:color w:val="231F20"/>
          <w:spacing w:val="-4"/>
          <w:sz w:val="16"/>
        </w:rPr>
        <w:t>curia.europa.eu/juris/liste.jsf?num=C-186/16,</w:t>
      </w:r>
      <w:r>
        <w:rPr>
          <w:color w:val="231F20"/>
          <w:spacing w:val="-6"/>
          <w:sz w:val="16"/>
        </w:rPr>
        <w:t> </w:t>
      </w:r>
      <w:r>
        <w:rPr>
          <w:color w:val="231F20"/>
          <w:spacing w:val="-4"/>
          <w:sz w:val="16"/>
        </w:rPr>
        <w:t>para.</w:t>
      </w:r>
      <w:r>
        <w:rPr>
          <w:color w:val="231F20"/>
          <w:spacing w:val="-5"/>
          <w:sz w:val="16"/>
        </w:rPr>
        <w:t> </w:t>
      </w:r>
      <w:r>
        <w:rPr>
          <w:color w:val="231F20"/>
          <w:spacing w:val="-4"/>
          <w:sz w:val="16"/>
        </w:rPr>
        <w:t>40.</w:t>
      </w:r>
      <w:r>
        <w:rPr>
          <w:color w:val="231F20"/>
          <w:spacing w:val="-6"/>
          <w:sz w:val="16"/>
        </w:rPr>
        <w:t> </w:t>
      </w:r>
      <w:r>
        <w:rPr>
          <w:color w:val="231F20"/>
          <w:spacing w:val="-4"/>
          <w:sz w:val="16"/>
        </w:rPr>
        <w:t>F.</w:t>
      </w:r>
      <w:r>
        <w:rPr>
          <w:color w:val="231F20"/>
          <w:spacing w:val="-6"/>
          <w:sz w:val="16"/>
        </w:rPr>
        <w:t> </w:t>
      </w:r>
      <w:r>
        <w:rPr>
          <w:color w:val="231F20"/>
          <w:spacing w:val="-4"/>
          <w:sz w:val="16"/>
        </w:rPr>
        <w:t>E</w:t>
      </w:r>
      <w:r>
        <w:rPr>
          <w:color w:val="231F20"/>
          <w:spacing w:val="-4"/>
          <w:sz w:val="11"/>
        </w:rPr>
        <w:t>SPOSITO</w:t>
      </w:r>
      <w:r>
        <w:rPr>
          <w:color w:val="231F20"/>
          <w:spacing w:val="-4"/>
          <w:sz w:val="16"/>
        </w:rPr>
        <w:t>,</w:t>
      </w:r>
      <w:r>
        <w:rPr>
          <w:color w:val="231F20"/>
          <w:spacing w:val="40"/>
          <w:sz w:val="16"/>
        </w:rPr>
        <w:t> </w:t>
      </w:r>
      <w:r>
        <w:rPr>
          <w:rFonts w:ascii="Arial" w:hAnsi="Arial"/>
          <w:color w:val="231F20"/>
          <w:spacing w:val="-6"/>
          <w:sz w:val="16"/>
        </w:rPr>
        <w:t>‘</w:t>
      </w:r>
      <w:r>
        <w:rPr>
          <w:color w:val="231F20"/>
          <w:spacing w:val="-6"/>
          <w:sz w:val="16"/>
        </w:rPr>
        <w:t>Dziubak</w:t>
      </w:r>
      <w:r>
        <w:rPr>
          <w:color w:val="231F20"/>
          <w:sz w:val="16"/>
        </w:rPr>
        <w:t> </w:t>
      </w:r>
      <w:r>
        <w:rPr>
          <w:color w:val="231F20"/>
          <w:spacing w:val="-6"/>
          <w:sz w:val="16"/>
        </w:rPr>
        <w:t>Is</w:t>
      </w:r>
      <w:r>
        <w:rPr>
          <w:color w:val="231F20"/>
          <w:sz w:val="16"/>
        </w:rPr>
        <w:t> </w:t>
      </w:r>
      <w:r>
        <w:rPr>
          <w:color w:val="231F20"/>
          <w:spacing w:val="-6"/>
          <w:sz w:val="16"/>
        </w:rPr>
        <w:t>a</w:t>
      </w:r>
      <w:r>
        <w:rPr>
          <w:color w:val="231F20"/>
          <w:sz w:val="16"/>
        </w:rPr>
        <w:t> </w:t>
      </w:r>
      <w:r>
        <w:rPr>
          <w:color w:val="231F20"/>
          <w:spacing w:val="-6"/>
          <w:sz w:val="16"/>
        </w:rPr>
        <w:t>Fundamentally</w:t>
      </w:r>
      <w:r>
        <w:rPr>
          <w:color w:val="231F20"/>
          <w:sz w:val="16"/>
        </w:rPr>
        <w:t> </w:t>
      </w:r>
      <w:r>
        <w:rPr>
          <w:color w:val="231F20"/>
          <w:spacing w:val="-6"/>
          <w:sz w:val="16"/>
        </w:rPr>
        <w:t>Wrong</w:t>
      </w:r>
      <w:r>
        <w:rPr>
          <w:color w:val="231F20"/>
          <w:sz w:val="16"/>
        </w:rPr>
        <w:t> </w:t>
      </w:r>
      <w:r>
        <w:rPr>
          <w:color w:val="231F20"/>
          <w:spacing w:val="-6"/>
          <w:sz w:val="16"/>
        </w:rPr>
        <w:t>Decision:</w:t>
      </w:r>
      <w:r>
        <w:rPr>
          <w:color w:val="231F20"/>
          <w:sz w:val="16"/>
        </w:rPr>
        <w:t> </w:t>
      </w:r>
      <w:r>
        <w:rPr>
          <w:color w:val="231F20"/>
          <w:spacing w:val="-6"/>
          <w:sz w:val="16"/>
        </w:rPr>
        <w:t>Superficial</w:t>
      </w:r>
      <w:r>
        <w:rPr>
          <w:color w:val="231F20"/>
          <w:sz w:val="16"/>
        </w:rPr>
        <w:t> </w:t>
      </w:r>
      <w:r>
        <w:rPr>
          <w:color w:val="231F20"/>
          <w:spacing w:val="-6"/>
          <w:sz w:val="16"/>
        </w:rPr>
        <w:t>Reasoning,</w:t>
      </w:r>
      <w:r>
        <w:rPr>
          <w:color w:val="231F20"/>
          <w:sz w:val="16"/>
        </w:rPr>
        <w:t> </w:t>
      </w:r>
      <w:r>
        <w:rPr>
          <w:color w:val="231F20"/>
          <w:spacing w:val="-6"/>
          <w:sz w:val="16"/>
        </w:rPr>
        <w:t>Disrespectful</w:t>
      </w:r>
      <w:r>
        <w:rPr>
          <w:color w:val="231F20"/>
          <w:sz w:val="16"/>
        </w:rPr>
        <w:t> </w:t>
      </w:r>
      <w:r>
        <w:rPr>
          <w:color w:val="231F20"/>
          <w:spacing w:val="-6"/>
          <w:sz w:val="16"/>
        </w:rPr>
        <w:t>of</w:t>
      </w:r>
      <w:r>
        <w:rPr>
          <w:color w:val="231F20"/>
          <w:sz w:val="16"/>
        </w:rPr>
        <w:t> </w:t>
      </w:r>
      <w:r>
        <w:rPr>
          <w:color w:val="231F20"/>
          <w:spacing w:val="-6"/>
          <w:sz w:val="16"/>
        </w:rPr>
        <w:t>National</w:t>
      </w:r>
      <w:r>
        <w:rPr>
          <w:color w:val="231F20"/>
          <w:sz w:val="16"/>
        </w:rPr>
        <w:t> </w:t>
      </w:r>
      <w:r>
        <w:rPr>
          <w:color w:val="231F20"/>
          <w:spacing w:val="-6"/>
          <w:sz w:val="16"/>
        </w:rPr>
        <w:t>Courts,</w:t>
      </w:r>
      <w:r>
        <w:rPr>
          <w:color w:val="231F20"/>
          <w:spacing w:val="40"/>
          <w:sz w:val="16"/>
        </w:rPr>
        <w:t> </w:t>
      </w:r>
      <w:r>
        <w:rPr>
          <w:color w:val="231F20"/>
          <w:sz w:val="16"/>
        </w:rPr>
        <w:t>Lowers</w:t>
      </w:r>
      <w:r>
        <w:rPr>
          <w:color w:val="231F20"/>
          <w:spacing w:val="-6"/>
          <w:sz w:val="16"/>
        </w:rPr>
        <w:t> </w:t>
      </w:r>
      <w:r>
        <w:rPr>
          <w:color w:val="231F20"/>
          <w:sz w:val="16"/>
        </w:rPr>
        <w:t>the</w:t>
      </w:r>
      <w:r>
        <w:rPr>
          <w:color w:val="231F20"/>
          <w:spacing w:val="-6"/>
          <w:sz w:val="16"/>
        </w:rPr>
        <w:t> </w:t>
      </w:r>
      <w:r>
        <w:rPr>
          <w:color w:val="231F20"/>
          <w:sz w:val="16"/>
        </w:rPr>
        <w:t>Level</w:t>
      </w:r>
      <w:r>
        <w:rPr>
          <w:color w:val="231F20"/>
          <w:spacing w:val="-8"/>
          <w:sz w:val="16"/>
        </w:rPr>
        <w:t> </w:t>
      </w:r>
      <w:r>
        <w:rPr>
          <w:color w:val="231F20"/>
          <w:sz w:val="16"/>
        </w:rPr>
        <w:t>of</w:t>
      </w:r>
      <w:r>
        <w:rPr>
          <w:color w:val="231F20"/>
          <w:spacing w:val="-7"/>
          <w:sz w:val="16"/>
        </w:rPr>
        <w:t> </w:t>
      </w:r>
      <w:r>
        <w:rPr>
          <w:color w:val="231F20"/>
          <w:sz w:val="16"/>
        </w:rPr>
        <w:t>Consumer</w:t>
      </w:r>
      <w:r>
        <w:rPr>
          <w:color w:val="231F20"/>
          <w:spacing w:val="-7"/>
          <w:sz w:val="16"/>
        </w:rPr>
        <w:t> </w:t>
      </w:r>
      <w:r>
        <w:rPr>
          <w:color w:val="231F20"/>
          <w:sz w:val="16"/>
        </w:rPr>
        <w:t>Protection</w:t>
      </w:r>
      <w:r>
        <w:rPr>
          <w:rFonts w:ascii="Arial" w:hAnsi="Arial"/>
          <w:color w:val="231F20"/>
          <w:sz w:val="16"/>
        </w:rPr>
        <w:t>’</w:t>
      </w:r>
      <w:r>
        <w:rPr>
          <w:color w:val="231F20"/>
          <w:sz w:val="16"/>
        </w:rPr>
        <w:t>,</w:t>
      </w:r>
      <w:r>
        <w:rPr>
          <w:color w:val="231F20"/>
          <w:spacing w:val="-6"/>
          <w:sz w:val="16"/>
        </w:rPr>
        <w:t> </w:t>
      </w:r>
      <w:r>
        <w:rPr>
          <w:color w:val="231F20"/>
          <w:sz w:val="16"/>
        </w:rPr>
        <w:t>16.</w:t>
      </w:r>
      <w:r>
        <w:rPr>
          <w:color w:val="231F20"/>
          <w:spacing w:val="-7"/>
          <w:sz w:val="16"/>
        </w:rPr>
        <w:t> </w:t>
      </w:r>
      <w:r>
        <w:rPr>
          <w:i/>
          <w:color w:val="231F20"/>
          <w:sz w:val="16"/>
        </w:rPr>
        <w:t>ERCL</w:t>
      </w:r>
      <w:r>
        <w:rPr>
          <w:i/>
          <w:color w:val="231F20"/>
          <w:spacing w:val="-8"/>
          <w:sz w:val="16"/>
        </w:rPr>
        <w:t> </w:t>
      </w:r>
      <w:r>
        <w:rPr>
          <w:color w:val="231F20"/>
          <w:sz w:val="16"/>
        </w:rPr>
        <w:t>2020</w:t>
      </w:r>
      <w:r>
        <w:rPr>
          <w:color w:val="231F20"/>
          <w:spacing w:val="-7"/>
          <w:sz w:val="16"/>
        </w:rPr>
        <w:t> </w:t>
      </w:r>
      <w:r>
        <w:rPr>
          <w:color w:val="231F20"/>
          <w:sz w:val="16"/>
        </w:rPr>
        <w:t>(p</w:t>
      </w:r>
      <w:r>
        <w:rPr>
          <w:color w:val="231F20"/>
          <w:spacing w:val="-8"/>
          <w:sz w:val="16"/>
        </w:rPr>
        <w:t> </w:t>
      </w:r>
      <w:r>
        <w:rPr>
          <w:color w:val="231F20"/>
          <w:sz w:val="16"/>
        </w:rPr>
        <w:t>538)</w:t>
      </w:r>
      <w:r>
        <w:rPr>
          <w:color w:val="231F20"/>
          <w:spacing w:val="-8"/>
          <w:sz w:val="16"/>
        </w:rPr>
        <w:t> </w:t>
      </w:r>
      <w:r>
        <w:rPr>
          <w:color w:val="231F20"/>
          <w:sz w:val="16"/>
        </w:rPr>
        <w:t>at</w:t>
      </w:r>
      <w:r>
        <w:rPr>
          <w:color w:val="231F20"/>
          <w:spacing w:val="-7"/>
          <w:sz w:val="16"/>
        </w:rPr>
        <w:t> </w:t>
      </w:r>
      <w:r>
        <w:rPr>
          <w:color w:val="231F20"/>
          <w:sz w:val="16"/>
        </w:rPr>
        <w:t>547,</w:t>
      </w:r>
      <w:r>
        <w:rPr>
          <w:color w:val="231F20"/>
          <w:spacing w:val="-7"/>
          <w:sz w:val="16"/>
        </w:rPr>
        <w:t> </w:t>
      </w:r>
      <w:r>
        <w:rPr>
          <w:color w:val="231F20"/>
          <w:sz w:val="16"/>
        </w:rPr>
        <w:t>doi:</w:t>
      </w:r>
      <w:r>
        <w:rPr>
          <w:color w:val="231F20"/>
          <w:spacing w:val="-7"/>
          <w:sz w:val="16"/>
        </w:rPr>
        <w:t> </w:t>
      </w:r>
      <w:r>
        <w:rPr>
          <w:color w:val="231F20"/>
          <w:sz w:val="16"/>
        </w:rPr>
        <w:t>10.1515/ercl-2020-</w:t>
      </w:r>
      <w:r>
        <w:rPr>
          <w:color w:val="231F20"/>
          <w:spacing w:val="40"/>
          <w:sz w:val="16"/>
        </w:rPr>
        <w:t> </w:t>
      </w:r>
      <w:r>
        <w:rPr>
          <w:color w:val="231F20"/>
          <w:spacing w:val="-2"/>
          <w:sz w:val="16"/>
        </w:rPr>
        <w:t>0030.</w:t>
      </w:r>
    </w:p>
    <w:p>
      <w:pPr>
        <w:pStyle w:val="ListParagraph"/>
        <w:numPr>
          <w:ilvl w:val="0"/>
          <w:numId w:val="3"/>
        </w:numPr>
        <w:tabs>
          <w:tab w:pos="865" w:val="left" w:leader="none"/>
        </w:tabs>
        <w:spacing w:line="183" w:lineRule="exact" w:before="0" w:after="0"/>
        <w:ind w:left="865" w:right="0" w:hanging="353"/>
        <w:jc w:val="both"/>
        <w:rPr>
          <w:sz w:val="16"/>
        </w:rPr>
      </w:pPr>
      <w:r>
        <w:rPr>
          <w:color w:val="231F20"/>
          <w:sz w:val="16"/>
        </w:rPr>
        <w:t>ECJ</w:t>
      </w:r>
      <w:r>
        <w:rPr>
          <w:color w:val="231F20"/>
          <w:spacing w:val="57"/>
          <w:sz w:val="16"/>
        </w:rPr>
        <w:t> </w:t>
      </w:r>
      <w:r>
        <w:rPr>
          <w:color w:val="231F20"/>
          <w:sz w:val="16"/>
        </w:rPr>
        <w:t>20</w:t>
      </w:r>
      <w:r>
        <w:rPr>
          <w:color w:val="231F20"/>
          <w:spacing w:val="56"/>
          <w:sz w:val="16"/>
        </w:rPr>
        <w:t> </w:t>
      </w:r>
      <w:r>
        <w:rPr>
          <w:color w:val="231F20"/>
          <w:sz w:val="16"/>
        </w:rPr>
        <w:t>Sep.</w:t>
      </w:r>
      <w:r>
        <w:rPr>
          <w:color w:val="231F20"/>
          <w:spacing w:val="57"/>
          <w:sz w:val="16"/>
        </w:rPr>
        <w:t> </w:t>
      </w:r>
      <w:r>
        <w:rPr>
          <w:color w:val="231F20"/>
          <w:sz w:val="16"/>
        </w:rPr>
        <w:t>2017,</w:t>
      </w:r>
      <w:r>
        <w:rPr>
          <w:color w:val="231F20"/>
          <w:spacing w:val="59"/>
          <w:sz w:val="16"/>
        </w:rPr>
        <w:t> </w:t>
      </w:r>
      <w:r>
        <w:rPr>
          <w:color w:val="231F20"/>
          <w:sz w:val="16"/>
        </w:rPr>
        <w:t>ECLI:EU:C:2017:703,</w:t>
      </w:r>
      <w:r>
        <w:rPr>
          <w:color w:val="231F20"/>
          <w:spacing w:val="57"/>
          <w:sz w:val="16"/>
        </w:rPr>
        <w:t> </w:t>
      </w:r>
      <w:r>
        <w:rPr>
          <w:i/>
          <w:color w:val="231F20"/>
          <w:sz w:val="16"/>
        </w:rPr>
        <w:t>Andriciuc</w:t>
      </w:r>
      <w:r>
        <w:rPr>
          <w:color w:val="231F20"/>
          <w:sz w:val="16"/>
        </w:rPr>
        <w:t>,</w:t>
      </w:r>
      <w:r>
        <w:rPr>
          <w:color w:val="231F20"/>
          <w:spacing w:val="58"/>
          <w:sz w:val="16"/>
        </w:rPr>
        <w:t> </w:t>
      </w:r>
      <w:r>
        <w:rPr>
          <w:color w:val="231F20"/>
          <w:sz w:val="16"/>
        </w:rPr>
        <w:t>para.</w:t>
      </w:r>
      <w:r>
        <w:rPr>
          <w:color w:val="231F20"/>
          <w:spacing w:val="56"/>
          <w:sz w:val="16"/>
        </w:rPr>
        <w:t> </w:t>
      </w:r>
      <w:r>
        <w:rPr>
          <w:color w:val="231F20"/>
          <w:sz w:val="16"/>
        </w:rPr>
        <w:t>40.</w:t>
      </w:r>
      <w:r>
        <w:rPr>
          <w:color w:val="231F20"/>
          <w:spacing w:val="58"/>
          <w:sz w:val="16"/>
        </w:rPr>
        <w:t> </w:t>
      </w:r>
      <w:r>
        <w:rPr>
          <w:color w:val="231F20"/>
          <w:sz w:val="16"/>
        </w:rPr>
        <w:t>F.</w:t>
      </w:r>
      <w:r>
        <w:rPr>
          <w:color w:val="231F20"/>
          <w:spacing w:val="58"/>
          <w:sz w:val="16"/>
        </w:rPr>
        <w:t> </w:t>
      </w:r>
      <w:r>
        <w:rPr>
          <w:color w:val="231F20"/>
          <w:sz w:val="16"/>
        </w:rPr>
        <w:t>E</w:t>
      </w:r>
      <w:r>
        <w:rPr>
          <w:color w:val="231F20"/>
          <w:sz w:val="11"/>
        </w:rPr>
        <w:t>SPOSITO</w:t>
      </w:r>
      <w:r>
        <w:rPr>
          <w:color w:val="231F20"/>
          <w:sz w:val="16"/>
        </w:rPr>
        <w:t>,</w:t>
      </w:r>
      <w:r>
        <w:rPr>
          <w:color w:val="231F20"/>
          <w:spacing w:val="56"/>
          <w:sz w:val="16"/>
        </w:rPr>
        <w:t> </w:t>
      </w:r>
      <w:r>
        <w:rPr>
          <w:rFonts w:ascii="Arial" w:hAnsi="Arial"/>
          <w:color w:val="231F20"/>
          <w:sz w:val="16"/>
        </w:rPr>
        <w:t>‘</w:t>
      </w:r>
      <w:r>
        <w:rPr>
          <w:color w:val="231F20"/>
          <w:sz w:val="16"/>
        </w:rPr>
        <w:t>Dziubak</w:t>
      </w:r>
      <w:r>
        <w:rPr>
          <w:color w:val="231F20"/>
          <w:spacing w:val="58"/>
          <w:sz w:val="16"/>
        </w:rPr>
        <w:t> </w:t>
      </w:r>
      <w:r>
        <w:rPr>
          <w:color w:val="231F20"/>
          <w:sz w:val="16"/>
        </w:rPr>
        <w:t>Is</w:t>
      </w:r>
      <w:r>
        <w:rPr>
          <w:color w:val="231F20"/>
          <w:spacing w:val="58"/>
          <w:sz w:val="16"/>
        </w:rPr>
        <w:t> </w:t>
      </w:r>
      <w:r>
        <w:rPr>
          <w:color w:val="231F20"/>
          <w:spacing w:val="-10"/>
          <w:sz w:val="16"/>
        </w:rPr>
        <w:t>a</w:t>
      </w:r>
    </w:p>
    <w:p>
      <w:pPr>
        <w:spacing w:before="34"/>
        <w:ind w:left="866" w:right="0" w:firstLine="0"/>
        <w:jc w:val="left"/>
        <w:rPr>
          <w:sz w:val="16"/>
        </w:rPr>
      </w:pPr>
      <w:r>
        <w:rPr>
          <w:color w:val="231F20"/>
          <w:spacing w:val="-2"/>
          <w:sz w:val="16"/>
        </w:rPr>
        <w:t>Fundamentally</w:t>
      </w:r>
      <w:r>
        <w:rPr>
          <w:color w:val="231F20"/>
          <w:spacing w:val="9"/>
          <w:sz w:val="16"/>
        </w:rPr>
        <w:t> </w:t>
      </w:r>
      <w:r>
        <w:rPr>
          <w:color w:val="231F20"/>
          <w:spacing w:val="-2"/>
          <w:sz w:val="16"/>
        </w:rPr>
        <w:t>Wrong</w:t>
      </w:r>
      <w:r>
        <w:rPr>
          <w:color w:val="231F20"/>
          <w:spacing w:val="9"/>
          <w:sz w:val="16"/>
        </w:rPr>
        <w:t> </w:t>
      </w:r>
      <w:r>
        <w:rPr>
          <w:color w:val="231F20"/>
          <w:spacing w:val="-2"/>
          <w:sz w:val="16"/>
        </w:rPr>
        <w:t>Decision</w:t>
      </w:r>
      <w:r>
        <w:rPr>
          <w:rFonts w:ascii="Arial" w:hAnsi="Arial"/>
          <w:color w:val="231F20"/>
          <w:spacing w:val="-2"/>
          <w:sz w:val="16"/>
        </w:rPr>
        <w:t>’</w:t>
      </w:r>
      <w:r>
        <w:rPr>
          <w:color w:val="231F20"/>
          <w:spacing w:val="-2"/>
          <w:sz w:val="16"/>
        </w:rPr>
        <w:t>,</w:t>
      </w:r>
      <w:r>
        <w:rPr>
          <w:color w:val="231F20"/>
          <w:spacing w:val="9"/>
          <w:sz w:val="16"/>
        </w:rPr>
        <w:t> </w:t>
      </w:r>
      <w:r>
        <w:rPr>
          <w:color w:val="231F20"/>
          <w:spacing w:val="-2"/>
          <w:sz w:val="16"/>
        </w:rPr>
        <w:t>p</w:t>
      </w:r>
      <w:r>
        <w:rPr>
          <w:color w:val="231F20"/>
          <w:spacing w:val="10"/>
          <w:sz w:val="16"/>
        </w:rPr>
        <w:t> </w:t>
      </w:r>
      <w:r>
        <w:rPr>
          <w:color w:val="231F20"/>
          <w:spacing w:val="-4"/>
          <w:sz w:val="16"/>
        </w:rPr>
        <w:t>547.</w:t>
      </w:r>
    </w:p>
    <w:p>
      <w:pPr>
        <w:spacing w:after="0"/>
        <w:jc w:val="left"/>
        <w:rPr>
          <w:sz w:val="16"/>
        </w:rPr>
        <w:sectPr>
          <w:pgSz w:w="11910" w:h="16840"/>
          <w:pgMar w:header="0" w:footer="2585" w:top="1920" w:bottom="2780" w:left="1680" w:right="1680"/>
        </w:sectPr>
      </w:pPr>
    </w:p>
    <w:p>
      <w:pPr>
        <w:pStyle w:val="BodyText"/>
      </w:pPr>
    </w:p>
    <w:p>
      <w:pPr>
        <w:pStyle w:val="BodyText"/>
        <w:spacing w:before="162"/>
      </w:pPr>
    </w:p>
    <w:p>
      <w:pPr>
        <w:pStyle w:val="BodyText"/>
        <w:spacing w:line="288" w:lineRule="auto"/>
        <w:ind w:left="871" w:right="868"/>
        <w:jc w:val="both"/>
      </w:pPr>
      <w:r>
        <w:rPr>
          <w:color w:val="231F20"/>
        </w:rPr>
        <w:t>consequence,</w:t>
      </w:r>
      <w:r>
        <w:rPr>
          <w:color w:val="231F20"/>
          <w:spacing w:val="-12"/>
        </w:rPr>
        <w:t> </w:t>
      </w:r>
      <w:r>
        <w:rPr>
          <w:color w:val="231F20"/>
        </w:rPr>
        <w:t>might</w:t>
      </w:r>
      <w:r>
        <w:rPr>
          <w:color w:val="231F20"/>
          <w:spacing w:val="-11"/>
        </w:rPr>
        <w:t> </w:t>
      </w:r>
      <w:r>
        <w:rPr>
          <w:color w:val="231F20"/>
        </w:rPr>
        <w:t>not</w:t>
      </w:r>
      <w:r>
        <w:rPr>
          <w:color w:val="231F20"/>
          <w:spacing w:val="-12"/>
        </w:rPr>
        <w:t> </w:t>
      </w:r>
      <w:r>
        <w:rPr>
          <w:color w:val="231F20"/>
        </w:rPr>
        <w:t>be</w:t>
      </w:r>
      <w:r>
        <w:rPr>
          <w:color w:val="231F20"/>
          <w:spacing w:val="-11"/>
        </w:rPr>
        <w:t> </w:t>
      </w:r>
      <w:r>
        <w:rPr>
          <w:color w:val="231F20"/>
        </w:rPr>
        <w:t>dissuaded</w:t>
      </w:r>
      <w:r>
        <w:rPr>
          <w:color w:val="231F20"/>
          <w:spacing w:val="-12"/>
        </w:rPr>
        <w:t> </w:t>
      </w:r>
      <w:r>
        <w:rPr>
          <w:color w:val="231F20"/>
        </w:rPr>
        <w:t>from</w:t>
      </w:r>
      <w:r>
        <w:rPr>
          <w:color w:val="231F20"/>
          <w:spacing w:val="-11"/>
        </w:rPr>
        <w:t> </w:t>
      </w:r>
      <w:r>
        <w:rPr>
          <w:color w:val="231F20"/>
        </w:rPr>
        <w:t>inserting</w:t>
      </w:r>
      <w:r>
        <w:rPr>
          <w:color w:val="231F20"/>
          <w:spacing w:val="-12"/>
        </w:rPr>
        <w:t> </w:t>
      </w:r>
      <w:r>
        <w:rPr>
          <w:color w:val="231F20"/>
        </w:rPr>
        <w:t>such</w:t>
      </w:r>
      <w:r>
        <w:rPr>
          <w:color w:val="231F20"/>
          <w:spacing w:val="-11"/>
        </w:rPr>
        <w:t> </w:t>
      </w:r>
      <w:r>
        <w:rPr>
          <w:color w:val="231F20"/>
        </w:rPr>
        <w:t>terms</w:t>
      </w:r>
      <w:r>
        <w:rPr>
          <w:color w:val="231F20"/>
          <w:spacing w:val="-12"/>
        </w:rPr>
        <w:t> </w:t>
      </w:r>
      <w:r>
        <w:rPr>
          <w:color w:val="231F20"/>
        </w:rPr>
        <w:t>in</w:t>
      </w:r>
      <w:r>
        <w:rPr>
          <w:color w:val="231F20"/>
          <w:spacing w:val="-11"/>
        </w:rPr>
        <w:t> </w:t>
      </w:r>
      <w:r>
        <w:rPr>
          <w:color w:val="231F20"/>
        </w:rPr>
        <w:t>its</w:t>
      </w:r>
      <w:r>
        <w:rPr>
          <w:color w:val="231F20"/>
          <w:spacing w:val="-12"/>
        </w:rPr>
        <w:t> </w:t>
      </w:r>
      <w:r>
        <w:rPr>
          <w:color w:val="231F20"/>
        </w:rPr>
        <w:t>contracts</w:t>
      </w:r>
      <w:r>
        <w:rPr>
          <w:rFonts w:ascii="Arial" w:hAnsi="Arial"/>
          <w:color w:val="231F20"/>
        </w:rPr>
        <w:t>’</w:t>
      </w:r>
      <w:r>
        <w:rPr>
          <w:color w:val="231F20"/>
        </w:rPr>
        <w:t>.</w:t>
      </w:r>
      <w:r>
        <w:rPr>
          <w:color w:val="231F20"/>
          <w:vertAlign w:val="superscript"/>
        </w:rPr>
        <w:t>142</w:t>
      </w:r>
      <w:r>
        <w:rPr>
          <w:color w:val="231F20"/>
          <w:vertAlign w:val="baseline"/>
        </w:rPr>
        <w:t> On these grounds, the ECJ allowed the contract to be integrated with a supple- mentary provision of national law.</w:t>
      </w:r>
      <w:r>
        <w:rPr>
          <w:color w:val="231F20"/>
          <w:vertAlign w:val="superscript"/>
        </w:rPr>
        <w:t>143</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The</w:t>
      </w:r>
      <w:r>
        <w:rPr>
          <w:color w:val="231F20"/>
          <w:spacing w:val="-10"/>
          <w:sz w:val="19"/>
        </w:rPr>
        <w:t> </w:t>
      </w:r>
      <w:r>
        <w:rPr>
          <w:color w:val="231F20"/>
          <w:sz w:val="19"/>
        </w:rPr>
        <w:t>ruling</w:t>
      </w:r>
      <w:r>
        <w:rPr>
          <w:color w:val="231F20"/>
          <w:spacing w:val="-9"/>
          <w:sz w:val="19"/>
        </w:rPr>
        <w:t> </w:t>
      </w:r>
      <w:r>
        <w:rPr>
          <w:color w:val="231F20"/>
          <w:sz w:val="19"/>
        </w:rPr>
        <w:t>in</w:t>
      </w:r>
      <w:r>
        <w:rPr>
          <w:color w:val="231F20"/>
          <w:spacing w:val="-9"/>
          <w:sz w:val="19"/>
        </w:rPr>
        <w:t> </w:t>
      </w:r>
      <w:r>
        <w:rPr>
          <w:i/>
          <w:color w:val="231F20"/>
          <w:sz w:val="19"/>
        </w:rPr>
        <w:t>Kásler</w:t>
      </w:r>
      <w:r>
        <w:rPr>
          <w:i/>
          <w:color w:val="231F20"/>
          <w:spacing w:val="-10"/>
          <w:sz w:val="19"/>
        </w:rPr>
        <w:t> </w:t>
      </w:r>
      <w:r>
        <w:rPr>
          <w:color w:val="231F20"/>
          <w:sz w:val="19"/>
        </w:rPr>
        <w:t>brings</w:t>
      </w:r>
      <w:r>
        <w:rPr>
          <w:color w:val="231F20"/>
          <w:spacing w:val="-9"/>
          <w:sz w:val="19"/>
        </w:rPr>
        <w:t> </w:t>
      </w:r>
      <w:r>
        <w:rPr>
          <w:color w:val="231F20"/>
          <w:sz w:val="19"/>
        </w:rPr>
        <w:t>about</w:t>
      </w:r>
      <w:r>
        <w:rPr>
          <w:color w:val="231F20"/>
          <w:spacing w:val="-10"/>
          <w:sz w:val="19"/>
        </w:rPr>
        <w:t> </w:t>
      </w:r>
      <w:r>
        <w:rPr>
          <w:color w:val="231F20"/>
          <w:sz w:val="19"/>
        </w:rPr>
        <w:t>interesting</w:t>
      </w:r>
      <w:r>
        <w:rPr>
          <w:color w:val="231F20"/>
          <w:spacing w:val="-10"/>
          <w:sz w:val="19"/>
        </w:rPr>
        <w:t> </w:t>
      </w:r>
      <w:r>
        <w:rPr>
          <w:color w:val="231F20"/>
          <w:sz w:val="19"/>
        </w:rPr>
        <w:t>considerations</w:t>
      </w:r>
      <w:r>
        <w:rPr>
          <w:color w:val="231F20"/>
          <w:spacing w:val="-9"/>
          <w:sz w:val="19"/>
        </w:rPr>
        <w:t> </w:t>
      </w:r>
      <w:r>
        <w:rPr>
          <w:color w:val="231F20"/>
          <w:sz w:val="19"/>
        </w:rPr>
        <w:t>for</w:t>
      </w:r>
      <w:r>
        <w:rPr>
          <w:color w:val="231F20"/>
          <w:spacing w:val="-11"/>
          <w:sz w:val="19"/>
        </w:rPr>
        <w:t> </w:t>
      </w:r>
      <w:r>
        <w:rPr>
          <w:color w:val="231F20"/>
          <w:sz w:val="19"/>
        </w:rPr>
        <w:t>the</w:t>
      </w:r>
      <w:r>
        <w:rPr>
          <w:color w:val="231F20"/>
          <w:spacing w:val="-9"/>
          <w:sz w:val="19"/>
        </w:rPr>
        <w:t> </w:t>
      </w:r>
      <w:r>
        <w:rPr>
          <w:color w:val="231F20"/>
          <w:sz w:val="19"/>
        </w:rPr>
        <w:t>two</w:t>
      </w:r>
      <w:r>
        <w:rPr>
          <w:color w:val="231F20"/>
          <w:spacing w:val="-11"/>
          <w:sz w:val="19"/>
        </w:rPr>
        <w:t> </w:t>
      </w:r>
      <w:r>
        <w:rPr>
          <w:color w:val="231F20"/>
          <w:sz w:val="19"/>
        </w:rPr>
        <w:t>aims of Article 6(1) UCTD, namely party</w:t>
      </w:r>
      <w:r>
        <w:rPr>
          <w:color w:val="231F20"/>
          <w:spacing w:val="-1"/>
          <w:sz w:val="19"/>
        </w:rPr>
        <w:t> </w:t>
      </w:r>
      <w:r>
        <w:rPr>
          <w:color w:val="231F20"/>
          <w:sz w:val="19"/>
        </w:rPr>
        <w:t>equality and dissuasiveness, as well</w:t>
      </w:r>
      <w:r>
        <w:rPr>
          <w:color w:val="231F20"/>
          <w:spacing w:val="-1"/>
          <w:sz w:val="19"/>
        </w:rPr>
        <w:t> </w:t>
      </w:r>
      <w:r>
        <w:rPr>
          <w:color w:val="231F20"/>
          <w:sz w:val="19"/>
        </w:rPr>
        <w:t>as for</w:t>
      </w:r>
      <w:r>
        <w:rPr>
          <w:color w:val="231F20"/>
          <w:spacing w:val="-1"/>
          <w:sz w:val="19"/>
        </w:rPr>
        <w:t> </w:t>
      </w:r>
      <w:r>
        <w:rPr>
          <w:color w:val="231F20"/>
          <w:sz w:val="19"/>
        </w:rPr>
        <w:t>the overall</w:t>
      </w:r>
      <w:r>
        <w:rPr>
          <w:color w:val="231F20"/>
          <w:spacing w:val="-6"/>
          <w:sz w:val="19"/>
        </w:rPr>
        <w:t> </w:t>
      </w:r>
      <w:r>
        <w:rPr>
          <w:color w:val="231F20"/>
          <w:sz w:val="19"/>
        </w:rPr>
        <w:t>system</w:t>
      </w:r>
      <w:r>
        <w:rPr>
          <w:color w:val="231F20"/>
          <w:spacing w:val="-6"/>
          <w:sz w:val="19"/>
        </w:rPr>
        <w:t> </w:t>
      </w:r>
      <w:r>
        <w:rPr>
          <w:color w:val="231F20"/>
          <w:sz w:val="19"/>
        </w:rPr>
        <w:t>of</w:t>
      </w:r>
      <w:r>
        <w:rPr>
          <w:color w:val="231F20"/>
          <w:spacing w:val="-6"/>
          <w:sz w:val="19"/>
        </w:rPr>
        <w:t> </w:t>
      </w:r>
      <w:r>
        <w:rPr>
          <w:color w:val="231F20"/>
          <w:sz w:val="19"/>
        </w:rPr>
        <w:t>protection</w:t>
      </w:r>
      <w:r>
        <w:rPr>
          <w:color w:val="231F20"/>
          <w:spacing w:val="-6"/>
          <w:sz w:val="19"/>
        </w:rPr>
        <w:t> </w:t>
      </w:r>
      <w:r>
        <w:rPr>
          <w:color w:val="231F20"/>
          <w:sz w:val="19"/>
        </w:rPr>
        <w:t>of</w:t>
      </w:r>
      <w:r>
        <w:rPr>
          <w:color w:val="231F20"/>
          <w:spacing w:val="-3"/>
          <w:sz w:val="19"/>
        </w:rPr>
        <w:t> </w:t>
      </w:r>
      <w:r>
        <w:rPr>
          <w:color w:val="231F20"/>
          <w:sz w:val="19"/>
        </w:rPr>
        <w:t>the</w:t>
      </w:r>
      <w:r>
        <w:rPr>
          <w:color w:val="231F20"/>
          <w:spacing w:val="-6"/>
          <w:sz w:val="19"/>
        </w:rPr>
        <w:t> </w:t>
      </w:r>
      <w:r>
        <w:rPr>
          <w:color w:val="231F20"/>
          <w:sz w:val="19"/>
        </w:rPr>
        <w:t>UCTD,</w:t>
      </w:r>
      <w:r>
        <w:rPr>
          <w:color w:val="231F20"/>
          <w:spacing w:val="-6"/>
          <w:sz w:val="19"/>
        </w:rPr>
        <w:t> </w:t>
      </w:r>
      <w:r>
        <w:rPr>
          <w:color w:val="231F20"/>
          <w:sz w:val="19"/>
        </w:rPr>
        <w:t>which</w:t>
      </w:r>
      <w:r>
        <w:rPr>
          <w:color w:val="231F20"/>
          <w:spacing w:val="-6"/>
          <w:sz w:val="19"/>
        </w:rPr>
        <w:t> </w:t>
      </w:r>
      <w:r>
        <w:rPr>
          <w:color w:val="231F20"/>
          <w:sz w:val="19"/>
        </w:rPr>
        <w:t>is</w:t>
      </w:r>
      <w:r>
        <w:rPr>
          <w:color w:val="231F20"/>
          <w:spacing w:val="-6"/>
          <w:sz w:val="19"/>
        </w:rPr>
        <w:t> </w:t>
      </w:r>
      <w:r>
        <w:rPr>
          <w:color w:val="231F20"/>
          <w:sz w:val="19"/>
        </w:rPr>
        <w:t>justified</w:t>
      </w:r>
      <w:r>
        <w:rPr>
          <w:color w:val="231F20"/>
          <w:spacing w:val="-6"/>
          <w:sz w:val="19"/>
        </w:rPr>
        <w:t> </w:t>
      </w:r>
      <w:r>
        <w:rPr>
          <w:color w:val="231F20"/>
          <w:sz w:val="19"/>
        </w:rPr>
        <w:t>in</w:t>
      </w:r>
      <w:r>
        <w:rPr>
          <w:color w:val="231F20"/>
          <w:spacing w:val="-6"/>
          <w:sz w:val="19"/>
        </w:rPr>
        <w:t> </w:t>
      </w:r>
      <w:r>
        <w:rPr>
          <w:color w:val="231F20"/>
          <w:sz w:val="19"/>
        </w:rPr>
        <w:t>the</w:t>
      </w:r>
      <w:r>
        <w:rPr>
          <w:color w:val="231F20"/>
          <w:spacing w:val="-6"/>
          <w:sz w:val="19"/>
        </w:rPr>
        <w:t> </w:t>
      </w:r>
      <w:r>
        <w:rPr>
          <w:color w:val="231F20"/>
          <w:sz w:val="19"/>
        </w:rPr>
        <w:t>weaker</w:t>
      </w:r>
      <w:r>
        <w:rPr>
          <w:color w:val="231F20"/>
          <w:spacing w:val="-6"/>
          <w:sz w:val="19"/>
        </w:rPr>
        <w:t> </w:t>
      </w:r>
      <w:r>
        <w:rPr>
          <w:color w:val="231F20"/>
          <w:sz w:val="19"/>
        </w:rPr>
        <w:t>position of the consumer towards the business.</w:t>
      </w:r>
      <w:r>
        <w:rPr>
          <w:color w:val="231F20"/>
          <w:sz w:val="19"/>
          <w:vertAlign w:val="superscript"/>
        </w:rPr>
        <w:t>144</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pacing w:val="-10"/>
          <w:sz w:val="19"/>
        </w:rPr>
        <w:t>The</w:t>
      </w:r>
      <w:r>
        <w:rPr>
          <w:color w:val="231F20"/>
          <w:sz w:val="19"/>
        </w:rPr>
        <w:t> </w:t>
      </w:r>
      <w:r>
        <w:rPr>
          <w:color w:val="231F20"/>
          <w:spacing w:val="-10"/>
          <w:sz w:val="19"/>
        </w:rPr>
        <w:t>ECJ</w:t>
      </w:r>
      <w:r>
        <w:rPr>
          <w:color w:val="231F20"/>
          <w:sz w:val="19"/>
        </w:rPr>
        <w:t> </w:t>
      </w:r>
      <w:r>
        <w:rPr>
          <w:color w:val="231F20"/>
          <w:spacing w:val="-10"/>
          <w:sz w:val="19"/>
        </w:rPr>
        <w:t>accepted</w:t>
      </w:r>
      <w:r>
        <w:rPr>
          <w:color w:val="231F20"/>
          <w:sz w:val="19"/>
        </w:rPr>
        <w:t> </w:t>
      </w:r>
      <w:r>
        <w:rPr>
          <w:color w:val="231F20"/>
          <w:spacing w:val="-10"/>
          <w:sz w:val="19"/>
        </w:rPr>
        <w:t>the</w:t>
      </w:r>
      <w:r>
        <w:rPr>
          <w:color w:val="231F20"/>
          <w:sz w:val="19"/>
        </w:rPr>
        <w:t> </w:t>
      </w:r>
      <w:r>
        <w:rPr>
          <w:color w:val="231F20"/>
          <w:spacing w:val="-10"/>
          <w:sz w:val="19"/>
        </w:rPr>
        <w:t>integration</w:t>
      </w:r>
      <w:r>
        <w:rPr>
          <w:color w:val="231F20"/>
          <w:sz w:val="19"/>
        </w:rPr>
        <w:t> </w:t>
      </w:r>
      <w:r>
        <w:rPr>
          <w:color w:val="231F20"/>
          <w:spacing w:val="-10"/>
          <w:sz w:val="19"/>
        </w:rPr>
        <w:t>of</w:t>
      </w:r>
      <w:r>
        <w:rPr>
          <w:color w:val="231F20"/>
          <w:spacing w:val="9"/>
          <w:sz w:val="19"/>
        </w:rPr>
        <w:t> </w:t>
      </w:r>
      <w:r>
        <w:rPr>
          <w:color w:val="231F20"/>
          <w:spacing w:val="-10"/>
          <w:sz w:val="19"/>
        </w:rPr>
        <w:t>the</w:t>
      </w:r>
      <w:r>
        <w:rPr>
          <w:color w:val="231F20"/>
          <w:sz w:val="19"/>
        </w:rPr>
        <w:t> </w:t>
      </w:r>
      <w:r>
        <w:rPr>
          <w:color w:val="231F20"/>
          <w:spacing w:val="-10"/>
          <w:sz w:val="19"/>
        </w:rPr>
        <w:t>contract</w:t>
      </w:r>
      <w:r>
        <w:rPr>
          <w:color w:val="231F20"/>
          <w:sz w:val="19"/>
        </w:rPr>
        <w:t> </w:t>
      </w:r>
      <w:r>
        <w:rPr>
          <w:color w:val="231F20"/>
          <w:spacing w:val="-10"/>
          <w:sz w:val="19"/>
        </w:rPr>
        <w:t>with</w:t>
      </w:r>
      <w:r>
        <w:rPr>
          <w:color w:val="231F20"/>
          <w:sz w:val="19"/>
        </w:rPr>
        <w:t> </w:t>
      </w:r>
      <w:r>
        <w:rPr>
          <w:color w:val="231F20"/>
          <w:spacing w:val="-10"/>
          <w:sz w:val="19"/>
        </w:rPr>
        <w:t>a</w:t>
      </w:r>
      <w:r>
        <w:rPr>
          <w:color w:val="231F20"/>
          <w:sz w:val="19"/>
        </w:rPr>
        <w:t> </w:t>
      </w:r>
      <w:r>
        <w:rPr>
          <w:color w:val="231F20"/>
          <w:spacing w:val="-10"/>
          <w:sz w:val="19"/>
        </w:rPr>
        <w:t>supplementary</w:t>
      </w:r>
      <w:r>
        <w:rPr>
          <w:color w:val="231F20"/>
          <w:sz w:val="19"/>
        </w:rPr>
        <w:t> </w:t>
      </w:r>
      <w:r>
        <w:rPr>
          <w:color w:val="231F20"/>
          <w:spacing w:val="-10"/>
          <w:sz w:val="19"/>
        </w:rPr>
        <w:t>provision</w:t>
      </w:r>
      <w:r>
        <w:rPr>
          <w:color w:val="231F20"/>
          <w:sz w:val="19"/>
        </w:rPr>
        <w:t> </w:t>
      </w:r>
      <w:r>
        <w:rPr>
          <w:color w:val="231F20"/>
          <w:spacing w:val="-10"/>
          <w:sz w:val="19"/>
        </w:rPr>
        <w:t>of</w:t>
      </w:r>
      <w:r>
        <w:rPr>
          <w:color w:val="231F20"/>
          <w:sz w:val="19"/>
        </w:rPr>
        <w:t> </w:t>
      </w:r>
      <w:r>
        <w:rPr>
          <w:color w:val="231F20"/>
          <w:spacing w:val="-6"/>
          <w:sz w:val="19"/>
        </w:rPr>
        <w:t>national</w:t>
      </w:r>
      <w:r>
        <w:rPr>
          <w:color w:val="231F20"/>
          <w:sz w:val="19"/>
        </w:rPr>
        <w:t> </w:t>
      </w:r>
      <w:r>
        <w:rPr>
          <w:color w:val="231F20"/>
          <w:spacing w:val="-6"/>
          <w:sz w:val="19"/>
        </w:rPr>
        <w:t>law</w:t>
      </w:r>
      <w:r>
        <w:rPr>
          <w:color w:val="231F20"/>
          <w:sz w:val="19"/>
        </w:rPr>
        <w:t> </w:t>
      </w:r>
      <w:r>
        <w:rPr>
          <w:color w:val="231F20"/>
          <w:spacing w:val="-6"/>
          <w:sz w:val="19"/>
        </w:rPr>
        <w:t>to</w:t>
      </w:r>
      <w:r>
        <w:rPr>
          <w:color w:val="231F20"/>
          <w:sz w:val="19"/>
        </w:rPr>
        <w:t> </w:t>
      </w:r>
      <w:r>
        <w:rPr>
          <w:color w:val="231F20"/>
          <w:spacing w:val="-6"/>
          <w:sz w:val="19"/>
        </w:rPr>
        <w:t>protect</w:t>
      </w:r>
      <w:r>
        <w:rPr>
          <w:color w:val="231F20"/>
          <w:sz w:val="19"/>
        </w:rPr>
        <w:t> </w:t>
      </w:r>
      <w:r>
        <w:rPr>
          <w:color w:val="231F20"/>
          <w:spacing w:val="-6"/>
          <w:sz w:val="19"/>
        </w:rPr>
        <w:t>the</w:t>
      </w:r>
      <w:r>
        <w:rPr>
          <w:color w:val="231F20"/>
          <w:sz w:val="19"/>
        </w:rPr>
        <w:t> </w:t>
      </w:r>
      <w:r>
        <w:rPr>
          <w:color w:val="231F20"/>
          <w:spacing w:val="-6"/>
          <w:sz w:val="19"/>
        </w:rPr>
        <w:t>consumer</w:t>
      </w:r>
      <w:r>
        <w:rPr>
          <w:color w:val="231F20"/>
          <w:sz w:val="19"/>
        </w:rPr>
        <w:t> </w:t>
      </w:r>
      <w:r>
        <w:rPr>
          <w:color w:val="231F20"/>
          <w:spacing w:val="-6"/>
          <w:sz w:val="19"/>
        </w:rPr>
        <w:t>from</w:t>
      </w:r>
      <w:r>
        <w:rPr>
          <w:color w:val="231F20"/>
          <w:sz w:val="19"/>
        </w:rPr>
        <w:t> </w:t>
      </w:r>
      <w:r>
        <w:rPr>
          <w:rFonts w:ascii="Arial" w:hAnsi="Arial"/>
          <w:color w:val="231F20"/>
          <w:spacing w:val="-6"/>
          <w:sz w:val="19"/>
        </w:rPr>
        <w:t>‘</w:t>
      </w:r>
      <w:r>
        <w:rPr>
          <w:color w:val="231F20"/>
          <w:spacing w:val="-6"/>
          <w:sz w:val="19"/>
        </w:rPr>
        <w:t>particularly</w:t>
      </w:r>
      <w:r>
        <w:rPr>
          <w:color w:val="231F20"/>
          <w:sz w:val="19"/>
        </w:rPr>
        <w:t> </w:t>
      </w:r>
      <w:r>
        <w:rPr>
          <w:color w:val="231F20"/>
          <w:spacing w:val="-6"/>
          <w:sz w:val="19"/>
        </w:rPr>
        <w:t>unfavourable</w:t>
      </w:r>
      <w:r>
        <w:rPr>
          <w:color w:val="231F20"/>
          <w:sz w:val="19"/>
        </w:rPr>
        <w:t> </w:t>
      </w:r>
      <w:r>
        <w:rPr>
          <w:color w:val="231F20"/>
          <w:spacing w:val="-6"/>
          <w:sz w:val="19"/>
        </w:rPr>
        <w:t>consequences</w:t>
      </w:r>
      <w:r>
        <w:rPr>
          <w:rFonts w:ascii="Arial" w:hAnsi="Arial"/>
          <w:color w:val="231F20"/>
          <w:spacing w:val="-6"/>
          <w:sz w:val="19"/>
        </w:rPr>
        <w:t>’</w:t>
      </w:r>
      <w:r>
        <w:rPr>
          <w:color w:val="231F20"/>
          <w:spacing w:val="-6"/>
          <w:sz w:val="19"/>
        </w:rPr>
        <w:t>,</w:t>
      </w:r>
      <w:r>
        <w:rPr>
          <w:color w:val="231F20"/>
          <w:spacing w:val="-6"/>
          <w:sz w:val="19"/>
          <w:vertAlign w:val="superscript"/>
        </w:rPr>
        <w:t>145</w:t>
      </w:r>
      <w:r>
        <w:rPr>
          <w:color w:val="231F20"/>
          <w:sz w:val="19"/>
          <w:vertAlign w:val="baseline"/>
        </w:rPr>
        <w:t> whether</w:t>
      </w:r>
      <w:r>
        <w:rPr>
          <w:color w:val="231F20"/>
          <w:spacing w:val="-8"/>
          <w:sz w:val="19"/>
          <w:vertAlign w:val="baseline"/>
        </w:rPr>
        <w:t> </w:t>
      </w:r>
      <w:r>
        <w:rPr>
          <w:color w:val="231F20"/>
          <w:sz w:val="19"/>
          <w:vertAlign w:val="baseline"/>
        </w:rPr>
        <w:t>economic</w:t>
      </w:r>
      <w:r>
        <w:rPr>
          <w:color w:val="231F20"/>
          <w:spacing w:val="-8"/>
          <w:sz w:val="19"/>
          <w:vertAlign w:val="baseline"/>
        </w:rPr>
        <w:t> </w:t>
      </w:r>
      <w:r>
        <w:rPr>
          <w:color w:val="231F20"/>
          <w:sz w:val="19"/>
          <w:vertAlign w:val="baseline"/>
        </w:rPr>
        <w:t>or</w:t>
      </w:r>
      <w:r>
        <w:rPr>
          <w:color w:val="231F20"/>
          <w:spacing w:val="-8"/>
          <w:sz w:val="19"/>
          <w:vertAlign w:val="baseline"/>
        </w:rPr>
        <w:t> </w:t>
      </w:r>
      <w:r>
        <w:rPr>
          <w:color w:val="231F20"/>
          <w:sz w:val="19"/>
          <w:vertAlign w:val="baseline"/>
        </w:rPr>
        <w:t>other.</w:t>
      </w:r>
      <w:r>
        <w:rPr>
          <w:color w:val="231F20"/>
          <w:sz w:val="19"/>
          <w:vertAlign w:val="superscript"/>
        </w:rPr>
        <w:t>146</w:t>
      </w:r>
      <w:r>
        <w:rPr>
          <w:color w:val="231F20"/>
          <w:spacing w:val="-8"/>
          <w:sz w:val="19"/>
          <w:vertAlign w:val="baseline"/>
        </w:rPr>
        <w:t> </w:t>
      </w:r>
      <w:r>
        <w:rPr>
          <w:color w:val="231F20"/>
          <w:sz w:val="19"/>
          <w:vertAlign w:val="baseline"/>
        </w:rPr>
        <w:t>This</w:t>
      </w:r>
      <w:r>
        <w:rPr>
          <w:color w:val="231F20"/>
          <w:spacing w:val="-8"/>
          <w:sz w:val="19"/>
          <w:vertAlign w:val="baseline"/>
        </w:rPr>
        <w:t> </w:t>
      </w:r>
      <w:r>
        <w:rPr>
          <w:color w:val="231F20"/>
          <w:sz w:val="19"/>
          <w:vertAlign w:val="baseline"/>
        </w:rPr>
        <w:t>is</w:t>
      </w:r>
      <w:r>
        <w:rPr>
          <w:color w:val="231F20"/>
          <w:spacing w:val="-8"/>
          <w:sz w:val="19"/>
          <w:vertAlign w:val="baseline"/>
        </w:rPr>
        <w:t> </w:t>
      </w:r>
      <w:r>
        <w:rPr>
          <w:color w:val="231F20"/>
          <w:sz w:val="19"/>
          <w:vertAlign w:val="baseline"/>
        </w:rPr>
        <w:t>consistent</w:t>
      </w:r>
      <w:r>
        <w:rPr>
          <w:color w:val="231F20"/>
          <w:spacing w:val="-8"/>
          <w:sz w:val="19"/>
          <w:vertAlign w:val="baseline"/>
        </w:rPr>
        <w:t> </w:t>
      </w:r>
      <w:r>
        <w:rPr>
          <w:color w:val="231F20"/>
          <w:sz w:val="19"/>
          <w:vertAlign w:val="baseline"/>
        </w:rPr>
        <w:t>with</w:t>
      </w:r>
      <w:r>
        <w:rPr>
          <w:color w:val="231F20"/>
          <w:spacing w:val="-9"/>
          <w:sz w:val="19"/>
          <w:vertAlign w:val="baseline"/>
        </w:rPr>
        <w:t> </w:t>
      </w:r>
      <w:r>
        <w:rPr>
          <w:color w:val="231F20"/>
          <w:sz w:val="19"/>
          <w:vertAlign w:val="baseline"/>
        </w:rPr>
        <w:t>the</w:t>
      </w:r>
      <w:r>
        <w:rPr>
          <w:color w:val="231F20"/>
          <w:spacing w:val="-8"/>
          <w:sz w:val="19"/>
          <w:vertAlign w:val="baseline"/>
        </w:rPr>
        <w:t> </w:t>
      </w:r>
      <w:r>
        <w:rPr>
          <w:color w:val="231F20"/>
          <w:sz w:val="19"/>
          <w:vertAlign w:val="baseline"/>
        </w:rPr>
        <w:t>principle</w:t>
      </w:r>
      <w:r>
        <w:rPr>
          <w:color w:val="231F20"/>
          <w:spacing w:val="-8"/>
          <w:sz w:val="19"/>
          <w:vertAlign w:val="baseline"/>
        </w:rPr>
        <w:t> </w:t>
      </w:r>
      <w:r>
        <w:rPr>
          <w:color w:val="231F20"/>
          <w:sz w:val="19"/>
          <w:vertAlign w:val="baseline"/>
        </w:rPr>
        <w:t>of</w:t>
      </w:r>
      <w:r>
        <w:rPr>
          <w:color w:val="231F20"/>
          <w:spacing w:val="-9"/>
          <w:sz w:val="19"/>
          <w:vertAlign w:val="baseline"/>
        </w:rPr>
        <w:t> </w:t>
      </w:r>
      <w:r>
        <w:rPr>
          <w:color w:val="231F20"/>
          <w:sz w:val="19"/>
          <w:vertAlign w:val="baseline"/>
        </w:rPr>
        <w:t>weaker</w:t>
      </w:r>
      <w:r>
        <w:rPr>
          <w:color w:val="231F20"/>
          <w:spacing w:val="-8"/>
          <w:sz w:val="19"/>
          <w:vertAlign w:val="baseline"/>
        </w:rPr>
        <w:t> </w:t>
      </w:r>
      <w:r>
        <w:rPr>
          <w:color w:val="231F20"/>
          <w:sz w:val="19"/>
          <w:vertAlign w:val="baseline"/>
        </w:rPr>
        <w:t>party </w:t>
      </w:r>
      <w:r>
        <w:rPr>
          <w:color w:val="231F20"/>
          <w:spacing w:val="-8"/>
          <w:sz w:val="19"/>
          <w:vertAlign w:val="baseline"/>
        </w:rPr>
        <w:t>protection.</w:t>
      </w:r>
      <w:r>
        <w:rPr>
          <w:color w:val="231F20"/>
          <w:spacing w:val="-1"/>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aim</w:t>
      </w:r>
      <w:r>
        <w:rPr>
          <w:color w:val="231F20"/>
          <w:spacing w:val="-1"/>
          <w:sz w:val="19"/>
          <w:vertAlign w:val="baseline"/>
        </w:rPr>
        <w:t> </w:t>
      </w:r>
      <w:r>
        <w:rPr>
          <w:color w:val="231F20"/>
          <w:spacing w:val="-8"/>
          <w:sz w:val="19"/>
          <w:vertAlign w:val="baseline"/>
        </w:rPr>
        <w:t>of</w:t>
      </w:r>
      <w:r>
        <w:rPr>
          <w:color w:val="231F20"/>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UCTD</w:t>
      </w:r>
      <w:r>
        <w:rPr>
          <w:color w:val="231F20"/>
          <w:sz w:val="19"/>
          <w:vertAlign w:val="baseline"/>
        </w:rPr>
        <w:t> </w:t>
      </w:r>
      <w:r>
        <w:rPr>
          <w:color w:val="231F20"/>
          <w:spacing w:val="-8"/>
          <w:sz w:val="19"/>
          <w:vertAlign w:val="baseline"/>
        </w:rPr>
        <w:t>is</w:t>
      </w:r>
      <w:r>
        <w:rPr>
          <w:color w:val="231F20"/>
          <w:spacing w:val="-1"/>
          <w:sz w:val="19"/>
          <w:vertAlign w:val="baseline"/>
        </w:rPr>
        <w:t> </w:t>
      </w:r>
      <w:r>
        <w:rPr>
          <w:color w:val="231F20"/>
          <w:spacing w:val="-8"/>
          <w:sz w:val="19"/>
          <w:vertAlign w:val="baseline"/>
        </w:rPr>
        <w:t>to</w:t>
      </w:r>
      <w:r>
        <w:rPr>
          <w:color w:val="231F20"/>
          <w:spacing w:val="-1"/>
          <w:sz w:val="19"/>
          <w:vertAlign w:val="baseline"/>
        </w:rPr>
        <w:t> </w:t>
      </w:r>
      <w:r>
        <w:rPr>
          <w:color w:val="231F20"/>
          <w:spacing w:val="-8"/>
          <w:sz w:val="19"/>
          <w:vertAlign w:val="baseline"/>
        </w:rPr>
        <w:t>protect</w:t>
      </w:r>
      <w:r>
        <w:rPr>
          <w:color w:val="231F20"/>
          <w:spacing w:val="-1"/>
          <w:sz w:val="19"/>
          <w:vertAlign w:val="baseline"/>
        </w:rPr>
        <w:t> </w:t>
      </w:r>
      <w:r>
        <w:rPr>
          <w:color w:val="231F20"/>
          <w:spacing w:val="-8"/>
          <w:sz w:val="19"/>
          <w:vertAlign w:val="baseline"/>
        </w:rPr>
        <w:t>consumers</w:t>
      </w:r>
      <w:r>
        <w:rPr>
          <w:color w:val="231F20"/>
          <w:spacing w:val="-2"/>
          <w:sz w:val="19"/>
          <w:vertAlign w:val="baseline"/>
        </w:rPr>
        <w:t> </w:t>
      </w:r>
      <w:r>
        <w:rPr>
          <w:color w:val="231F20"/>
          <w:spacing w:val="-8"/>
          <w:sz w:val="19"/>
          <w:vertAlign w:val="baseline"/>
        </w:rPr>
        <w:t>from</w:t>
      </w:r>
      <w:r>
        <w:rPr>
          <w:color w:val="231F20"/>
          <w:spacing w:val="-1"/>
          <w:sz w:val="19"/>
          <w:vertAlign w:val="baseline"/>
        </w:rPr>
        <w:t> </w:t>
      </w:r>
      <w:r>
        <w:rPr>
          <w:color w:val="231F20"/>
          <w:spacing w:val="-8"/>
          <w:sz w:val="19"/>
          <w:vertAlign w:val="baseline"/>
        </w:rPr>
        <w:t>unfavourable</w:t>
      </w:r>
      <w:r>
        <w:rPr>
          <w:color w:val="231F20"/>
          <w:sz w:val="19"/>
          <w:vertAlign w:val="baseline"/>
        </w:rPr>
        <w:t> </w:t>
      </w:r>
      <w:r>
        <w:rPr>
          <w:color w:val="231F20"/>
          <w:spacing w:val="-8"/>
          <w:sz w:val="19"/>
          <w:vertAlign w:val="baseline"/>
        </w:rPr>
        <w:t>contractual</w:t>
      </w:r>
      <w:r>
        <w:rPr>
          <w:color w:val="231F20"/>
          <w:sz w:val="19"/>
          <w:vertAlign w:val="baseline"/>
        </w:rPr>
        <w:t> </w:t>
      </w:r>
      <w:r>
        <w:rPr>
          <w:color w:val="231F20"/>
          <w:spacing w:val="-10"/>
          <w:sz w:val="19"/>
          <w:vertAlign w:val="baseline"/>
        </w:rPr>
        <w:t>terms,</w:t>
      </w:r>
      <w:r>
        <w:rPr>
          <w:color w:val="231F20"/>
          <w:sz w:val="19"/>
          <w:vertAlign w:val="baseline"/>
        </w:rPr>
        <w:t> </w:t>
      </w:r>
      <w:r>
        <w:rPr>
          <w:color w:val="231F20"/>
          <w:spacing w:val="-10"/>
          <w:sz w:val="19"/>
          <w:vertAlign w:val="baseline"/>
        </w:rPr>
        <w:t>and</w:t>
      </w:r>
      <w:r>
        <w:rPr>
          <w:color w:val="231F20"/>
          <w:sz w:val="19"/>
          <w:vertAlign w:val="baseline"/>
        </w:rPr>
        <w:t> </w:t>
      </w:r>
      <w:r>
        <w:rPr>
          <w:color w:val="231F20"/>
          <w:spacing w:val="-10"/>
          <w:sz w:val="19"/>
          <w:vertAlign w:val="baseline"/>
        </w:rPr>
        <w:t>their</w:t>
      </w:r>
      <w:r>
        <w:rPr>
          <w:color w:val="231F20"/>
          <w:sz w:val="19"/>
          <w:vertAlign w:val="baseline"/>
        </w:rPr>
        <w:t> </w:t>
      </w:r>
      <w:r>
        <w:rPr>
          <w:color w:val="231F20"/>
          <w:spacing w:val="-10"/>
          <w:sz w:val="19"/>
          <w:vertAlign w:val="baseline"/>
        </w:rPr>
        <w:t>undesirable</w:t>
      </w:r>
      <w:r>
        <w:rPr>
          <w:color w:val="231F20"/>
          <w:sz w:val="19"/>
          <w:vertAlign w:val="baseline"/>
        </w:rPr>
        <w:t> </w:t>
      </w:r>
      <w:r>
        <w:rPr>
          <w:color w:val="231F20"/>
          <w:spacing w:val="-10"/>
          <w:sz w:val="19"/>
          <w:vertAlign w:val="baseline"/>
        </w:rPr>
        <w:t>consequences</w:t>
      </w:r>
      <w:r>
        <w:rPr>
          <w:color w:val="231F20"/>
          <w:sz w:val="19"/>
          <w:vertAlign w:val="baseline"/>
        </w:rPr>
        <w:t> </w:t>
      </w:r>
      <w:r>
        <w:rPr>
          <w:color w:val="231F20"/>
          <w:spacing w:val="-10"/>
          <w:sz w:val="19"/>
          <w:vertAlign w:val="baseline"/>
        </w:rPr>
        <w:t>that</w:t>
      </w:r>
      <w:r>
        <w:rPr>
          <w:color w:val="231F20"/>
          <w:sz w:val="19"/>
          <w:vertAlign w:val="baseline"/>
        </w:rPr>
        <w:t> </w:t>
      </w:r>
      <w:r>
        <w:rPr>
          <w:color w:val="231F20"/>
          <w:spacing w:val="-10"/>
          <w:sz w:val="19"/>
          <w:vertAlign w:val="baseline"/>
        </w:rPr>
        <w:t>result</w:t>
      </w:r>
      <w:r>
        <w:rPr>
          <w:color w:val="231F20"/>
          <w:sz w:val="19"/>
          <w:vertAlign w:val="baseline"/>
        </w:rPr>
        <w:t> </w:t>
      </w:r>
      <w:r>
        <w:rPr>
          <w:color w:val="231F20"/>
          <w:spacing w:val="-10"/>
          <w:sz w:val="19"/>
          <w:vertAlign w:val="baseline"/>
        </w:rPr>
        <w:t>from</w:t>
      </w:r>
      <w:r>
        <w:rPr>
          <w:color w:val="231F20"/>
          <w:sz w:val="19"/>
          <w:vertAlign w:val="baseline"/>
        </w:rPr>
        <w:t> </w:t>
      </w:r>
      <w:r>
        <w:rPr>
          <w:color w:val="231F20"/>
          <w:spacing w:val="-10"/>
          <w:sz w:val="19"/>
          <w:vertAlign w:val="baseline"/>
        </w:rPr>
        <w:t>their</w:t>
      </w:r>
      <w:r>
        <w:rPr>
          <w:color w:val="231F20"/>
          <w:sz w:val="19"/>
          <w:vertAlign w:val="baseline"/>
        </w:rPr>
        <w:t> </w:t>
      </w:r>
      <w:r>
        <w:rPr>
          <w:color w:val="231F20"/>
          <w:spacing w:val="-10"/>
          <w:sz w:val="19"/>
          <w:vertAlign w:val="baseline"/>
        </w:rPr>
        <w:t>weaker</w:t>
      </w:r>
      <w:r>
        <w:rPr>
          <w:color w:val="231F20"/>
          <w:sz w:val="19"/>
          <w:vertAlign w:val="baseline"/>
        </w:rPr>
        <w:t> </w:t>
      </w:r>
      <w:r>
        <w:rPr>
          <w:color w:val="231F20"/>
          <w:spacing w:val="-10"/>
          <w:sz w:val="19"/>
          <w:vertAlign w:val="baseline"/>
        </w:rPr>
        <w:t>position</w:t>
      </w:r>
      <w:r>
        <w:rPr>
          <w:color w:val="231F20"/>
          <w:sz w:val="19"/>
          <w:vertAlign w:val="baseline"/>
        </w:rPr>
        <w:t> </w:t>
      </w:r>
      <w:r>
        <w:rPr>
          <w:color w:val="231F20"/>
          <w:spacing w:val="-10"/>
          <w:sz w:val="19"/>
          <w:vertAlign w:val="baseline"/>
        </w:rPr>
        <w:t>towards</w:t>
      </w:r>
      <w:r>
        <w:rPr>
          <w:color w:val="231F20"/>
          <w:sz w:val="19"/>
          <w:vertAlign w:val="baseline"/>
        </w:rPr>
        <w:t> </w:t>
      </w:r>
      <w:r>
        <w:rPr>
          <w:color w:val="231F20"/>
          <w:spacing w:val="-8"/>
          <w:sz w:val="19"/>
          <w:vertAlign w:val="baseline"/>
        </w:rPr>
        <w:t>the</w:t>
      </w:r>
      <w:r>
        <w:rPr>
          <w:color w:val="231F20"/>
          <w:spacing w:val="-4"/>
          <w:sz w:val="19"/>
          <w:vertAlign w:val="baseline"/>
        </w:rPr>
        <w:t> </w:t>
      </w:r>
      <w:r>
        <w:rPr>
          <w:color w:val="231F20"/>
          <w:spacing w:val="-8"/>
          <w:sz w:val="19"/>
          <w:vertAlign w:val="baseline"/>
        </w:rPr>
        <w:t>business,</w:t>
      </w:r>
      <w:r>
        <w:rPr>
          <w:color w:val="231F20"/>
          <w:spacing w:val="-3"/>
          <w:sz w:val="19"/>
          <w:vertAlign w:val="baseline"/>
        </w:rPr>
        <w:t> </w:t>
      </w:r>
      <w:r>
        <w:rPr>
          <w:color w:val="231F20"/>
          <w:spacing w:val="-8"/>
          <w:sz w:val="19"/>
          <w:vertAlign w:val="baseline"/>
        </w:rPr>
        <w:t>both</w:t>
      </w:r>
      <w:r>
        <w:rPr>
          <w:color w:val="231F20"/>
          <w:spacing w:val="-4"/>
          <w:sz w:val="19"/>
          <w:vertAlign w:val="baseline"/>
        </w:rPr>
        <w:t> </w:t>
      </w:r>
      <w:r>
        <w:rPr>
          <w:color w:val="231F20"/>
          <w:spacing w:val="-8"/>
          <w:sz w:val="19"/>
          <w:vertAlign w:val="baseline"/>
        </w:rPr>
        <w:t>in</w:t>
      </w:r>
      <w:r>
        <w:rPr>
          <w:color w:val="231F20"/>
          <w:spacing w:val="-3"/>
          <w:sz w:val="19"/>
          <w:vertAlign w:val="baseline"/>
        </w:rPr>
        <w:t> </w:t>
      </w:r>
      <w:r>
        <w:rPr>
          <w:color w:val="231F20"/>
          <w:spacing w:val="-8"/>
          <w:sz w:val="19"/>
          <w:vertAlign w:val="baseline"/>
        </w:rPr>
        <w:t>terms</w:t>
      </w:r>
      <w:r>
        <w:rPr>
          <w:color w:val="231F20"/>
          <w:spacing w:val="-4"/>
          <w:sz w:val="19"/>
          <w:vertAlign w:val="baseline"/>
        </w:rPr>
        <w:t> </w:t>
      </w:r>
      <w:r>
        <w:rPr>
          <w:color w:val="231F20"/>
          <w:spacing w:val="-8"/>
          <w:sz w:val="19"/>
          <w:vertAlign w:val="baseline"/>
        </w:rPr>
        <w:t>of</w:t>
      </w:r>
      <w:r>
        <w:rPr>
          <w:color w:val="231F20"/>
          <w:spacing w:val="-3"/>
          <w:sz w:val="19"/>
          <w:vertAlign w:val="baseline"/>
        </w:rPr>
        <w:t> </w:t>
      </w:r>
      <w:r>
        <w:rPr>
          <w:color w:val="231F20"/>
          <w:spacing w:val="-8"/>
          <w:sz w:val="19"/>
          <w:vertAlign w:val="baseline"/>
        </w:rPr>
        <w:t>their</w:t>
      </w:r>
      <w:r>
        <w:rPr>
          <w:color w:val="231F20"/>
          <w:spacing w:val="-4"/>
          <w:sz w:val="19"/>
          <w:vertAlign w:val="baseline"/>
        </w:rPr>
        <w:t> </w:t>
      </w:r>
      <w:r>
        <w:rPr>
          <w:color w:val="231F20"/>
          <w:spacing w:val="-8"/>
          <w:sz w:val="19"/>
          <w:vertAlign w:val="baseline"/>
        </w:rPr>
        <w:t>bargaining</w:t>
      </w:r>
      <w:r>
        <w:rPr>
          <w:color w:val="231F20"/>
          <w:spacing w:val="-3"/>
          <w:sz w:val="19"/>
          <w:vertAlign w:val="baseline"/>
        </w:rPr>
        <w:t> </w:t>
      </w:r>
      <w:r>
        <w:rPr>
          <w:color w:val="231F20"/>
          <w:spacing w:val="-8"/>
          <w:sz w:val="19"/>
          <w:vertAlign w:val="baseline"/>
        </w:rPr>
        <w:t>power</w:t>
      </w:r>
      <w:r>
        <w:rPr>
          <w:color w:val="231F20"/>
          <w:spacing w:val="-4"/>
          <w:sz w:val="19"/>
          <w:vertAlign w:val="baseline"/>
        </w:rPr>
        <w:t> </w:t>
      </w:r>
      <w:r>
        <w:rPr>
          <w:color w:val="231F20"/>
          <w:spacing w:val="-8"/>
          <w:sz w:val="19"/>
          <w:vertAlign w:val="baseline"/>
        </w:rPr>
        <w:t>and</w:t>
      </w:r>
      <w:r>
        <w:rPr>
          <w:color w:val="231F20"/>
          <w:spacing w:val="-3"/>
          <w:sz w:val="19"/>
          <w:vertAlign w:val="baseline"/>
        </w:rPr>
        <w:t> </w:t>
      </w:r>
      <w:r>
        <w:rPr>
          <w:color w:val="231F20"/>
          <w:spacing w:val="-8"/>
          <w:sz w:val="19"/>
          <w:vertAlign w:val="baseline"/>
        </w:rPr>
        <w:t>their</w:t>
      </w:r>
      <w:r>
        <w:rPr>
          <w:color w:val="231F20"/>
          <w:spacing w:val="-4"/>
          <w:sz w:val="19"/>
          <w:vertAlign w:val="baseline"/>
        </w:rPr>
        <w:t> </w:t>
      </w:r>
      <w:r>
        <w:rPr>
          <w:color w:val="231F20"/>
          <w:spacing w:val="-8"/>
          <w:sz w:val="19"/>
          <w:vertAlign w:val="baseline"/>
        </w:rPr>
        <w:t>level</w:t>
      </w:r>
      <w:r>
        <w:rPr>
          <w:color w:val="231F20"/>
          <w:spacing w:val="-3"/>
          <w:sz w:val="19"/>
          <w:vertAlign w:val="baseline"/>
        </w:rPr>
        <w:t> </w:t>
      </w:r>
      <w:r>
        <w:rPr>
          <w:color w:val="231F20"/>
          <w:spacing w:val="-8"/>
          <w:sz w:val="19"/>
          <w:vertAlign w:val="baseline"/>
        </w:rPr>
        <w:t>of</w:t>
      </w:r>
      <w:r>
        <w:rPr>
          <w:color w:val="231F20"/>
          <w:spacing w:val="-3"/>
          <w:sz w:val="19"/>
          <w:vertAlign w:val="baseline"/>
        </w:rPr>
        <w:t> </w:t>
      </w:r>
      <w:r>
        <w:rPr>
          <w:color w:val="231F20"/>
          <w:spacing w:val="-8"/>
          <w:sz w:val="19"/>
          <w:vertAlign w:val="baseline"/>
        </w:rPr>
        <w:t>knowledge.</w:t>
      </w:r>
      <w:r>
        <w:rPr>
          <w:color w:val="231F20"/>
          <w:spacing w:val="-8"/>
          <w:sz w:val="19"/>
          <w:vertAlign w:val="superscript"/>
        </w:rPr>
        <w:t>147</w:t>
      </w:r>
      <w:r>
        <w:rPr>
          <w:color w:val="231F20"/>
          <w:spacing w:val="-4"/>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application</w:t>
      </w:r>
      <w:r>
        <w:rPr>
          <w:color w:val="231F20"/>
          <w:sz w:val="19"/>
          <w:vertAlign w:val="baseline"/>
        </w:rPr>
        <w:t> </w:t>
      </w:r>
      <w:r>
        <w:rPr>
          <w:color w:val="231F20"/>
          <w:spacing w:val="-8"/>
          <w:sz w:val="19"/>
          <w:vertAlign w:val="baseline"/>
        </w:rPr>
        <w:t>of</w:t>
      </w:r>
      <w:r>
        <w:rPr>
          <w:color w:val="231F20"/>
          <w:spacing w:val="6"/>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provisions</w:t>
      </w:r>
      <w:r>
        <w:rPr>
          <w:color w:val="231F20"/>
          <w:sz w:val="19"/>
          <w:vertAlign w:val="baseline"/>
        </w:rPr>
        <w:t> </w:t>
      </w:r>
      <w:r>
        <w:rPr>
          <w:color w:val="231F20"/>
          <w:spacing w:val="-8"/>
          <w:sz w:val="19"/>
          <w:vertAlign w:val="baseline"/>
        </w:rPr>
        <w:t>of</w:t>
      </w:r>
      <w:r>
        <w:rPr>
          <w:color w:val="231F20"/>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UCTD</w:t>
      </w:r>
      <w:r>
        <w:rPr>
          <w:color w:val="231F20"/>
          <w:sz w:val="19"/>
          <w:vertAlign w:val="baseline"/>
        </w:rPr>
        <w:t> </w:t>
      </w:r>
      <w:r>
        <w:rPr>
          <w:color w:val="231F20"/>
          <w:spacing w:val="-8"/>
          <w:sz w:val="19"/>
          <w:vertAlign w:val="baseline"/>
        </w:rPr>
        <w:t>should</w:t>
      </w:r>
      <w:r>
        <w:rPr>
          <w:color w:val="231F20"/>
          <w:sz w:val="19"/>
          <w:vertAlign w:val="baseline"/>
        </w:rPr>
        <w:t> </w:t>
      </w:r>
      <w:r>
        <w:rPr>
          <w:color w:val="231F20"/>
          <w:spacing w:val="-8"/>
          <w:sz w:val="19"/>
          <w:vertAlign w:val="baseline"/>
        </w:rPr>
        <w:t>not</w:t>
      </w:r>
      <w:r>
        <w:rPr>
          <w:color w:val="231F20"/>
          <w:sz w:val="19"/>
          <w:vertAlign w:val="baseline"/>
        </w:rPr>
        <w:t> </w:t>
      </w:r>
      <w:r>
        <w:rPr>
          <w:color w:val="231F20"/>
          <w:spacing w:val="-8"/>
          <w:sz w:val="19"/>
          <w:vertAlign w:val="baseline"/>
        </w:rPr>
        <w:t>result</w:t>
      </w:r>
      <w:r>
        <w:rPr>
          <w:color w:val="231F20"/>
          <w:sz w:val="19"/>
          <w:vertAlign w:val="baseline"/>
        </w:rPr>
        <w:t> </w:t>
      </w:r>
      <w:r>
        <w:rPr>
          <w:color w:val="231F20"/>
          <w:spacing w:val="-8"/>
          <w:sz w:val="19"/>
          <w:vertAlign w:val="baseline"/>
        </w:rPr>
        <w:t>in</w:t>
      </w:r>
      <w:r>
        <w:rPr>
          <w:color w:val="231F20"/>
          <w:sz w:val="19"/>
          <w:vertAlign w:val="baseline"/>
        </w:rPr>
        <w:t> </w:t>
      </w:r>
      <w:r>
        <w:rPr>
          <w:color w:val="231F20"/>
          <w:spacing w:val="-8"/>
          <w:sz w:val="19"/>
          <w:vertAlign w:val="baseline"/>
        </w:rPr>
        <w:t>worsening</w:t>
      </w:r>
      <w:r>
        <w:rPr>
          <w:color w:val="231F20"/>
          <w:sz w:val="19"/>
          <w:vertAlign w:val="baseline"/>
        </w:rPr>
        <w:t> </w:t>
      </w:r>
      <w:r>
        <w:rPr>
          <w:color w:val="231F20"/>
          <w:spacing w:val="-8"/>
          <w:sz w:val="19"/>
          <w:vertAlign w:val="baseline"/>
        </w:rPr>
        <w:t>the</w:t>
      </w:r>
      <w:r>
        <w:rPr>
          <w:color w:val="231F20"/>
          <w:sz w:val="19"/>
          <w:vertAlign w:val="baseline"/>
        </w:rPr>
        <w:t> </w:t>
      </w:r>
      <w:r>
        <w:rPr>
          <w:color w:val="231F20"/>
          <w:spacing w:val="-8"/>
          <w:sz w:val="19"/>
          <w:vertAlign w:val="baseline"/>
        </w:rPr>
        <w:t>position</w:t>
      </w:r>
      <w:r>
        <w:rPr>
          <w:color w:val="231F20"/>
          <w:sz w:val="19"/>
          <w:vertAlign w:val="baseline"/>
        </w:rPr>
        <w:t> </w:t>
      </w:r>
      <w:r>
        <w:rPr>
          <w:color w:val="231F20"/>
          <w:spacing w:val="-8"/>
          <w:sz w:val="19"/>
          <w:vertAlign w:val="baseline"/>
        </w:rPr>
        <w:t>of</w:t>
      </w:r>
      <w:r>
        <w:rPr>
          <w:color w:val="231F20"/>
          <w:sz w:val="19"/>
          <w:vertAlign w:val="baseline"/>
        </w:rPr>
        <w:t> </w:t>
      </w:r>
      <w:r>
        <w:rPr>
          <w:color w:val="231F20"/>
          <w:spacing w:val="-8"/>
          <w:sz w:val="19"/>
          <w:vertAlign w:val="baseline"/>
        </w:rPr>
        <w:t>the</w:t>
      </w:r>
      <w:r>
        <w:rPr>
          <w:color w:val="231F20"/>
          <w:spacing w:val="-12"/>
          <w:sz w:val="19"/>
          <w:vertAlign w:val="baseline"/>
        </w:rPr>
        <w:t> </w:t>
      </w:r>
      <w:r>
        <w:rPr>
          <w:color w:val="231F20"/>
          <w:spacing w:val="-8"/>
          <w:sz w:val="19"/>
          <w:vertAlign w:val="baseline"/>
        </w:rPr>
        <w:t>consumer</w:t>
      </w:r>
      <w:r>
        <w:rPr>
          <w:color w:val="231F20"/>
          <w:spacing w:val="-13"/>
          <w:sz w:val="19"/>
          <w:vertAlign w:val="baseline"/>
        </w:rPr>
        <w:t> </w:t>
      </w:r>
      <w:r>
        <w:rPr>
          <w:color w:val="231F20"/>
          <w:spacing w:val="-8"/>
          <w:sz w:val="19"/>
          <w:vertAlign w:val="baseline"/>
        </w:rPr>
        <w:t>as,</w:t>
      </w:r>
      <w:r>
        <w:rPr>
          <w:color w:val="231F20"/>
          <w:spacing w:val="-12"/>
          <w:sz w:val="19"/>
          <w:vertAlign w:val="baseline"/>
        </w:rPr>
        <w:t> </w:t>
      </w:r>
      <w:r>
        <w:rPr>
          <w:color w:val="231F20"/>
          <w:spacing w:val="-8"/>
          <w:sz w:val="19"/>
          <w:vertAlign w:val="baseline"/>
        </w:rPr>
        <w:t>according</w:t>
      </w:r>
      <w:r>
        <w:rPr>
          <w:color w:val="231F20"/>
          <w:spacing w:val="-12"/>
          <w:sz w:val="19"/>
          <w:vertAlign w:val="baseline"/>
        </w:rPr>
        <w:t> </w:t>
      </w:r>
      <w:r>
        <w:rPr>
          <w:color w:val="231F20"/>
          <w:spacing w:val="-8"/>
          <w:sz w:val="19"/>
          <w:vertAlign w:val="baseline"/>
        </w:rPr>
        <w:t>to</w:t>
      </w:r>
      <w:r>
        <w:rPr>
          <w:color w:val="231F20"/>
          <w:spacing w:val="-13"/>
          <w:sz w:val="19"/>
          <w:vertAlign w:val="baseline"/>
        </w:rPr>
        <w:t> </w:t>
      </w:r>
      <w:r>
        <w:rPr>
          <w:color w:val="231F20"/>
          <w:spacing w:val="-8"/>
          <w:sz w:val="19"/>
          <w:vertAlign w:val="baseline"/>
        </w:rPr>
        <w:t>the</w:t>
      </w:r>
      <w:r>
        <w:rPr>
          <w:color w:val="231F20"/>
          <w:spacing w:val="-13"/>
          <w:sz w:val="19"/>
          <w:vertAlign w:val="baseline"/>
        </w:rPr>
        <w:t> </w:t>
      </w:r>
      <w:r>
        <w:rPr>
          <w:color w:val="231F20"/>
          <w:spacing w:val="-8"/>
          <w:sz w:val="19"/>
          <w:vertAlign w:val="baseline"/>
        </w:rPr>
        <w:t>facts</w:t>
      </w:r>
      <w:r>
        <w:rPr>
          <w:color w:val="231F20"/>
          <w:spacing w:val="-13"/>
          <w:sz w:val="19"/>
          <w:vertAlign w:val="baseline"/>
        </w:rPr>
        <w:t> </w:t>
      </w:r>
      <w:r>
        <w:rPr>
          <w:color w:val="231F20"/>
          <w:spacing w:val="-8"/>
          <w:sz w:val="19"/>
          <w:vertAlign w:val="baseline"/>
        </w:rPr>
        <w:t>in</w:t>
      </w:r>
      <w:r>
        <w:rPr>
          <w:color w:val="231F20"/>
          <w:spacing w:val="-13"/>
          <w:sz w:val="19"/>
          <w:vertAlign w:val="baseline"/>
        </w:rPr>
        <w:t> </w:t>
      </w:r>
      <w:r>
        <w:rPr>
          <w:i/>
          <w:color w:val="231F20"/>
          <w:spacing w:val="-8"/>
          <w:sz w:val="19"/>
          <w:vertAlign w:val="baseline"/>
        </w:rPr>
        <w:t>Kásler</w:t>
      </w:r>
      <w:r>
        <w:rPr>
          <w:color w:val="231F20"/>
          <w:spacing w:val="-8"/>
          <w:sz w:val="19"/>
          <w:vertAlign w:val="baseline"/>
        </w:rPr>
        <w:t>,</w:t>
      </w:r>
      <w:r>
        <w:rPr>
          <w:color w:val="231F20"/>
          <w:spacing w:val="-12"/>
          <w:sz w:val="19"/>
          <w:vertAlign w:val="baseline"/>
        </w:rPr>
        <w:t> </w:t>
      </w:r>
      <w:r>
        <w:rPr>
          <w:color w:val="231F20"/>
          <w:spacing w:val="-8"/>
          <w:sz w:val="19"/>
          <w:vertAlign w:val="baseline"/>
        </w:rPr>
        <w:t>would</w:t>
      </w:r>
      <w:r>
        <w:rPr>
          <w:color w:val="231F20"/>
          <w:spacing w:val="-12"/>
          <w:sz w:val="19"/>
          <w:vertAlign w:val="baseline"/>
        </w:rPr>
        <w:t> </w:t>
      </w:r>
      <w:r>
        <w:rPr>
          <w:color w:val="231F20"/>
          <w:spacing w:val="-8"/>
          <w:sz w:val="19"/>
          <w:vertAlign w:val="baseline"/>
        </w:rPr>
        <w:t>happen</w:t>
      </w:r>
      <w:r>
        <w:rPr>
          <w:color w:val="231F20"/>
          <w:spacing w:val="-13"/>
          <w:sz w:val="19"/>
          <w:vertAlign w:val="baseline"/>
        </w:rPr>
        <w:t> </w:t>
      </w:r>
      <w:r>
        <w:rPr>
          <w:color w:val="231F20"/>
          <w:spacing w:val="-8"/>
          <w:sz w:val="19"/>
          <w:vertAlign w:val="baseline"/>
        </w:rPr>
        <w:t>by</w:t>
      </w:r>
      <w:r>
        <w:rPr>
          <w:color w:val="231F20"/>
          <w:spacing w:val="-12"/>
          <w:sz w:val="19"/>
          <w:vertAlign w:val="baseline"/>
        </w:rPr>
        <w:t> </w:t>
      </w:r>
      <w:r>
        <w:rPr>
          <w:color w:val="231F20"/>
          <w:spacing w:val="-8"/>
          <w:sz w:val="19"/>
          <w:vertAlign w:val="baseline"/>
        </w:rPr>
        <w:t>annulling</w:t>
      </w:r>
      <w:r>
        <w:rPr>
          <w:color w:val="231F20"/>
          <w:spacing w:val="-12"/>
          <w:sz w:val="19"/>
          <w:vertAlign w:val="baseline"/>
        </w:rPr>
        <w:t> </w:t>
      </w:r>
      <w:r>
        <w:rPr>
          <w:color w:val="231F20"/>
          <w:spacing w:val="-8"/>
          <w:sz w:val="19"/>
          <w:vertAlign w:val="baseline"/>
        </w:rPr>
        <w:t>the</w:t>
      </w:r>
      <w:r>
        <w:rPr>
          <w:color w:val="231F20"/>
          <w:spacing w:val="-13"/>
          <w:sz w:val="19"/>
          <w:vertAlign w:val="baseline"/>
        </w:rPr>
        <w:t> </w:t>
      </w:r>
      <w:r>
        <w:rPr>
          <w:color w:val="231F20"/>
          <w:spacing w:val="-8"/>
          <w:sz w:val="19"/>
          <w:vertAlign w:val="baseline"/>
        </w:rPr>
        <w:t>contract.</w:t>
      </w:r>
    </w:p>
    <w:p>
      <w:pPr>
        <w:pStyle w:val="ListParagraph"/>
        <w:numPr>
          <w:ilvl w:val="0"/>
          <w:numId w:val="4"/>
        </w:numPr>
        <w:tabs>
          <w:tab w:pos="1324" w:val="left" w:leader="none"/>
        </w:tabs>
        <w:spacing w:line="288" w:lineRule="auto" w:before="115" w:after="0"/>
        <w:ind w:left="871" w:right="869" w:firstLine="0"/>
        <w:jc w:val="both"/>
        <w:rPr>
          <w:sz w:val="19"/>
        </w:rPr>
      </w:pPr>
      <w:r>
        <w:rPr>
          <w:color w:val="231F20"/>
          <w:sz w:val="19"/>
        </w:rPr>
        <w:t>In addition to the principle of weaker party protection, the ruling in </w:t>
      </w:r>
      <w:r>
        <w:rPr>
          <w:i/>
          <w:color w:val="231F20"/>
          <w:sz w:val="19"/>
        </w:rPr>
        <w:t>Kásler</w:t>
      </w:r>
      <w:r>
        <w:rPr>
          <w:i/>
          <w:color w:val="231F20"/>
          <w:sz w:val="19"/>
        </w:rPr>
        <w:t> </w:t>
      </w:r>
      <w:r>
        <w:rPr>
          <w:color w:val="231F20"/>
          <w:sz w:val="19"/>
        </w:rPr>
        <w:t>interacts with the principle of party equality, as an aim of Article 6(1) UCTD. The integration</w:t>
      </w:r>
      <w:r>
        <w:rPr>
          <w:color w:val="231F20"/>
          <w:spacing w:val="-6"/>
          <w:sz w:val="19"/>
        </w:rPr>
        <w:t> </w:t>
      </w:r>
      <w:r>
        <w:rPr>
          <w:color w:val="231F20"/>
          <w:sz w:val="19"/>
        </w:rPr>
        <w:t>of</w:t>
      </w:r>
      <w:r>
        <w:rPr>
          <w:color w:val="231F20"/>
          <w:spacing w:val="-4"/>
          <w:sz w:val="19"/>
        </w:rPr>
        <w:t> </w:t>
      </w:r>
      <w:r>
        <w:rPr>
          <w:color w:val="231F20"/>
          <w:sz w:val="19"/>
        </w:rPr>
        <w:t>the</w:t>
      </w:r>
      <w:r>
        <w:rPr>
          <w:color w:val="231F20"/>
          <w:spacing w:val="-6"/>
          <w:sz w:val="19"/>
        </w:rPr>
        <w:t> </w:t>
      </w:r>
      <w:r>
        <w:rPr>
          <w:color w:val="231F20"/>
          <w:sz w:val="19"/>
        </w:rPr>
        <w:t>contract</w:t>
      </w:r>
      <w:r>
        <w:rPr>
          <w:color w:val="231F20"/>
          <w:spacing w:val="-6"/>
          <w:sz w:val="19"/>
        </w:rPr>
        <w:t> </w:t>
      </w:r>
      <w:r>
        <w:rPr>
          <w:color w:val="231F20"/>
          <w:sz w:val="19"/>
        </w:rPr>
        <w:t>with</w:t>
      </w:r>
      <w:r>
        <w:rPr>
          <w:color w:val="231F20"/>
          <w:spacing w:val="-6"/>
          <w:sz w:val="19"/>
        </w:rPr>
        <w:t> </w:t>
      </w:r>
      <w:r>
        <w:rPr>
          <w:color w:val="231F20"/>
          <w:sz w:val="19"/>
        </w:rPr>
        <w:t>supplementary</w:t>
      </w:r>
      <w:r>
        <w:rPr>
          <w:color w:val="231F20"/>
          <w:spacing w:val="-6"/>
          <w:sz w:val="19"/>
        </w:rPr>
        <w:t> </w:t>
      </w:r>
      <w:r>
        <w:rPr>
          <w:color w:val="231F20"/>
          <w:sz w:val="19"/>
        </w:rPr>
        <w:t>provisions</w:t>
      </w:r>
      <w:r>
        <w:rPr>
          <w:color w:val="231F20"/>
          <w:spacing w:val="-6"/>
          <w:sz w:val="19"/>
        </w:rPr>
        <w:t> </w:t>
      </w:r>
      <w:r>
        <w:rPr>
          <w:color w:val="231F20"/>
          <w:sz w:val="19"/>
        </w:rPr>
        <w:t>of</w:t>
      </w:r>
      <w:r>
        <w:rPr>
          <w:color w:val="231F20"/>
          <w:spacing w:val="-7"/>
          <w:sz w:val="19"/>
        </w:rPr>
        <w:t> </w:t>
      </w:r>
      <w:r>
        <w:rPr>
          <w:color w:val="231F20"/>
          <w:sz w:val="19"/>
        </w:rPr>
        <w:t>national</w:t>
      </w:r>
      <w:r>
        <w:rPr>
          <w:color w:val="231F20"/>
          <w:spacing w:val="-6"/>
          <w:sz w:val="19"/>
        </w:rPr>
        <w:t> </w:t>
      </w:r>
      <w:r>
        <w:rPr>
          <w:color w:val="231F20"/>
          <w:sz w:val="19"/>
        </w:rPr>
        <w:t>law</w:t>
      </w:r>
      <w:r>
        <w:rPr>
          <w:color w:val="231F20"/>
          <w:spacing w:val="-6"/>
          <w:sz w:val="19"/>
        </w:rPr>
        <w:t> </w:t>
      </w:r>
      <w:r>
        <w:rPr>
          <w:color w:val="231F20"/>
          <w:sz w:val="19"/>
        </w:rPr>
        <w:t>seeks</w:t>
      </w:r>
      <w:r>
        <w:rPr>
          <w:color w:val="231F20"/>
          <w:spacing w:val="-6"/>
          <w:sz w:val="19"/>
        </w:rPr>
        <w:t> </w:t>
      </w:r>
      <w:r>
        <w:rPr>
          <w:color w:val="231F20"/>
          <w:sz w:val="19"/>
        </w:rPr>
        <w:t>to re-establish the balance between the rights and obligations of the parties.</w:t>
      </w:r>
      <w:r>
        <w:rPr>
          <w:color w:val="231F20"/>
          <w:sz w:val="19"/>
          <w:vertAlign w:val="superscript"/>
        </w:rPr>
        <w:t>148</w:t>
      </w:r>
      <w:r>
        <w:rPr>
          <w:color w:val="231F20"/>
          <w:sz w:val="19"/>
          <w:vertAlign w:val="baseline"/>
        </w:rPr>
        <w:t> </w:t>
      </w:r>
      <w:r>
        <w:rPr>
          <w:color w:val="231F20"/>
          <w:sz w:val="19"/>
          <w:vertAlign w:val="baseline"/>
        </w:rPr>
        <w:t>This could not be fully achieved according to the judgments following </w:t>
      </w:r>
      <w:r>
        <w:rPr>
          <w:i/>
          <w:color w:val="231F20"/>
          <w:sz w:val="19"/>
          <w:vertAlign w:val="baseline"/>
        </w:rPr>
        <w:t>Banco Español.</w:t>
      </w:r>
      <w:r>
        <w:rPr>
          <w:i/>
          <w:color w:val="231F2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use</w:t>
      </w:r>
      <w:r>
        <w:rPr>
          <w:color w:val="231F20"/>
          <w:spacing w:val="-10"/>
          <w:sz w:val="19"/>
          <w:vertAlign w:val="baseline"/>
        </w:rPr>
        <w:t> </w:t>
      </w:r>
      <w:r>
        <w:rPr>
          <w:color w:val="231F20"/>
          <w:sz w:val="19"/>
          <w:vertAlign w:val="baseline"/>
        </w:rPr>
        <w:t>of</w:t>
      </w:r>
      <w:r>
        <w:rPr>
          <w:color w:val="231F20"/>
          <w:spacing w:val="-10"/>
          <w:sz w:val="19"/>
          <w:vertAlign w:val="baseline"/>
        </w:rPr>
        <w:t> </w:t>
      </w:r>
      <w:r>
        <w:rPr>
          <w:color w:val="231F20"/>
          <w:sz w:val="19"/>
          <w:vertAlign w:val="baseline"/>
        </w:rPr>
        <w:t>unfair</w:t>
      </w:r>
      <w:r>
        <w:rPr>
          <w:color w:val="231F20"/>
          <w:spacing w:val="-10"/>
          <w:sz w:val="19"/>
          <w:vertAlign w:val="baseline"/>
        </w:rPr>
        <w:t> </w:t>
      </w:r>
      <w:r>
        <w:rPr>
          <w:color w:val="231F20"/>
          <w:sz w:val="19"/>
          <w:vertAlign w:val="baseline"/>
        </w:rPr>
        <w:t>terms</w:t>
      </w:r>
      <w:r>
        <w:rPr>
          <w:color w:val="231F20"/>
          <w:spacing w:val="-10"/>
          <w:sz w:val="19"/>
          <w:vertAlign w:val="baseline"/>
        </w:rPr>
        <w:t> </w:t>
      </w:r>
      <w:r>
        <w:rPr>
          <w:color w:val="231F20"/>
          <w:sz w:val="19"/>
          <w:vertAlign w:val="baseline"/>
        </w:rPr>
        <w:t>carries</w:t>
      </w:r>
      <w:r>
        <w:rPr>
          <w:color w:val="231F20"/>
          <w:spacing w:val="-10"/>
          <w:sz w:val="19"/>
          <w:vertAlign w:val="baseline"/>
        </w:rPr>
        <w:t> </w:t>
      </w:r>
      <w:r>
        <w:rPr>
          <w:color w:val="231F20"/>
          <w:sz w:val="19"/>
          <w:vertAlign w:val="baseline"/>
        </w:rPr>
        <w:t>a</w:t>
      </w:r>
      <w:r>
        <w:rPr>
          <w:color w:val="231F20"/>
          <w:spacing w:val="-10"/>
          <w:sz w:val="19"/>
          <w:vertAlign w:val="baseline"/>
        </w:rPr>
        <w:t> </w:t>
      </w:r>
      <w:r>
        <w:rPr>
          <w:color w:val="231F20"/>
          <w:sz w:val="19"/>
          <w:vertAlign w:val="baseline"/>
        </w:rPr>
        <w:t>sanction</w:t>
      </w:r>
      <w:r>
        <w:rPr>
          <w:color w:val="231F20"/>
          <w:spacing w:val="-10"/>
          <w:sz w:val="19"/>
          <w:vertAlign w:val="baseline"/>
        </w:rPr>
        <w:t> </w:t>
      </w:r>
      <w:r>
        <w:rPr>
          <w:color w:val="231F20"/>
          <w:sz w:val="19"/>
          <w:vertAlign w:val="baseline"/>
        </w:rPr>
        <w:t>to</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business,</w:t>
      </w:r>
      <w:r>
        <w:rPr>
          <w:color w:val="231F20"/>
          <w:sz w:val="19"/>
          <w:vertAlign w:val="superscript"/>
        </w:rPr>
        <w:t>149</w:t>
      </w:r>
      <w:r>
        <w:rPr>
          <w:color w:val="231F20"/>
          <w:spacing w:val="-10"/>
          <w:sz w:val="19"/>
          <w:vertAlign w:val="baseline"/>
        </w:rPr>
        <w:t> </w:t>
      </w:r>
      <w:r>
        <w:rPr>
          <w:color w:val="231F20"/>
          <w:sz w:val="19"/>
          <w:vertAlign w:val="baseline"/>
        </w:rPr>
        <w:t>whereby</w:t>
      </w:r>
      <w:r>
        <w:rPr>
          <w:color w:val="231F20"/>
          <w:spacing w:val="-10"/>
          <w:sz w:val="19"/>
          <w:vertAlign w:val="baseline"/>
        </w:rPr>
        <w:t> </w:t>
      </w:r>
      <w:r>
        <w:rPr>
          <w:color w:val="231F20"/>
          <w:sz w:val="19"/>
          <w:vertAlign w:val="baseline"/>
        </w:rPr>
        <w:t>it</w:t>
      </w:r>
      <w:r>
        <w:rPr>
          <w:color w:val="231F20"/>
          <w:spacing w:val="-10"/>
          <w:sz w:val="19"/>
          <w:vertAlign w:val="baseline"/>
        </w:rPr>
        <w:t> </w:t>
      </w:r>
      <w:r>
        <w:rPr>
          <w:color w:val="231F20"/>
          <w:sz w:val="19"/>
          <w:vertAlign w:val="baseline"/>
        </w:rPr>
        <w:t>cannot</w:t>
      </w:r>
      <w:r>
        <w:rPr>
          <w:color w:val="231F20"/>
          <w:spacing w:val="-10"/>
          <w:sz w:val="19"/>
          <w:vertAlign w:val="baseline"/>
        </w:rPr>
        <w:t> </w:t>
      </w:r>
      <w:r>
        <w:rPr>
          <w:color w:val="231F20"/>
          <w:sz w:val="19"/>
          <w:vertAlign w:val="baseline"/>
        </w:rPr>
        <w:t>rely on default rules to fill in the gap that the tainted term leaves.</w:t>
      </w:r>
      <w:r>
        <w:rPr>
          <w:color w:val="231F20"/>
          <w:sz w:val="19"/>
          <w:vertAlign w:val="superscript"/>
        </w:rPr>
        <w:t>150</w:t>
      </w:r>
    </w:p>
    <w:p>
      <w:pPr>
        <w:pStyle w:val="ListParagraph"/>
        <w:numPr>
          <w:ilvl w:val="0"/>
          <w:numId w:val="4"/>
        </w:numPr>
        <w:tabs>
          <w:tab w:pos="1324" w:val="left" w:leader="none"/>
        </w:tabs>
        <w:spacing w:line="288" w:lineRule="auto" w:before="120" w:after="0"/>
        <w:ind w:left="871" w:right="867" w:firstLine="0"/>
        <w:jc w:val="both"/>
        <w:rPr>
          <w:sz w:val="19"/>
        </w:rPr>
      </w:pPr>
      <w:r>
        <w:rPr>
          <w:color w:val="231F20"/>
          <w:spacing w:val="-6"/>
          <w:sz w:val="19"/>
        </w:rPr>
        <w:t>However,</w:t>
      </w:r>
      <w:r>
        <w:rPr>
          <w:color w:val="231F20"/>
          <w:spacing w:val="-3"/>
          <w:sz w:val="19"/>
        </w:rPr>
        <w:t> </w:t>
      </w:r>
      <w:r>
        <w:rPr>
          <w:color w:val="231F20"/>
          <w:spacing w:val="-6"/>
          <w:sz w:val="19"/>
        </w:rPr>
        <w:t>precisely</w:t>
      </w:r>
      <w:r>
        <w:rPr>
          <w:color w:val="231F20"/>
          <w:spacing w:val="-5"/>
          <w:sz w:val="19"/>
        </w:rPr>
        <w:t> </w:t>
      </w:r>
      <w:r>
        <w:rPr>
          <w:color w:val="231F20"/>
          <w:spacing w:val="-6"/>
          <w:sz w:val="19"/>
        </w:rPr>
        <w:t>because</w:t>
      </w:r>
      <w:r>
        <w:rPr>
          <w:color w:val="231F20"/>
          <w:spacing w:val="-2"/>
          <w:sz w:val="19"/>
        </w:rPr>
        <w:t> </w:t>
      </w:r>
      <w:r>
        <w:rPr>
          <w:color w:val="231F20"/>
          <w:spacing w:val="-6"/>
          <w:sz w:val="19"/>
        </w:rPr>
        <w:t>the</w:t>
      </w:r>
      <w:r>
        <w:rPr>
          <w:color w:val="231F20"/>
          <w:spacing w:val="-5"/>
          <w:sz w:val="19"/>
        </w:rPr>
        <w:t> </w:t>
      </w:r>
      <w:r>
        <w:rPr>
          <w:color w:val="231F20"/>
          <w:spacing w:val="-6"/>
          <w:sz w:val="19"/>
        </w:rPr>
        <w:t>ECJ</w:t>
      </w:r>
      <w:r>
        <w:rPr>
          <w:color w:val="231F20"/>
          <w:spacing w:val="-3"/>
          <w:sz w:val="19"/>
        </w:rPr>
        <w:t> </w:t>
      </w:r>
      <w:r>
        <w:rPr>
          <w:color w:val="231F20"/>
          <w:spacing w:val="-6"/>
          <w:sz w:val="19"/>
        </w:rPr>
        <w:t>allows</w:t>
      </w:r>
      <w:r>
        <w:rPr>
          <w:color w:val="231F20"/>
          <w:spacing w:val="-4"/>
          <w:sz w:val="19"/>
        </w:rPr>
        <w:t> </w:t>
      </w:r>
      <w:r>
        <w:rPr>
          <w:color w:val="231F20"/>
          <w:spacing w:val="-6"/>
          <w:sz w:val="19"/>
        </w:rPr>
        <w:t>the</w:t>
      </w:r>
      <w:r>
        <w:rPr>
          <w:color w:val="231F20"/>
          <w:spacing w:val="-5"/>
          <w:sz w:val="19"/>
        </w:rPr>
        <w:t> </w:t>
      </w:r>
      <w:r>
        <w:rPr>
          <w:color w:val="231F20"/>
          <w:spacing w:val="-6"/>
          <w:sz w:val="19"/>
        </w:rPr>
        <w:t>contract</w:t>
      </w:r>
      <w:r>
        <w:rPr>
          <w:color w:val="231F20"/>
          <w:spacing w:val="-2"/>
          <w:sz w:val="19"/>
        </w:rPr>
        <w:t> </w:t>
      </w:r>
      <w:r>
        <w:rPr>
          <w:color w:val="231F20"/>
          <w:spacing w:val="-6"/>
          <w:sz w:val="19"/>
        </w:rPr>
        <w:t>to</w:t>
      </w:r>
      <w:r>
        <w:rPr>
          <w:color w:val="231F20"/>
          <w:spacing w:val="-3"/>
          <w:sz w:val="19"/>
        </w:rPr>
        <w:t> </w:t>
      </w:r>
      <w:r>
        <w:rPr>
          <w:color w:val="231F20"/>
          <w:spacing w:val="-6"/>
          <w:sz w:val="19"/>
        </w:rPr>
        <w:t>be</w:t>
      </w:r>
      <w:r>
        <w:rPr>
          <w:color w:val="231F20"/>
          <w:spacing w:val="-2"/>
          <w:sz w:val="19"/>
        </w:rPr>
        <w:t> </w:t>
      </w:r>
      <w:r>
        <w:rPr>
          <w:color w:val="231F20"/>
          <w:spacing w:val="-6"/>
          <w:sz w:val="19"/>
        </w:rPr>
        <w:t>revised</w:t>
      </w:r>
      <w:r>
        <w:rPr>
          <w:color w:val="231F20"/>
          <w:spacing w:val="-5"/>
          <w:sz w:val="19"/>
        </w:rPr>
        <w:t> </w:t>
      </w:r>
      <w:r>
        <w:rPr>
          <w:color w:val="231F20"/>
          <w:spacing w:val="-6"/>
          <w:sz w:val="19"/>
        </w:rPr>
        <w:t>in</w:t>
      </w:r>
      <w:r>
        <w:rPr>
          <w:color w:val="231F20"/>
          <w:spacing w:val="-5"/>
          <w:sz w:val="19"/>
        </w:rPr>
        <w:t> </w:t>
      </w:r>
      <w:r>
        <w:rPr>
          <w:i/>
          <w:color w:val="231F20"/>
          <w:spacing w:val="-6"/>
          <w:sz w:val="19"/>
        </w:rPr>
        <w:t>Kásler</w:t>
      </w:r>
      <w:r>
        <w:rPr>
          <w:color w:val="231F20"/>
          <w:spacing w:val="-6"/>
          <w:sz w:val="19"/>
        </w:rPr>
        <w:t>,</w:t>
      </w:r>
      <w:r>
        <w:rPr>
          <w:color w:val="231F20"/>
          <w:spacing w:val="-3"/>
          <w:sz w:val="19"/>
        </w:rPr>
        <w:t> </w:t>
      </w:r>
      <w:r>
        <w:rPr>
          <w:color w:val="231F20"/>
          <w:spacing w:val="-6"/>
          <w:sz w:val="19"/>
        </w:rPr>
        <w:t>it</w:t>
      </w:r>
      <w:r>
        <w:rPr>
          <w:color w:val="231F20"/>
          <w:sz w:val="19"/>
        </w:rPr>
        <w:t> </w:t>
      </w:r>
      <w:r>
        <w:rPr>
          <w:color w:val="231F20"/>
          <w:spacing w:val="-6"/>
          <w:sz w:val="19"/>
        </w:rPr>
        <w:t>discards</w:t>
      </w:r>
      <w:r>
        <w:rPr>
          <w:color w:val="231F20"/>
          <w:spacing w:val="-5"/>
          <w:sz w:val="19"/>
        </w:rPr>
        <w:t> </w:t>
      </w:r>
      <w:r>
        <w:rPr>
          <w:color w:val="231F20"/>
          <w:spacing w:val="-6"/>
          <w:sz w:val="19"/>
        </w:rPr>
        <w:t>the</w:t>
      </w:r>
      <w:r>
        <w:rPr>
          <w:color w:val="231F20"/>
          <w:spacing w:val="-4"/>
          <w:sz w:val="19"/>
        </w:rPr>
        <w:t> </w:t>
      </w:r>
      <w:r>
        <w:rPr>
          <w:color w:val="231F20"/>
          <w:spacing w:val="-6"/>
          <w:sz w:val="19"/>
        </w:rPr>
        <w:t>dissuasive</w:t>
      </w:r>
      <w:r>
        <w:rPr>
          <w:color w:val="231F20"/>
          <w:spacing w:val="-2"/>
          <w:sz w:val="19"/>
        </w:rPr>
        <w:t> </w:t>
      </w:r>
      <w:r>
        <w:rPr>
          <w:color w:val="231F20"/>
          <w:spacing w:val="-6"/>
          <w:sz w:val="19"/>
        </w:rPr>
        <w:t>effect</w:t>
      </w:r>
      <w:r>
        <w:rPr>
          <w:color w:val="231F20"/>
          <w:spacing w:val="-2"/>
          <w:sz w:val="19"/>
        </w:rPr>
        <w:t> </w:t>
      </w:r>
      <w:r>
        <w:rPr>
          <w:color w:val="231F20"/>
          <w:spacing w:val="-6"/>
          <w:sz w:val="19"/>
        </w:rPr>
        <w:t>of</w:t>
      </w:r>
      <w:r>
        <w:rPr>
          <w:color w:val="231F20"/>
          <w:sz w:val="19"/>
        </w:rPr>
        <w:t> </w:t>
      </w:r>
      <w:r>
        <w:rPr>
          <w:color w:val="231F20"/>
          <w:spacing w:val="-6"/>
          <w:sz w:val="19"/>
        </w:rPr>
        <w:t>the</w:t>
      </w:r>
      <w:r>
        <w:rPr>
          <w:color w:val="231F20"/>
          <w:spacing w:val="-4"/>
          <w:sz w:val="19"/>
        </w:rPr>
        <w:t> </w:t>
      </w:r>
      <w:r>
        <w:rPr>
          <w:color w:val="231F20"/>
          <w:spacing w:val="-6"/>
          <w:sz w:val="19"/>
        </w:rPr>
        <w:t>remedy</w:t>
      </w:r>
      <w:r>
        <w:rPr>
          <w:color w:val="231F20"/>
          <w:spacing w:val="-5"/>
          <w:sz w:val="19"/>
        </w:rPr>
        <w:t> </w:t>
      </w:r>
      <w:r>
        <w:rPr>
          <w:color w:val="231F20"/>
          <w:spacing w:val="-6"/>
          <w:sz w:val="19"/>
        </w:rPr>
        <w:t>under</w:t>
      </w:r>
      <w:r>
        <w:rPr>
          <w:color w:val="231F20"/>
          <w:spacing w:val="-2"/>
          <w:sz w:val="19"/>
        </w:rPr>
        <w:t> </w:t>
      </w:r>
      <w:r>
        <w:rPr>
          <w:color w:val="231F20"/>
          <w:spacing w:val="-6"/>
          <w:sz w:val="19"/>
        </w:rPr>
        <w:t>Article</w:t>
      </w:r>
      <w:r>
        <w:rPr>
          <w:color w:val="231F20"/>
          <w:spacing w:val="-2"/>
          <w:sz w:val="19"/>
        </w:rPr>
        <w:t> </w:t>
      </w:r>
      <w:r>
        <w:rPr>
          <w:color w:val="231F20"/>
          <w:spacing w:val="-6"/>
          <w:sz w:val="19"/>
        </w:rPr>
        <w:t>6(1)</w:t>
      </w:r>
      <w:r>
        <w:rPr>
          <w:color w:val="231F20"/>
          <w:spacing w:val="-1"/>
          <w:sz w:val="19"/>
        </w:rPr>
        <w:t> </w:t>
      </w:r>
      <w:r>
        <w:rPr>
          <w:color w:val="231F20"/>
          <w:spacing w:val="-6"/>
          <w:sz w:val="19"/>
        </w:rPr>
        <w:t>UCTD.</w:t>
      </w:r>
      <w:r>
        <w:rPr>
          <w:color w:val="231F20"/>
          <w:spacing w:val="-1"/>
          <w:sz w:val="19"/>
        </w:rPr>
        <w:t> </w:t>
      </w:r>
      <w:r>
        <w:rPr>
          <w:color w:val="231F20"/>
          <w:spacing w:val="-6"/>
          <w:sz w:val="19"/>
        </w:rPr>
        <w:t>In</w:t>
      </w:r>
      <w:r>
        <w:rPr>
          <w:color w:val="231F20"/>
          <w:spacing w:val="-4"/>
          <w:sz w:val="19"/>
        </w:rPr>
        <w:t> </w:t>
      </w:r>
      <w:r>
        <w:rPr>
          <w:color w:val="231F20"/>
          <w:spacing w:val="-6"/>
          <w:sz w:val="19"/>
        </w:rPr>
        <w:t>fact,</w:t>
      </w:r>
      <w:r>
        <w:rPr>
          <w:color w:val="231F20"/>
          <w:spacing w:val="-1"/>
          <w:sz w:val="19"/>
        </w:rPr>
        <w:t> </w:t>
      </w:r>
      <w:r>
        <w:rPr>
          <w:color w:val="231F20"/>
          <w:spacing w:val="-6"/>
          <w:sz w:val="19"/>
        </w:rPr>
        <w:t>the</w:t>
      </w:r>
      <w:r>
        <w:rPr>
          <w:color w:val="231F20"/>
          <w:spacing w:val="-5"/>
          <w:sz w:val="19"/>
        </w:rPr>
        <w:t> </w:t>
      </w:r>
      <w:r>
        <w:rPr>
          <w:color w:val="231F20"/>
          <w:spacing w:val="-6"/>
          <w:sz w:val="19"/>
        </w:rPr>
        <w:t>Court</w:t>
      </w:r>
      <w:r>
        <w:rPr>
          <w:color w:val="231F20"/>
          <w:spacing w:val="-4"/>
          <w:sz w:val="19"/>
        </w:rPr>
        <w:t> states that when the contract cannot continue in existence and the annulment would </w:t>
      </w:r>
      <w:r>
        <w:rPr>
          <w:color w:val="231F20"/>
          <w:sz w:val="19"/>
        </w:rPr>
        <w:t>penalize</w:t>
      </w:r>
      <w:r>
        <w:rPr>
          <w:color w:val="231F20"/>
          <w:spacing w:val="-3"/>
          <w:sz w:val="19"/>
        </w:rPr>
        <w:t> </w:t>
      </w:r>
      <w:r>
        <w:rPr>
          <w:color w:val="231F20"/>
          <w:sz w:val="19"/>
        </w:rPr>
        <w:t>the</w:t>
      </w:r>
      <w:r>
        <w:rPr>
          <w:color w:val="231F20"/>
          <w:spacing w:val="-5"/>
          <w:sz w:val="19"/>
        </w:rPr>
        <w:t> </w:t>
      </w:r>
      <w:r>
        <w:rPr>
          <w:color w:val="231F20"/>
          <w:sz w:val="19"/>
        </w:rPr>
        <w:t>consumer,</w:t>
      </w:r>
      <w:r>
        <w:rPr>
          <w:color w:val="231F20"/>
          <w:spacing w:val="-5"/>
          <w:sz w:val="19"/>
        </w:rPr>
        <w:t> </w:t>
      </w:r>
      <w:r>
        <w:rPr>
          <w:color w:val="231F20"/>
          <w:sz w:val="19"/>
        </w:rPr>
        <w:t>dissuasiveness</w:t>
      </w:r>
      <w:r>
        <w:rPr>
          <w:color w:val="231F20"/>
          <w:spacing w:val="-3"/>
          <w:sz w:val="19"/>
        </w:rPr>
        <w:t> </w:t>
      </w:r>
      <w:r>
        <w:rPr>
          <w:color w:val="231F20"/>
          <w:sz w:val="19"/>
        </w:rPr>
        <w:t>would</w:t>
      </w:r>
      <w:r>
        <w:rPr>
          <w:color w:val="231F20"/>
          <w:spacing w:val="-4"/>
          <w:sz w:val="19"/>
        </w:rPr>
        <w:t> </w:t>
      </w:r>
      <w:r>
        <w:rPr>
          <w:color w:val="231F20"/>
          <w:sz w:val="19"/>
        </w:rPr>
        <w:t>be</w:t>
      </w:r>
      <w:r>
        <w:rPr>
          <w:color w:val="231F20"/>
          <w:spacing w:val="-3"/>
          <w:sz w:val="19"/>
        </w:rPr>
        <w:t> </w:t>
      </w:r>
      <w:r>
        <w:rPr>
          <w:color w:val="231F20"/>
          <w:sz w:val="19"/>
        </w:rPr>
        <w:t>jeopardized.</w:t>
      </w:r>
      <w:r>
        <w:rPr>
          <w:color w:val="231F20"/>
          <w:sz w:val="19"/>
          <w:vertAlign w:val="superscript"/>
        </w:rPr>
        <w:t>151</w:t>
      </w:r>
    </w:p>
    <w:p>
      <w:pPr>
        <w:pStyle w:val="ListParagraph"/>
        <w:numPr>
          <w:ilvl w:val="0"/>
          <w:numId w:val="4"/>
        </w:numPr>
        <w:tabs>
          <w:tab w:pos="1324" w:val="left" w:leader="none"/>
        </w:tabs>
        <w:spacing w:line="288" w:lineRule="auto" w:before="119" w:after="0"/>
        <w:ind w:left="871" w:right="869" w:firstLine="0"/>
        <w:jc w:val="both"/>
        <w:rPr>
          <w:sz w:val="19"/>
        </w:rPr>
      </w:pPr>
      <w:r>
        <w:rPr>
          <w:color w:val="231F20"/>
          <w:sz w:val="19"/>
        </w:rPr>
        <w:t>Therefore,</w:t>
      </w:r>
      <w:r>
        <w:rPr>
          <w:color w:val="231F20"/>
          <w:spacing w:val="-2"/>
          <w:sz w:val="19"/>
        </w:rPr>
        <w:t> </w:t>
      </w:r>
      <w:r>
        <w:rPr>
          <w:color w:val="231F20"/>
          <w:sz w:val="19"/>
        </w:rPr>
        <w:t>the</w:t>
      </w:r>
      <w:r>
        <w:rPr>
          <w:color w:val="231F20"/>
          <w:spacing w:val="-3"/>
          <w:sz w:val="19"/>
        </w:rPr>
        <w:t> </w:t>
      </w:r>
      <w:r>
        <w:rPr>
          <w:color w:val="231F20"/>
          <w:sz w:val="19"/>
        </w:rPr>
        <w:t>non-binding</w:t>
      </w:r>
      <w:r>
        <w:rPr>
          <w:color w:val="231F20"/>
          <w:spacing w:val="-3"/>
          <w:sz w:val="19"/>
        </w:rPr>
        <w:t> </w:t>
      </w:r>
      <w:r>
        <w:rPr>
          <w:color w:val="231F20"/>
          <w:sz w:val="19"/>
        </w:rPr>
        <w:t>nature</w:t>
      </w:r>
      <w:r>
        <w:rPr>
          <w:color w:val="231F20"/>
          <w:spacing w:val="-2"/>
          <w:sz w:val="19"/>
        </w:rPr>
        <w:t> </w:t>
      </w:r>
      <w:r>
        <w:rPr>
          <w:color w:val="231F20"/>
          <w:sz w:val="19"/>
        </w:rPr>
        <w:t>of</w:t>
      </w:r>
      <w:r>
        <w:rPr>
          <w:color w:val="231F20"/>
          <w:spacing w:val="-1"/>
          <w:sz w:val="19"/>
        </w:rPr>
        <w:t> </w:t>
      </w:r>
      <w:r>
        <w:rPr>
          <w:color w:val="231F20"/>
          <w:sz w:val="19"/>
        </w:rPr>
        <w:t>the</w:t>
      </w:r>
      <w:r>
        <w:rPr>
          <w:color w:val="231F20"/>
          <w:spacing w:val="-3"/>
          <w:sz w:val="19"/>
        </w:rPr>
        <w:t> </w:t>
      </w:r>
      <w:r>
        <w:rPr>
          <w:color w:val="231F20"/>
          <w:sz w:val="19"/>
        </w:rPr>
        <w:t>contract,</w:t>
      </w:r>
      <w:r>
        <w:rPr>
          <w:color w:val="231F20"/>
          <w:spacing w:val="-3"/>
          <w:sz w:val="19"/>
        </w:rPr>
        <w:t> </w:t>
      </w:r>
      <w:r>
        <w:rPr>
          <w:color w:val="231F20"/>
          <w:sz w:val="19"/>
        </w:rPr>
        <w:t>which</w:t>
      </w:r>
      <w:r>
        <w:rPr>
          <w:color w:val="231F20"/>
          <w:spacing w:val="-3"/>
          <w:sz w:val="19"/>
        </w:rPr>
        <w:t> </w:t>
      </w:r>
      <w:r>
        <w:rPr>
          <w:color w:val="231F20"/>
          <w:sz w:val="19"/>
        </w:rPr>
        <w:t>should</w:t>
      </w:r>
      <w:r>
        <w:rPr>
          <w:color w:val="231F20"/>
          <w:spacing w:val="-3"/>
          <w:sz w:val="19"/>
        </w:rPr>
        <w:t> </w:t>
      </w:r>
      <w:r>
        <w:rPr>
          <w:color w:val="231F20"/>
          <w:sz w:val="19"/>
        </w:rPr>
        <w:t>result</w:t>
      </w:r>
      <w:r>
        <w:rPr>
          <w:color w:val="231F20"/>
          <w:spacing w:val="-3"/>
          <w:sz w:val="19"/>
        </w:rPr>
        <w:t> </w:t>
      </w:r>
      <w:r>
        <w:rPr>
          <w:color w:val="231F20"/>
          <w:sz w:val="19"/>
        </w:rPr>
        <w:t>from Article</w:t>
      </w:r>
      <w:r>
        <w:rPr>
          <w:color w:val="231F20"/>
          <w:spacing w:val="13"/>
          <w:sz w:val="19"/>
        </w:rPr>
        <w:t> </w:t>
      </w:r>
      <w:r>
        <w:rPr>
          <w:color w:val="231F20"/>
          <w:sz w:val="19"/>
        </w:rPr>
        <w:t>6(1)</w:t>
      </w:r>
      <w:r>
        <w:rPr>
          <w:color w:val="231F20"/>
          <w:spacing w:val="14"/>
          <w:sz w:val="19"/>
        </w:rPr>
        <w:t> </w:t>
      </w:r>
      <w:r>
        <w:rPr>
          <w:color w:val="231F20"/>
          <w:sz w:val="19"/>
        </w:rPr>
        <w:t>UCTD,</w:t>
      </w:r>
      <w:r>
        <w:rPr>
          <w:color w:val="231F20"/>
          <w:spacing w:val="15"/>
          <w:sz w:val="19"/>
        </w:rPr>
        <w:t> </w:t>
      </w:r>
      <w:r>
        <w:rPr>
          <w:color w:val="231F20"/>
          <w:sz w:val="19"/>
        </w:rPr>
        <w:t>is</w:t>
      </w:r>
      <w:r>
        <w:rPr>
          <w:color w:val="231F20"/>
          <w:spacing w:val="14"/>
          <w:sz w:val="19"/>
        </w:rPr>
        <w:t> </w:t>
      </w:r>
      <w:r>
        <w:rPr>
          <w:color w:val="231F20"/>
          <w:sz w:val="19"/>
        </w:rPr>
        <w:t>left</w:t>
      </w:r>
      <w:r>
        <w:rPr>
          <w:color w:val="231F20"/>
          <w:spacing w:val="17"/>
          <w:sz w:val="19"/>
        </w:rPr>
        <w:t> </w:t>
      </w:r>
      <w:r>
        <w:rPr>
          <w:color w:val="231F20"/>
          <w:sz w:val="19"/>
        </w:rPr>
        <w:t>aside</w:t>
      </w:r>
      <w:r>
        <w:rPr>
          <w:color w:val="231F20"/>
          <w:spacing w:val="14"/>
          <w:sz w:val="19"/>
        </w:rPr>
        <w:t> </w:t>
      </w:r>
      <w:r>
        <w:rPr>
          <w:color w:val="231F20"/>
          <w:sz w:val="19"/>
        </w:rPr>
        <w:t>in</w:t>
      </w:r>
      <w:r>
        <w:rPr>
          <w:color w:val="231F20"/>
          <w:spacing w:val="15"/>
          <w:sz w:val="19"/>
        </w:rPr>
        <w:t> </w:t>
      </w:r>
      <w:r>
        <w:rPr>
          <w:color w:val="231F20"/>
          <w:sz w:val="19"/>
        </w:rPr>
        <w:t>those</w:t>
      </w:r>
      <w:r>
        <w:rPr>
          <w:color w:val="231F20"/>
          <w:spacing w:val="14"/>
          <w:sz w:val="19"/>
        </w:rPr>
        <w:t> </w:t>
      </w:r>
      <w:r>
        <w:rPr>
          <w:color w:val="231F20"/>
          <w:sz w:val="19"/>
        </w:rPr>
        <w:t>circumstances,</w:t>
      </w:r>
      <w:r>
        <w:rPr>
          <w:color w:val="231F20"/>
          <w:spacing w:val="14"/>
          <w:sz w:val="19"/>
        </w:rPr>
        <w:t> </w:t>
      </w:r>
      <w:r>
        <w:rPr>
          <w:color w:val="231F20"/>
          <w:sz w:val="19"/>
        </w:rPr>
        <w:t>as</w:t>
      </w:r>
      <w:r>
        <w:rPr>
          <w:color w:val="231F20"/>
          <w:spacing w:val="13"/>
          <w:sz w:val="19"/>
        </w:rPr>
        <w:t> </w:t>
      </w:r>
      <w:r>
        <w:rPr>
          <w:color w:val="231F20"/>
          <w:sz w:val="19"/>
        </w:rPr>
        <w:t>it</w:t>
      </w:r>
      <w:r>
        <w:rPr>
          <w:color w:val="231F20"/>
          <w:spacing w:val="15"/>
          <w:sz w:val="19"/>
        </w:rPr>
        <w:t> </w:t>
      </w:r>
      <w:r>
        <w:rPr>
          <w:color w:val="231F20"/>
          <w:sz w:val="19"/>
        </w:rPr>
        <w:t>would</w:t>
      </w:r>
      <w:r>
        <w:rPr>
          <w:color w:val="231F20"/>
          <w:spacing w:val="13"/>
          <w:sz w:val="19"/>
        </w:rPr>
        <w:t> </w:t>
      </w:r>
      <w:r>
        <w:rPr>
          <w:color w:val="231F20"/>
          <w:sz w:val="19"/>
        </w:rPr>
        <w:t>not</w:t>
      </w:r>
      <w:r>
        <w:rPr>
          <w:color w:val="231F20"/>
          <w:spacing w:val="14"/>
          <w:sz w:val="19"/>
        </w:rPr>
        <w:t> </w:t>
      </w:r>
      <w:r>
        <w:rPr>
          <w:color w:val="231F20"/>
          <w:spacing w:val="-2"/>
          <w:sz w:val="19"/>
        </w:rPr>
        <w:t>dissuade</w:t>
      </w:r>
    </w:p>
    <w:p>
      <w:pPr>
        <w:pStyle w:val="BodyText"/>
        <w:spacing w:before="193"/>
        <w:rPr>
          <w:sz w:val="20"/>
        </w:rPr>
      </w:pPr>
      <w:r>
        <w:rPr/>
        <mc:AlternateContent>
          <mc:Choice Requires="wps">
            <w:drawing>
              <wp:anchor distT="0" distB="0" distL="0" distR="0" allowOverlap="1" layoutInCell="1" locked="0" behindDoc="1" simplePos="0" relativeHeight="487601152">
                <wp:simplePos x="0" y="0"/>
                <wp:positionH relativeFrom="page">
                  <wp:posOffset>1979993</wp:posOffset>
                </wp:positionH>
                <wp:positionV relativeFrom="paragraph">
                  <wp:posOffset>282153</wp:posOffset>
                </wp:positionV>
                <wp:extent cx="1656080" cy="4445"/>
                <wp:effectExtent l="0" t="0" r="0" b="0"/>
                <wp:wrapTopAndBottom/>
                <wp:docPr id="29" name="Graphic 29"/>
                <wp:cNvGraphicFramePr>
                  <a:graphicFrameLocks/>
                </wp:cNvGraphicFramePr>
                <a:graphic>
                  <a:graphicData uri="http://schemas.microsoft.com/office/word/2010/wordprocessingShape">
                    <wps:wsp>
                      <wps:cNvPr id="29" name="Graphic 29"/>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2.216827pt;width:130.394pt;height:.34015pt;mso-position-horizontal-relative:page;mso-position-vertical-relative:paragraph;z-index:-15715328;mso-wrap-distance-left:0;mso-wrap-distance-right:0" id="docshape29"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w:t>
      </w:r>
      <w:r>
        <w:rPr>
          <w:color w:val="231F20"/>
          <w:spacing w:val="-2"/>
          <w:sz w:val="16"/>
        </w:rPr>
        <w:t> </w:t>
      </w:r>
      <w:r>
        <w:rPr>
          <w:color w:val="231F20"/>
          <w:sz w:val="16"/>
        </w:rPr>
        <w:t>30</w:t>
      </w:r>
      <w:r>
        <w:rPr>
          <w:color w:val="231F20"/>
          <w:spacing w:val="-1"/>
          <w:sz w:val="16"/>
        </w:rPr>
        <w:t> </w:t>
      </w:r>
      <w:r>
        <w:rPr>
          <w:color w:val="231F20"/>
          <w:sz w:val="16"/>
        </w:rPr>
        <w:t>Apr. 2014,</w:t>
      </w:r>
      <w:r>
        <w:rPr>
          <w:color w:val="231F20"/>
          <w:spacing w:val="-2"/>
          <w:sz w:val="16"/>
        </w:rPr>
        <w:t> </w:t>
      </w:r>
      <w:r>
        <w:rPr>
          <w:color w:val="231F20"/>
          <w:sz w:val="16"/>
        </w:rPr>
        <w:t>ECLI:EU:C:2014:282, </w:t>
      </w:r>
      <w:r>
        <w:rPr>
          <w:i/>
          <w:color w:val="231F20"/>
          <w:sz w:val="16"/>
        </w:rPr>
        <w:t>Kásler</w:t>
      </w:r>
      <w:r>
        <w:rPr>
          <w:color w:val="231F20"/>
          <w:sz w:val="16"/>
        </w:rPr>
        <w:t>,</w:t>
      </w:r>
      <w:r>
        <w:rPr>
          <w:color w:val="231F20"/>
          <w:spacing w:val="-1"/>
          <w:sz w:val="16"/>
        </w:rPr>
        <w:t> </w:t>
      </w:r>
      <w:r>
        <w:rPr>
          <w:color w:val="231F20"/>
          <w:sz w:val="16"/>
        </w:rPr>
        <w:t>para.</w:t>
      </w:r>
      <w:r>
        <w:rPr>
          <w:color w:val="231F20"/>
          <w:spacing w:val="-2"/>
          <w:sz w:val="16"/>
        </w:rPr>
        <w:t> </w:t>
      </w:r>
      <w:r>
        <w:rPr>
          <w:color w:val="231F20"/>
          <w:spacing w:val="-5"/>
          <w:sz w:val="16"/>
        </w:rPr>
        <w:t>84.</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2"/>
          <w:sz w:val="16"/>
        </w:rPr>
        <w:t> </w:t>
      </w:r>
      <w:r>
        <w:rPr>
          <w:color w:val="231F20"/>
          <w:sz w:val="16"/>
        </w:rPr>
        <w:t>30</w:t>
      </w:r>
      <w:r>
        <w:rPr>
          <w:color w:val="231F20"/>
          <w:spacing w:val="-1"/>
          <w:sz w:val="16"/>
        </w:rPr>
        <w:t> </w:t>
      </w:r>
      <w:r>
        <w:rPr>
          <w:color w:val="231F20"/>
          <w:sz w:val="16"/>
        </w:rPr>
        <w:t>Apr. 2014,</w:t>
      </w:r>
      <w:r>
        <w:rPr>
          <w:color w:val="231F20"/>
          <w:spacing w:val="-2"/>
          <w:sz w:val="16"/>
        </w:rPr>
        <w:t> </w:t>
      </w:r>
      <w:r>
        <w:rPr>
          <w:color w:val="231F20"/>
          <w:sz w:val="16"/>
        </w:rPr>
        <w:t>ECLI:EU:C:2014:282, </w:t>
      </w:r>
      <w:r>
        <w:rPr>
          <w:i/>
          <w:color w:val="231F20"/>
          <w:sz w:val="16"/>
        </w:rPr>
        <w:t>Kásler</w:t>
      </w:r>
      <w:r>
        <w:rPr>
          <w:color w:val="231F20"/>
          <w:sz w:val="16"/>
        </w:rPr>
        <w:t>,</w:t>
      </w:r>
      <w:r>
        <w:rPr>
          <w:color w:val="231F20"/>
          <w:spacing w:val="-1"/>
          <w:sz w:val="16"/>
        </w:rPr>
        <w:t> </w:t>
      </w:r>
      <w:r>
        <w:rPr>
          <w:color w:val="231F20"/>
          <w:sz w:val="16"/>
        </w:rPr>
        <w:t>para.</w:t>
      </w:r>
      <w:r>
        <w:rPr>
          <w:color w:val="231F20"/>
          <w:spacing w:val="-2"/>
          <w:sz w:val="16"/>
        </w:rPr>
        <w:t> </w:t>
      </w:r>
      <w:r>
        <w:rPr>
          <w:color w:val="231F20"/>
          <w:spacing w:val="-5"/>
          <w:sz w:val="16"/>
        </w:rPr>
        <w:t>80.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39.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2"/>
          <w:sz w:val="16"/>
        </w:rPr>
        <w:t> </w:t>
      </w:r>
      <w:r>
        <w:rPr>
          <w:color w:val="231F20"/>
          <w:sz w:val="16"/>
        </w:rPr>
        <w:t>30</w:t>
      </w:r>
      <w:r>
        <w:rPr>
          <w:color w:val="231F20"/>
          <w:spacing w:val="-1"/>
          <w:sz w:val="16"/>
        </w:rPr>
        <w:t> </w:t>
      </w:r>
      <w:r>
        <w:rPr>
          <w:color w:val="231F20"/>
          <w:sz w:val="16"/>
        </w:rPr>
        <w:t>Apr. 2014,</w:t>
      </w:r>
      <w:r>
        <w:rPr>
          <w:color w:val="231F20"/>
          <w:spacing w:val="-2"/>
          <w:sz w:val="16"/>
        </w:rPr>
        <w:t> </w:t>
      </w:r>
      <w:r>
        <w:rPr>
          <w:color w:val="231F20"/>
          <w:sz w:val="16"/>
        </w:rPr>
        <w:t>ECLI:EU:C:2014:282, </w:t>
      </w:r>
      <w:r>
        <w:rPr>
          <w:i/>
          <w:color w:val="231F20"/>
          <w:sz w:val="16"/>
        </w:rPr>
        <w:t>Kásler</w:t>
      </w:r>
      <w:r>
        <w:rPr>
          <w:color w:val="231F20"/>
          <w:sz w:val="16"/>
        </w:rPr>
        <w:t>,</w:t>
      </w:r>
      <w:r>
        <w:rPr>
          <w:color w:val="231F20"/>
          <w:spacing w:val="-1"/>
          <w:sz w:val="16"/>
        </w:rPr>
        <w:t> </w:t>
      </w:r>
      <w:r>
        <w:rPr>
          <w:color w:val="231F20"/>
          <w:sz w:val="16"/>
        </w:rPr>
        <w:t>para.</w:t>
      </w:r>
      <w:r>
        <w:rPr>
          <w:color w:val="231F20"/>
          <w:spacing w:val="-2"/>
          <w:sz w:val="16"/>
        </w:rPr>
        <w:t> </w:t>
      </w:r>
      <w:r>
        <w:rPr>
          <w:color w:val="231F20"/>
          <w:spacing w:val="-5"/>
          <w:sz w:val="16"/>
        </w:rPr>
        <w:t>83.</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24"/>
          <w:sz w:val="16"/>
        </w:rPr>
        <w:t> </w:t>
      </w:r>
      <w:r>
        <w:rPr>
          <w:color w:val="231F20"/>
          <w:sz w:val="16"/>
        </w:rPr>
        <w:t>12</w:t>
      </w:r>
      <w:r>
        <w:rPr>
          <w:color w:val="231F20"/>
          <w:spacing w:val="24"/>
          <w:sz w:val="16"/>
        </w:rPr>
        <w:t> </w:t>
      </w:r>
      <w:r>
        <w:rPr>
          <w:color w:val="231F20"/>
          <w:sz w:val="16"/>
        </w:rPr>
        <w:t>Jan.</w:t>
      </w:r>
      <w:r>
        <w:rPr>
          <w:color w:val="231F20"/>
          <w:spacing w:val="26"/>
          <w:sz w:val="16"/>
        </w:rPr>
        <w:t> </w:t>
      </w:r>
      <w:r>
        <w:rPr>
          <w:color w:val="231F20"/>
          <w:sz w:val="16"/>
        </w:rPr>
        <w:t>2023,</w:t>
      </w:r>
      <w:r>
        <w:rPr>
          <w:color w:val="231F20"/>
          <w:spacing w:val="23"/>
          <w:sz w:val="16"/>
        </w:rPr>
        <w:t> </w:t>
      </w:r>
      <w:r>
        <w:rPr>
          <w:color w:val="231F20"/>
          <w:sz w:val="16"/>
        </w:rPr>
        <w:t>ECLI:EU:C:2023:14,</w:t>
      </w:r>
      <w:r>
        <w:rPr>
          <w:color w:val="231F20"/>
          <w:spacing w:val="25"/>
          <w:sz w:val="16"/>
        </w:rPr>
        <w:t> </w:t>
      </w:r>
      <w:r>
        <w:rPr>
          <w:i/>
          <w:color w:val="231F20"/>
          <w:sz w:val="16"/>
        </w:rPr>
        <w:t>D.</w:t>
      </w:r>
      <w:r>
        <w:rPr>
          <w:color w:val="231F20"/>
          <w:sz w:val="16"/>
        </w:rPr>
        <w:t>V.</w:t>
      </w:r>
      <w:r>
        <w:rPr>
          <w:color w:val="231F20"/>
          <w:spacing w:val="26"/>
          <w:sz w:val="16"/>
        </w:rPr>
        <w:t> </w:t>
      </w:r>
      <w:r>
        <w:rPr>
          <w:color w:val="231F20"/>
          <w:sz w:val="16"/>
        </w:rPr>
        <w:t>v.</w:t>
      </w:r>
      <w:r>
        <w:rPr>
          <w:color w:val="231F20"/>
          <w:spacing w:val="24"/>
          <w:sz w:val="16"/>
        </w:rPr>
        <w:t> </w:t>
      </w:r>
      <w:r>
        <w:rPr>
          <w:i/>
          <w:color w:val="231F20"/>
          <w:sz w:val="16"/>
        </w:rPr>
        <w:t>M.A.</w:t>
      </w:r>
      <w:r>
        <w:rPr>
          <w:color w:val="231F20"/>
          <w:sz w:val="16"/>
        </w:rPr>
        <w:t>,</w:t>
      </w:r>
      <w:r>
        <w:rPr>
          <w:color w:val="231F20"/>
          <w:spacing w:val="25"/>
          <w:sz w:val="16"/>
        </w:rPr>
        <w:t> </w:t>
      </w:r>
      <w:r>
        <w:rPr>
          <w:color w:val="231F20"/>
          <w:sz w:val="16"/>
        </w:rPr>
        <w:t>para.</w:t>
      </w:r>
      <w:r>
        <w:rPr>
          <w:color w:val="231F20"/>
          <w:spacing w:val="25"/>
          <w:sz w:val="16"/>
        </w:rPr>
        <w:t> </w:t>
      </w:r>
      <w:r>
        <w:rPr>
          <w:color w:val="231F20"/>
          <w:sz w:val="16"/>
        </w:rPr>
        <w:t>61;</w:t>
      </w:r>
      <w:r>
        <w:rPr>
          <w:color w:val="231F20"/>
          <w:spacing w:val="24"/>
          <w:sz w:val="16"/>
        </w:rPr>
        <w:t> </w:t>
      </w:r>
      <w:r>
        <w:rPr>
          <w:color w:val="231F20"/>
          <w:sz w:val="16"/>
        </w:rPr>
        <w:t>ECJ</w:t>
      </w:r>
      <w:r>
        <w:rPr>
          <w:color w:val="231F20"/>
          <w:spacing w:val="25"/>
          <w:sz w:val="16"/>
        </w:rPr>
        <w:t> </w:t>
      </w:r>
      <w:r>
        <w:rPr>
          <w:color w:val="231F20"/>
          <w:sz w:val="16"/>
        </w:rPr>
        <w:t>26</w:t>
      </w:r>
      <w:r>
        <w:rPr>
          <w:color w:val="231F20"/>
          <w:spacing w:val="25"/>
          <w:sz w:val="16"/>
        </w:rPr>
        <w:t> </w:t>
      </w:r>
      <w:r>
        <w:rPr>
          <w:color w:val="231F20"/>
          <w:sz w:val="16"/>
        </w:rPr>
        <w:t>Mar.</w:t>
      </w:r>
      <w:r>
        <w:rPr>
          <w:color w:val="231F20"/>
          <w:spacing w:val="24"/>
          <w:sz w:val="16"/>
        </w:rPr>
        <w:t> </w:t>
      </w:r>
      <w:r>
        <w:rPr>
          <w:color w:val="231F20"/>
          <w:sz w:val="16"/>
        </w:rPr>
        <w:t>2019,</w:t>
      </w:r>
      <w:r>
        <w:rPr>
          <w:color w:val="231F20"/>
          <w:spacing w:val="26"/>
          <w:sz w:val="16"/>
        </w:rPr>
        <w:t> </w:t>
      </w:r>
      <w:r>
        <w:rPr>
          <w:color w:val="231F20"/>
          <w:spacing w:val="-2"/>
          <w:sz w:val="16"/>
        </w:rPr>
        <w:t>ECLI:EU:</w:t>
      </w:r>
    </w:p>
    <w:p>
      <w:pPr>
        <w:spacing w:before="37"/>
        <w:ind w:left="866" w:right="0" w:firstLine="0"/>
        <w:jc w:val="left"/>
        <w:rPr>
          <w:sz w:val="16"/>
        </w:rPr>
      </w:pPr>
      <w:r>
        <w:rPr>
          <w:color w:val="231F20"/>
          <w:sz w:val="16"/>
        </w:rPr>
        <w:t>C:2019:250,</w:t>
      </w:r>
      <w:r>
        <w:rPr>
          <w:color w:val="231F20"/>
          <w:spacing w:val="-3"/>
          <w:sz w:val="16"/>
        </w:rPr>
        <w:t> </w:t>
      </w:r>
      <w:r>
        <w:rPr>
          <w:i/>
          <w:color w:val="231F20"/>
          <w:sz w:val="16"/>
        </w:rPr>
        <w:t>Abanca</w:t>
      </w:r>
      <w:r>
        <w:rPr>
          <w:color w:val="231F20"/>
          <w:sz w:val="16"/>
        </w:rPr>
        <w:t>,</w:t>
      </w:r>
      <w:r>
        <w:rPr>
          <w:color w:val="231F20"/>
          <w:spacing w:val="-2"/>
          <w:sz w:val="16"/>
        </w:rPr>
        <w:t> </w:t>
      </w:r>
      <w:r>
        <w:rPr>
          <w:color w:val="231F20"/>
          <w:sz w:val="16"/>
        </w:rPr>
        <w:t>para.</w:t>
      </w:r>
      <w:r>
        <w:rPr>
          <w:color w:val="231F20"/>
          <w:spacing w:val="-1"/>
          <w:sz w:val="16"/>
        </w:rPr>
        <w:t> </w:t>
      </w:r>
      <w:r>
        <w:rPr>
          <w:color w:val="231F20"/>
          <w:spacing w:val="-5"/>
          <w:sz w:val="16"/>
        </w:rPr>
        <w:t>62.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39.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40.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4"/>
          <w:sz w:val="16"/>
        </w:rPr>
        <w:t>5.2.</w:t>
      </w:r>
    </w:p>
    <w:p>
      <w:pPr>
        <w:pStyle w:val="ListParagraph"/>
        <w:numPr>
          <w:ilvl w:val="0"/>
          <w:numId w:val="3"/>
        </w:numPr>
        <w:tabs>
          <w:tab w:pos="866" w:val="left" w:leader="none"/>
        </w:tabs>
        <w:spacing w:line="288" w:lineRule="auto" w:before="37" w:after="0"/>
        <w:ind w:left="866" w:right="869" w:hanging="354"/>
        <w:jc w:val="left"/>
        <w:rPr>
          <w:sz w:val="16"/>
        </w:rPr>
      </w:pPr>
      <w:r>
        <w:rPr>
          <w:color w:val="231F20"/>
          <w:sz w:val="16"/>
        </w:rPr>
        <w:t>ECJ 14</w:t>
      </w:r>
      <w:r>
        <w:rPr>
          <w:color w:val="231F20"/>
          <w:spacing w:val="7"/>
          <w:sz w:val="16"/>
        </w:rPr>
        <w:t> </w:t>
      </w:r>
      <w:r>
        <w:rPr>
          <w:color w:val="231F20"/>
          <w:sz w:val="16"/>
        </w:rPr>
        <w:t>Jun. 2012, ECLI:EU:C:2012:349, </w:t>
      </w:r>
      <w:r>
        <w:rPr>
          <w:i/>
          <w:color w:val="231F20"/>
          <w:sz w:val="16"/>
        </w:rPr>
        <w:t>Banco Español</w:t>
      </w:r>
      <w:r>
        <w:rPr>
          <w:color w:val="231F20"/>
          <w:sz w:val="16"/>
        </w:rPr>
        <w:t>, impeding</w:t>
      </w:r>
      <w:r>
        <w:rPr>
          <w:color w:val="231F20"/>
          <w:spacing w:val="7"/>
          <w:sz w:val="16"/>
        </w:rPr>
        <w:t> </w:t>
      </w:r>
      <w:r>
        <w:rPr>
          <w:color w:val="231F20"/>
          <w:sz w:val="16"/>
        </w:rPr>
        <w:t>the revision of</w:t>
      </w:r>
      <w:r>
        <w:rPr>
          <w:color w:val="231F20"/>
          <w:spacing w:val="9"/>
          <w:sz w:val="16"/>
        </w:rPr>
        <w:t> </w:t>
      </w:r>
      <w:r>
        <w:rPr>
          <w:color w:val="231F20"/>
          <w:sz w:val="16"/>
        </w:rPr>
        <w:t>the</w:t>
      </w:r>
      <w:r>
        <w:rPr>
          <w:color w:val="231F20"/>
          <w:spacing w:val="7"/>
          <w:sz w:val="16"/>
        </w:rPr>
        <w:t> </w:t>
      </w:r>
      <w:r>
        <w:rPr>
          <w:color w:val="231F20"/>
          <w:sz w:val="16"/>
        </w:rPr>
        <w:t>contract.</w:t>
      </w:r>
      <w:r>
        <w:rPr>
          <w:color w:val="231F20"/>
          <w:spacing w:val="40"/>
          <w:sz w:val="16"/>
        </w:rPr>
        <w:t> </w:t>
      </w:r>
      <w:r>
        <w:rPr>
          <w:color w:val="231F20"/>
          <w:sz w:val="16"/>
        </w:rPr>
        <w:t>ECJ 8 Sep. 2022, ECLI:EU:C:2022:646, </w:t>
      </w:r>
      <w:r>
        <w:rPr>
          <w:i/>
          <w:color w:val="231F20"/>
          <w:sz w:val="16"/>
        </w:rPr>
        <w:t>D.B.P.</w:t>
      </w:r>
      <w:r>
        <w:rPr>
          <w:color w:val="231F20"/>
          <w:sz w:val="16"/>
        </w:rPr>
        <w:t>, para. 62, rejecting gap-filling.</w:t>
      </w:r>
    </w:p>
    <w:p>
      <w:pPr>
        <w:pStyle w:val="ListParagraph"/>
        <w:numPr>
          <w:ilvl w:val="0"/>
          <w:numId w:val="3"/>
        </w:numPr>
        <w:tabs>
          <w:tab w:pos="865" w:val="left" w:leader="none"/>
        </w:tabs>
        <w:spacing w:line="240" w:lineRule="auto" w:before="2" w:after="0"/>
        <w:ind w:left="865" w:right="0" w:hanging="353"/>
        <w:jc w:val="left"/>
        <w:rPr>
          <w:sz w:val="16"/>
        </w:rPr>
      </w:pPr>
      <w:r>
        <w:rPr>
          <w:color w:val="231F20"/>
          <w:sz w:val="16"/>
        </w:rPr>
        <w:t>ECJ</w:t>
      </w:r>
      <w:r>
        <w:rPr>
          <w:color w:val="231F20"/>
          <w:spacing w:val="-2"/>
          <w:sz w:val="16"/>
        </w:rPr>
        <w:t> </w:t>
      </w:r>
      <w:r>
        <w:rPr>
          <w:color w:val="231F20"/>
          <w:sz w:val="16"/>
        </w:rPr>
        <w:t>30</w:t>
      </w:r>
      <w:r>
        <w:rPr>
          <w:color w:val="231F20"/>
          <w:spacing w:val="-1"/>
          <w:sz w:val="16"/>
        </w:rPr>
        <w:t> </w:t>
      </w:r>
      <w:r>
        <w:rPr>
          <w:color w:val="231F20"/>
          <w:sz w:val="16"/>
        </w:rPr>
        <w:t>Apr. 2014,</w:t>
      </w:r>
      <w:r>
        <w:rPr>
          <w:color w:val="231F20"/>
          <w:spacing w:val="-2"/>
          <w:sz w:val="16"/>
        </w:rPr>
        <w:t> </w:t>
      </w:r>
      <w:r>
        <w:rPr>
          <w:color w:val="231F20"/>
          <w:sz w:val="16"/>
        </w:rPr>
        <w:t>ECLI:EU:C:2014:282, </w:t>
      </w:r>
      <w:r>
        <w:rPr>
          <w:i/>
          <w:color w:val="231F20"/>
          <w:sz w:val="16"/>
        </w:rPr>
        <w:t>Kásler</w:t>
      </w:r>
      <w:r>
        <w:rPr>
          <w:color w:val="231F20"/>
          <w:sz w:val="16"/>
        </w:rPr>
        <w:t>,</w:t>
      </w:r>
      <w:r>
        <w:rPr>
          <w:color w:val="231F20"/>
          <w:spacing w:val="-1"/>
          <w:sz w:val="16"/>
        </w:rPr>
        <w:t> </w:t>
      </w:r>
      <w:r>
        <w:rPr>
          <w:color w:val="231F20"/>
          <w:sz w:val="16"/>
        </w:rPr>
        <w:t>para.</w:t>
      </w:r>
      <w:r>
        <w:rPr>
          <w:color w:val="231F20"/>
          <w:spacing w:val="-2"/>
          <w:sz w:val="16"/>
        </w:rPr>
        <w:t> </w:t>
      </w:r>
      <w:r>
        <w:rPr>
          <w:color w:val="231F20"/>
          <w:spacing w:val="-5"/>
          <w:sz w:val="16"/>
        </w:rPr>
        <w:t>83.</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businesses from using unfair terms. Additionally, of course, it is done to </w:t>
      </w:r>
      <w:r>
        <w:rPr>
          <w:color w:val="231F20"/>
        </w:rPr>
        <w:t>prevent the</w:t>
      </w:r>
      <w:r>
        <w:rPr>
          <w:color w:val="231F20"/>
          <w:spacing w:val="-2"/>
        </w:rPr>
        <w:t> </w:t>
      </w:r>
      <w:r>
        <w:rPr>
          <w:color w:val="231F20"/>
        </w:rPr>
        <w:t>consumer</w:t>
      </w:r>
      <w:r>
        <w:rPr>
          <w:color w:val="231F20"/>
          <w:spacing w:val="-1"/>
        </w:rPr>
        <w:t> </w:t>
      </w:r>
      <w:r>
        <w:rPr>
          <w:color w:val="231F20"/>
        </w:rPr>
        <w:t>from</w:t>
      </w:r>
      <w:r>
        <w:rPr>
          <w:color w:val="231F20"/>
          <w:spacing w:val="-1"/>
        </w:rPr>
        <w:t> </w:t>
      </w:r>
      <w:r>
        <w:rPr>
          <w:color w:val="231F20"/>
        </w:rPr>
        <w:t>being</w:t>
      </w:r>
      <w:r>
        <w:rPr>
          <w:color w:val="231F20"/>
          <w:spacing w:val="-2"/>
        </w:rPr>
        <w:t> </w:t>
      </w:r>
      <w:r>
        <w:rPr>
          <w:color w:val="231F20"/>
        </w:rPr>
        <w:t>penalized,</w:t>
      </w:r>
      <w:r>
        <w:rPr>
          <w:color w:val="231F20"/>
          <w:spacing w:val="-1"/>
        </w:rPr>
        <w:t> </w:t>
      </w:r>
      <w:r>
        <w:rPr>
          <w:color w:val="231F20"/>
        </w:rPr>
        <w:t>unless</w:t>
      </w:r>
      <w:r>
        <w:rPr>
          <w:color w:val="231F20"/>
          <w:spacing w:val="-1"/>
        </w:rPr>
        <w:t> </w:t>
      </w:r>
      <w:r>
        <w:rPr>
          <w:color w:val="231F20"/>
        </w:rPr>
        <w:t>she</w:t>
      </w:r>
      <w:r>
        <w:rPr>
          <w:color w:val="231F20"/>
          <w:spacing w:val="-1"/>
        </w:rPr>
        <w:t> </w:t>
      </w:r>
      <w:r>
        <w:rPr>
          <w:color w:val="231F20"/>
        </w:rPr>
        <w:t>prefers</w:t>
      </w:r>
      <w:r>
        <w:rPr>
          <w:color w:val="231F20"/>
          <w:spacing w:val="-1"/>
        </w:rPr>
        <w:t> </w:t>
      </w:r>
      <w:r>
        <w:rPr>
          <w:color w:val="231F20"/>
        </w:rPr>
        <w:t>not</w:t>
      </w:r>
      <w:r>
        <w:rPr>
          <w:color w:val="231F20"/>
          <w:spacing w:val="-1"/>
        </w:rPr>
        <w:t> </w:t>
      </w:r>
      <w:r>
        <w:rPr>
          <w:color w:val="231F20"/>
        </w:rPr>
        <w:t>to</w:t>
      </w:r>
      <w:r>
        <w:rPr>
          <w:color w:val="231F20"/>
          <w:spacing w:val="-1"/>
        </w:rPr>
        <w:t> </w:t>
      </w:r>
      <w:r>
        <w:rPr>
          <w:color w:val="231F20"/>
        </w:rPr>
        <w:t>be</w:t>
      </w:r>
      <w:r>
        <w:rPr>
          <w:color w:val="231F20"/>
          <w:spacing w:val="-2"/>
        </w:rPr>
        <w:t> </w:t>
      </w:r>
      <w:r>
        <w:rPr>
          <w:color w:val="231F20"/>
        </w:rPr>
        <w:t>protected</w:t>
      </w:r>
      <w:r>
        <w:rPr>
          <w:color w:val="231F20"/>
          <w:spacing w:val="-2"/>
        </w:rPr>
        <w:t> </w:t>
      </w:r>
      <w:r>
        <w:rPr>
          <w:color w:val="231F20"/>
        </w:rPr>
        <w:t>to</w:t>
      </w:r>
      <w:r>
        <w:rPr>
          <w:color w:val="231F20"/>
          <w:spacing w:val="-2"/>
        </w:rPr>
        <w:t> </w:t>
      </w:r>
      <w:r>
        <w:rPr>
          <w:color w:val="231F20"/>
        </w:rPr>
        <w:t>that extent and, instead, opts to have the contract annulled.</w:t>
      </w:r>
      <w:r>
        <w:rPr>
          <w:color w:val="231F20"/>
          <w:vertAlign w:val="superscript"/>
        </w:rPr>
        <w:t>152</w:t>
      </w:r>
    </w:p>
    <w:p>
      <w:pPr>
        <w:pStyle w:val="ListParagraph"/>
        <w:numPr>
          <w:ilvl w:val="0"/>
          <w:numId w:val="4"/>
        </w:numPr>
        <w:tabs>
          <w:tab w:pos="1324" w:val="left" w:leader="none"/>
        </w:tabs>
        <w:spacing w:line="288" w:lineRule="auto" w:before="120" w:after="0"/>
        <w:ind w:left="871" w:right="866" w:firstLine="0"/>
        <w:jc w:val="both"/>
        <w:rPr>
          <w:sz w:val="19"/>
        </w:rPr>
      </w:pPr>
      <w:r>
        <w:rPr>
          <w:color w:val="231F20"/>
          <w:sz w:val="19"/>
        </w:rPr>
        <w:t>In any case, it would be wrong to believe that revising the contract and integrating it with default rules from national law would lead to dissuasiveness being achieved.</w:t>
      </w:r>
      <w:r>
        <w:rPr>
          <w:color w:val="231F20"/>
          <w:sz w:val="19"/>
          <w:vertAlign w:val="superscript"/>
        </w:rPr>
        <w:t>153</w:t>
      </w:r>
      <w:r>
        <w:rPr>
          <w:color w:val="231F20"/>
          <w:sz w:val="19"/>
          <w:vertAlign w:val="baseline"/>
        </w:rPr>
        <w:t> The fact that the non-bindingness of the contract does </w:t>
      </w:r>
      <w:r>
        <w:rPr>
          <w:color w:val="231F20"/>
          <w:sz w:val="19"/>
          <w:vertAlign w:val="baseline"/>
        </w:rPr>
        <w:t>not dissuade should not make the contrary true, namely that a binding and revised contract</w:t>
      </w:r>
      <w:r>
        <w:rPr>
          <w:color w:val="231F20"/>
          <w:spacing w:val="-6"/>
          <w:sz w:val="19"/>
          <w:vertAlign w:val="baseline"/>
        </w:rPr>
        <w:t> </w:t>
      </w:r>
      <w:r>
        <w:rPr>
          <w:color w:val="231F20"/>
          <w:sz w:val="19"/>
          <w:vertAlign w:val="baseline"/>
        </w:rPr>
        <w:t>would</w:t>
      </w:r>
      <w:r>
        <w:rPr>
          <w:color w:val="231F20"/>
          <w:spacing w:val="-7"/>
          <w:sz w:val="19"/>
          <w:vertAlign w:val="baseline"/>
        </w:rPr>
        <w:t> </w:t>
      </w:r>
      <w:r>
        <w:rPr>
          <w:color w:val="231F20"/>
          <w:sz w:val="19"/>
          <w:vertAlign w:val="baseline"/>
        </w:rPr>
        <w:t>be</w:t>
      </w:r>
      <w:r>
        <w:rPr>
          <w:color w:val="231F20"/>
          <w:spacing w:val="-6"/>
          <w:sz w:val="19"/>
          <w:vertAlign w:val="baseline"/>
        </w:rPr>
        <w:t> </w:t>
      </w:r>
      <w:r>
        <w:rPr>
          <w:color w:val="231F20"/>
          <w:sz w:val="19"/>
          <w:vertAlign w:val="baseline"/>
        </w:rPr>
        <w:t>dissuasive.</w:t>
      </w:r>
      <w:r>
        <w:rPr>
          <w:color w:val="231F20"/>
          <w:spacing w:val="-7"/>
          <w:sz w:val="19"/>
          <w:vertAlign w:val="baseline"/>
        </w:rPr>
        <w:t> </w:t>
      </w:r>
      <w:r>
        <w:rPr>
          <w:color w:val="231F20"/>
          <w:sz w:val="19"/>
          <w:vertAlign w:val="baseline"/>
        </w:rPr>
        <w:t>At</w:t>
      </w:r>
      <w:r>
        <w:rPr>
          <w:color w:val="231F20"/>
          <w:spacing w:val="-6"/>
          <w:sz w:val="19"/>
          <w:vertAlign w:val="baseline"/>
        </w:rPr>
        <w:t> </w:t>
      </w:r>
      <w:r>
        <w:rPr>
          <w:color w:val="231F20"/>
          <w:sz w:val="19"/>
          <w:vertAlign w:val="baseline"/>
        </w:rPr>
        <w:t>least</w:t>
      </w:r>
      <w:r>
        <w:rPr>
          <w:color w:val="231F20"/>
          <w:spacing w:val="-6"/>
          <w:sz w:val="19"/>
          <w:vertAlign w:val="baseline"/>
        </w:rPr>
        <w:t> </w:t>
      </w:r>
      <w:r>
        <w:rPr>
          <w:color w:val="231F20"/>
          <w:sz w:val="19"/>
          <w:vertAlign w:val="baseline"/>
        </w:rPr>
        <w:t>not</w:t>
      </w:r>
      <w:r>
        <w:rPr>
          <w:color w:val="231F20"/>
          <w:spacing w:val="-6"/>
          <w:sz w:val="19"/>
          <w:vertAlign w:val="baseline"/>
        </w:rPr>
        <w:t> </w:t>
      </w:r>
      <w:r>
        <w:rPr>
          <w:color w:val="231F20"/>
          <w:sz w:val="19"/>
          <w:vertAlign w:val="baseline"/>
        </w:rPr>
        <w:t>under</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standards</w:t>
      </w:r>
      <w:r>
        <w:rPr>
          <w:color w:val="231F20"/>
          <w:spacing w:val="-5"/>
          <w:sz w:val="19"/>
          <w:vertAlign w:val="baseline"/>
        </w:rPr>
        <w:t> </w:t>
      </w:r>
      <w:r>
        <w:rPr>
          <w:color w:val="231F20"/>
          <w:sz w:val="19"/>
          <w:vertAlign w:val="baseline"/>
        </w:rPr>
        <w:t>that</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ECJ</w:t>
      </w:r>
      <w:r>
        <w:rPr>
          <w:color w:val="231F20"/>
          <w:spacing w:val="-6"/>
          <w:sz w:val="19"/>
          <w:vertAlign w:val="baseline"/>
        </w:rPr>
        <w:t> </w:t>
      </w:r>
      <w:r>
        <w:rPr>
          <w:color w:val="231F20"/>
          <w:sz w:val="19"/>
          <w:vertAlign w:val="baseline"/>
        </w:rPr>
        <w:t>set</w:t>
      </w:r>
      <w:r>
        <w:rPr>
          <w:color w:val="231F20"/>
          <w:spacing w:val="-5"/>
          <w:sz w:val="19"/>
          <w:vertAlign w:val="baseline"/>
        </w:rPr>
        <w:t> </w:t>
      </w:r>
      <w:r>
        <w:rPr>
          <w:color w:val="231F20"/>
          <w:sz w:val="19"/>
          <w:vertAlign w:val="baseline"/>
        </w:rPr>
        <w:t>for the UCTD.</w:t>
      </w:r>
      <w:r>
        <w:rPr>
          <w:color w:val="231F20"/>
          <w:sz w:val="19"/>
          <w:vertAlign w:val="superscript"/>
        </w:rPr>
        <w:t>154</w:t>
      </w:r>
    </w:p>
    <w:p>
      <w:pPr>
        <w:pStyle w:val="ListParagraph"/>
        <w:numPr>
          <w:ilvl w:val="0"/>
          <w:numId w:val="4"/>
        </w:numPr>
        <w:tabs>
          <w:tab w:pos="1324" w:val="left" w:leader="none"/>
        </w:tabs>
        <w:spacing w:line="288" w:lineRule="auto" w:before="119" w:after="0"/>
        <w:ind w:left="871" w:right="868" w:firstLine="0"/>
        <w:jc w:val="both"/>
        <w:rPr>
          <w:sz w:val="19"/>
        </w:rPr>
      </w:pPr>
      <w:r>
        <w:rPr>
          <w:color w:val="231F20"/>
          <w:sz w:val="19"/>
        </w:rPr>
        <w:t>The</w:t>
      </w:r>
      <w:r>
        <w:rPr>
          <w:color w:val="231F20"/>
          <w:spacing w:val="-6"/>
          <w:sz w:val="19"/>
        </w:rPr>
        <w:t> </w:t>
      </w:r>
      <w:r>
        <w:rPr>
          <w:color w:val="231F20"/>
          <w:sz w:val="19"/>
        </w:rPr>
        <w:t>reasoning</w:t>
      </w:r>
      <w:r>
        <w:rPr>
          <w:color w:val="231F20"/>
          <w:spacing w:val="-5"/>
          <w:sz w:val="19"/>
        </w:rPr>
        <w:t> </w:t>
      </w:r>
      <w:r>
        <w:rPr>
          <w:color w:val="231F20"/>
          <w:sz w:val="19"/>
        </w:rPr>
        <w:t>against</w:t>
      </w:r>
      <w:r>
        <w:rPr>
          <w:color w:val="231F20"/>
          <w:spacing w:val="-6"/>
          <w:sz w:val="19"/>
        </w:rPr>
        <w:t> </w:t>
      </w:r>
      <w:r>
        <w:rPr>
          <w:color w:val="231F20"/>
          <w:sz w:val="19"/>
        </w:rPr>
        <w:t>contract</w:t>
      </w:r>
      <w:r>
        <w:rPr>
          <w:color w:val="231F20"/>
          <w:spacing w:val="-5"/>
          <w:sz w:val="19"/>
        </w:rPr>
        <w:t> </w:t>
      </w:r>
      <w:r>
        <w:rPr>
          <w:color w:val="231F20"/>
          <w:sz w:val="19"/>
        </w:rPr>
        <w:t>revision</w:t>
      </w:r>
      <w:r>
        <w:rPr>
          <w:color w:val="231F20"/>
          <w:spacing w:val="-6"/>
          <w:sz w:val="19"/>
        </w:rPr>
        <w:t> </w:t>
      </w:r>
      <w:r>
        <w:rPr>
          <w:color w:val="231F20"/>
          <w:sz w:val="19"/>
        </w:rPr>
        <w:t>in</w:t>
      </w:r>
      <w:r>
        <w:rPr>
          <w:color w:val="231F20"/>
          <w:spacing w:val="-5"/>
          <w:sz w:val="19"/>
        </w:rPr>
        <w:t> </w:t>
      </w:r>
      <w:r>
        <w:rPr>
          <w:i/>
          <w:color w:val="231F20"/>
          <w:sz w:val="19"/>
        </w:rPr>
        <w:t>Banco</w:t>
      </w:r>
      <w:r>
        <w:rPr>
          <w:i/>
          <w:color w:val="231F20"/>
          <w:spacing w:val="-6"/>
          <w:sz w:val="19"/>
        </w:rPr>
        <w:t> </w:t>
      </w:r>
      <w:r>
        <w:rPr>
          <w:i/>
          <w:color w:val="231F20"/>
          <w:sz w:val="19"/>
        </w:rPr>
        <w:t>Español</w:t>
      </w:r>
      <w:r>
        <w:rPr>
          <w:i/>
          <w:color w:val="231F20"/>
          <w:spacing w:val="-5"/>
          <w:sz w:val="19"/>
        </w:rPr>
        <w:t> </w:t>
      </w:r>
      <w:r>
        <w:rPr>
          <w:color w:val="231F20"/>
          <w:sz w:val="19"/>
        </w:rPr>
        <w:t>remains</w:t>
      </w:r>
      <w:r>
        <w:rPr>
          <w:color w:val="231F20"/>
          <w:spacing w:val="-6"/>
          <w:sz w:val="19"/>
        </w:rPr>
        <w:t> </w:t>
      </w:r>
      <w:r>
        <w:rPr>
          <w:color w:val="231F20"/>
          <w:sz w:val="19"/>
        </w:rPr>
        <w:t>accurate, even if it</w:t>
      </w:r>
      <w:r>
        <w:rPr>
          <w:color w:val="231F20"/>
          <w:spacing w:val="-2"/>
          <w:sz w:val="19"/>
        </w:rPr>
        <w:t> </w:t>
      </w:r>
      <w:r>
        <w:rPr>
          <w:color w:val="231F20"/>
          <w:sz w:val="19"/>
        </w:rPr>
        <w:t>is</w:t>
      </w:r>
      <w:r>
        <w:rPr>
          <w:color w:val="231F20"/>
          <w:spacing w:val="-1"/>
          <w:sz w:val="19"/>
        </w:rPr>
        <w:t> </w:t>
      </w:r>
      <w:r>
        <w:rPr>
          <w:color w:val="231F20"/>
          <w:sz w:val="19"/>
        </w:rPr>
        <w:t>done</w:t>
      </w:r>
      <w:r>
        <w:rPr>
          <w:color w:val="231F20"/>
          <w:spacing w:val="-2"/>
          <w:sz w:val="19"/>
        </w:rPr>
        <w:t> </w:t>
      </w:r>
      <w:r>
        <w:rPr>
          <w:color w:val="231F20"/>
          <w:sz w:val="19"/>
        </w:rPr>
        <w:t>in</w:t>
      </w:r>
      <w:r>
        <w:rPr>
          <w:color w:val="231F20"/>
          <w:spacing w:val="-1"/>
          <w:sz w:val="19"/>
        </w:rPr>
        <w:t> </w:t>
      </w:r>
      <w:r>
        <w:rPr>
          <w:color w:val="231F20"/>
          <w:sz w:val="19"/>
        </w:rPr>
        <w:t>the</w:t>
      </w:r>
      <w:r>
        <w:rPr>
          <w:color w:val="231F20"/>
          <w:spacing w:val="-1"/>
          <w:sz w:val="19"/>
        </w:rPr>
        <w:t> </w:t>
      </w:r>
      <w:r>
        <w:rPr>
          <w:color w:val="231F20"/>
          <w:sz w:val="19"/>
        </w:rPr>
        <w:t>situation</w:t>
      </w:r>
      <w:r>
        <w:rPr>
          <w:color w:val="231F20"/>
          <w:spacing w:val="-2"/>
          <w:sz w:val="19"/>
        </w:rPr>
        <w:t> </w:t>
      </w:r>
      <w:r>
        <w:rPr>
          <w:color w:val="231F20"/>
          <w:sz w:val="19"/>
        </w:rPr>
        <w:t>where</w:t>
      </w:r>
      <w:r>
        <w:rPr>
          <w:color w:val="231F20"/>
          <w:spacing w:val="-1"/>
          <w:sz w:val="19"/>
        </w:rPr>
        <w:t> </w:t>
      </w:r>
      <w:r>
        <w:rPr>
          <w:color w:val="231F20"/>
          <w:sz w:val="19"/>
        </w:rPr>
        <w:t>the</w:t>
      </w:r>
      <w:r>
        <w:rPr>
          <w:color w:val="231F20"/>
          <w:spacing w:val="-1"/>
          <w:sz w:val="19"/>
        </w:rPr>
        <w:t> </w:t>
      </w:r>
      <w:r>
        <w:rPr>
          <w:color w:val="231F20"/>
          <w:sz w:val="19"/>
        </w:rPr>
        <w:t>contract</w:t>
      </w:r>
      <w:r>
        <w:rPr>
          <w:color w:val="231F20"/>
          <w:spacing w:val="-2"/>
          <w:sz w:val="19"/>
        </w:rPr>
        <w:t> </w:t>
      </w:r>
      <w:r>
        <w:rPr>
          <w:color w:val="231F20"/>
          <w:sz w:val="19"/>
        </w:rPr>
        <w:t>cannot</w:t>
      </w:r>
      <w:r>
        <w:rPr>
          <w:color w:val="231F20"/>
          <w:spacing w:val="-1"/>
          <w:sz w:val="19"/>
        </w:rPr>
        <w:t> </w:t>
      </w:r>
      <w:r>
        <w:rPr>
          <w:color w:val="231F20"/>
          <w:sz w:val="19"/>
        </w:rPr>
        <w:t>continue</w:t>
      </w:r>
      <w:r>
        <w:rPr>
          <w:color w:val="231F20"/>
          <w:spacing w:val="-1"/>
          <w:sz w:val="19"/>
        </w:rPr>
        <w:t> </w:t>
      </w:r>
      <w:r>
        <w:rPr>
          <w:color w:val="231F20"/>
          <w:sz w:val="19"/>
        </w:rPr>
        <w:t>in</w:t>
      </w:r>
      <w:r>
        <w:rPr>
          <w:color w:val="231F20"/>
          <w:spacing w:val="-1"/>
          <w:sz w:val="19"/>
        </w:rPr>
        <w:t> </w:t>
      </w:r>
      <w:r>
        <w:rPr>
          <w:color w:val="231F20"/>
          <w:sz w:val="19"/>
        </w:rPr>
        <w:t>existence. The ECJ then stated that:</w:t>
      </w:r>
    </w:p>
    <w:p>
      <w:pPr>
        <w:spacing w:line="302" w:lineRule="auto" w:before="148"/>
        <w:ind w:left="1438" w:right="867" w:firstLine="0"/>
        <w:jc w:val="both"/>
        <w:rPr>
          <w:sz w:val="18"/>
        </w:rPr>
      </w:pPr>
      <w:r>
        <w:rPr>
          <w:color w:val="231F20"/>
          <w:spacing w:val="-4"/>
          <w:sz w:val="18"/>
        </w:rPr>
        <w:t>if</w:t>
      </w:r>
      <w:r>
        <w:rPr>
          <w:color w:val="231F20"/>
          <w:spacing w:val="-7"/>
          <w:sz w:val="18"/>
        </w:rPr>
        <w:t> </w:t>
      </w:r>
      <w:r>
        <w:rPr>
          <w:color w:val="231F20"/>
          <w:spacing w:val="-4"/>
          <w:sz w:val="18"/>
        </w:rPr>
        <w:t>it</w:t>
      </w:r>
      <w:r>
        <w:rPr>
          <w:color w:val="231F20"/>
          <w:spacing w:val="-7"/>
          <w:sz w:val="18"/>
        </w:rPr>
        <w:t> </w:t>
      </w:r>
      <w:r>
        <w:rPr>
          <w:color w:val="231F20"/>
          <w:spacing w:val="-4"/>
          <w:sz w:val="18"/>
        </w:rPr>
        <w:t>were</w:t>
      </w:r>
      <w:r>
        <w:rPr>
          <w:color w:val="231F20"/>
          <w:spacing w:val="-7"/>
          <w:sz w:val="18"/>
        </w:rPr>
        <w:t> </w:t>
      </w:r>
      <w:r>
        <w:rPr>
          <w:color w:val="231F20"/>
          <w:spacing w:val="-4"/>
          <w:sz w:val="18"/>
        </w:rPr>
        <w:t>open</w:t>
      </w:r>
      <w:r>
        <w:rPr>
          <w:color w:val="231F20"/>
          <w:spacing w:val="-7"/>
          <w:sz w:val="18"/>
        </w:rPr>
        <w:t> </w:t>
      </w:r>
      <w:r>
        <w:rPr>
          <w:color w:val="231F20"/>
          <w:spacing w:val="-4"/>
          <w:sz w:val="18"/>
        </w:rPr>
        <w:t>to</w:t>
      </w:r>
      <w:r>
        <w:rPr>
          <w:color w:val="231F20"/>
          <w:spacing w:val="-7"/>
          <w:sz w:val="18"/>
        </w:rPr>
        <w:t> </w:t>
      </w:r>
      <w:r>
        <w:rPr>
          <w:color w:val="231F20"/>
          <w:spacing w:val="-4"/>
          <w:sz w:val="18"/>
        </w:rPr>
        <w:t>the</w:t>
      </w:r>
      <w:r>
        <w:rPr>
          <w:color w:val="231F20"/>
          <w:spacing w:val="-7"/>
          <w:sz w:val="18"/>
        </w:rPr>
        <w:t> </w:t>
      </w:r>
      <w:r>
        <w:rPr>
          <w:color w:val="231F20"/>
          <w:spacing w:val="-4"/>
          <w:sz w:val="18"/>
        </w:rPr>
        <w:t>national</w:t>
      </w:r>
      <w:r>
        <w:rPr>
          <w:color w:val="231F20"/>
          <w:spacing w:val="-6"/>
          <w:sz w:val="18"/>
        </w:rPr>
        <w:t> </w:t>
      </w:r>
      <w:r>
        <w:rPr>
          <w:color w:val="231F20"/>
          <w:spacing w:val="-4"/>
          <w:sz w:val="18"/>
        </w:rPr>
        <w:t>court</w:t>
      </w:r>
      <w:r>
        <w:rPr>
          <w:color w:val="231F20"/>
          <w:spacing w:val="-7"/>
          <w:sz w:val="18"/>
        </w:rPr>
        <w:t> </w:t>
      </w:r>
      <w:r>
        <w:rPr>
          <w:color w:val="231F20"/>
          <w:spacing w:val="-4"/>
          <w:sz w:val="18"/>
        </w:rPr>
        <w:t>to</w:t>
      </w:r>
      <w:r>
        <w:rPr>
          <w:color w:val="231F20"/>
          <w:spacing w:val="-7"/>
          <w:sz w:val="18"/>
        </w:rPr>
        <w:t> </w:t>
      </w:r>
      <w:r>
        <w:rPr>
          <w:color w:val="231F20"/>
          <w:spacing w:val="-4"/>
          <w:sz w:val="18"/>
        </w:rPr>
        <w:t>revise</w:t>
      </w:r>
      <w:r>
        <w:rPr>
          <w:color w:val="231F20"/>
          <w:spacing w:val="-7"/>
          <w:sz w:val="18"/>
        </w:rPr>
        <w:t> </w:t>
      </w:r>
      <w:r>
        <w:rPr>
          <w:color w:val="231F20"/>
          <w:spacing w:val="-4"/>
          <w:sz w:val="18"/>
        </w:rPr>
        <w:t>the</w:t>
      </w:r>
      <w:r>
        <w:rPr>
          <w:color w:val="231F20"/>
          <w:spacing w:val="-7"/>
          <w:sz w:val="18"/>
        </w:rPr>
        <w:t> </w:t>
      </w:r>
      <w:r>
        <w:rPr>
          <w:color w:val="231F20"/>
          <w:spacing w:val="-4"/>
          <w:sz w:val="18"/>
        </w:rPr>
        <w:t>content</w:t>
      </w:r>
      <w:r>
        <w:rPr>
          <w:color w:val="231F20"/>
          <w:spacing w:val="-7"/>
          <w:sz w:val="18"/>
        </w:rPr>
        <w:t> </w:t>
      </w:r>
      <w:r>
        <w:rPr>
          <w:color w:val="231F20"/>
          <w:spacing w:val="-4"/>
          <w:sz w:val="18"/>
        </w:rPr>
        <w:t>of</w:t>
      </w:r>
      <w:r>
        <w:rPr>
          <w:color w:val="231F20"/>
          <w:spacing w:val="-7"/>
          <w:sz w:val="18"/>
        </w:rPr>
        <w:t> </w:t>
      </w:r>
      <w:r>
        <w:rPr>
          <w:color w:val="231F20"/>
          <w:spacing w:val="-4"/>
          <w:sz w:val="18"/>
        </w:rPr>
        <w:t>unfair</w:t>
      </w:r>
      <w:r>
        <w:rPr>
          <w:color w:val="231F20"/>
          <w:spacing w:val="-6"/>
          <w:sz w:val="18"/>
        </w:rPr>
        <w:t> </w:t>
      </w:r>
      <w:r>
        <w:rPr>
          <w:color w:val="231F20"/>
          <w:spacing w:val="-4"/>
          <w:sz w:val="18"/>
        </w:rPr>
        <w:t>terms</w:t>
      </w:r>
      <w:r>
        <w:rPr>
          <w:color w:val="231F20"/>
          <w:spacing w:val="-7"/>
          <w:sz w:val="18"/>
        </w:rPr>
        <w:t> </w:t>
      </w:r>
      <w:r>
        <w:rPr>
          <w:color w:val="231F20"/>
          <w:spacing w:val="-4"/>
          <w:sz w:val="18"/>
        </w:rPr>
        <w:t>included</w:t>
      </w:r>
      <w:r>
        <w:rPr>
          <w:color w:val="231F20"/>
          <w:spacing w:val="-7"/>
          <w:sz w:val="18"/>
        </w:rPr>
        <w:t> </w:t>
      </w:r>
      <w:r>
        <w:rPr>
          <w:color w:val="231F20"/>
          <w:spacing w:val="-4"/>
          <w:sz w:val="18"/>
        </w:rPr>
        <w:t>in</w:t>
      </w:r>
      <w:r>
        <w:rPr>
          <w:color w:val="231F20"/>
          <w:sz w:val="18"/>
        </w:rPr>
        <w:t> such</w:t>
      </w:r>
      <w:r>
        <w:rPr>
          <w:color w:val="231F20"/>
          <w:spacing w:val="-11"/>
          <w:sz w:val="18"/>
        </w:rPr>
        <w:t> </w:t>
      </w:r>
      <w:r>
        <w:rPr>
          <w:color w:val="231F20"/>
          <w:sz w:val="18"/>
        </w:rPr>
        <w:t>contracts,</w:t>
      </w:r>
      <w:r>
        <w:rPr>
          <w:color w:val="231F20"/>
          <w:spacing w:val="-11"/>
          <w:sz w:val="18"/>
        </w:rPr>
        <w:t> </w:t>
      </w:r>
      <w:r>
        <w:rPr>
          <w:color w:val="231F20"/>
          <w:sz w:val="18"/>
        </w:rPr>
        <w:t>such</w:t>
      </w:r>
      <w:r>
        <w:rPr>
          <w:color w:val="231F20"/>
          <w:spacing w:val="-11"/>
          <w:sz w:val="18"/>
        </w:rPr>
        <w:t> </w:t>
      </w:r>
      <w:r>
        <w:rPr>
          <w:color w:val="231F20"/>
          <w:sz w:val="18"/>
        </w:rPr>
        <w:t>a</w:t>
      </w:r>
      <w:r>
        <w:rPr>
          <w:color w:val="231F20"/>
          <w:spacing w:val="-11"/>
          <w:sz w:val="18"/>
        </w:rPr>
        <w:t> </w:t>
      </w:r>
      <w:r>
        <w:rPr>
          <w:color w:val="231F20"/>
          <w:sz w:val="18"/>
        </w:rPr>
        <w:t>power</w:t>
      </w:r>
      <w:r>
        <w:rPr>
          <w:color w:val="231F20"/>
          <w:spacing w:val="-11"/>
          <w:sz w:val="18"/>
        </w:rPr>
        <w:t> </w:t>
      </w:r>
      <w:r>
        <w:rPr>
          <w:color w:val="231F20"/>
          <w:sz w:val="18"/>
        </w:rPr>
        <w:t>would</w:t>
      </w:r>
      <w:r>
        <w:rPr>
          <w:color w:val="231F20"/>
          <w:spacing w:val="-11"/>
          <w:sz w:val="18"/>
        </w:rPr>
        <w:t> </w:t>
      </w:r>
      <w:r>
        <w:rPr>
          <w:color w:val="231F20"/>
          <w:sz w:val="18"/>
        </w:rPr>
        <w:t>(</w:t>
      </w:r>
      <w:r>
        <w:rPr>
          <w:rFonts w:ascii="Arial" w:hAnsi="Arial"/>
          <w:color w:val="231F20"/>
          <w:sz w:val="18"/>
        </w:rPr>
        <w:t>…</w:t>
      </w:r>
      <w:r>
        <w:rPr>
          <w:color w:val="231F20"/>
          <w:sz w:val="18"/>
        </w:rPr>
        <w:t>)</w:t>
      </w:r>
      <w:r>
        <w:rPr>
          <w:color w:val="231F20"/>
          <w:spacing w:val="-10"/>
          <w:sz w:val="18"/>
        </w:rPr>
        <w:t> </w:t>
      </w:r>
      <w:r>
        <w:rPr>
          <w:color w:val="231F20"/>
          <w:sz w:val="18"/>
        </w:rPr>
        <w:t>contribute</w:t>
      </w:r>
      <w:r>
        <w:rPr>
          <w:color w:val="231F20"/>
          <w:spacing w:val="-11"/>
          <w:sz w:val="18"/>
        </w:rPr>
        <w:t> </w:t>
      </w:r>
      <w:r>
        <w:rPr>
          <w:color w:val="231F20"/>
          <w:sz w:val="18"/>
        </w:rPr>
        <w:t>to</w:t>
      </w:r>
      <w:r>
        <w:rPr>
          <w:color w:val="231F20"/>
          <w:spacing w:val="-11"/>
          <w:sz w:val="18"/>
        </w:rPr>
        <w:t> </w:t>
      </w:r>
      <w:r>
        <w:rPr>
          <w:color w:val="231F20"/>
          <w:sz w:val="18"/>
        </w:rPr>
        <w:t>eliminating</w:t>
      </w:r>
      <w:r>
        <w:rPr>
          <w:color w:val="231F20"/>
          <w:spacing w:val="-11"/>
          <w:sz w:val="18"/>
        </w:rPr>
        <w:t> </w:t>
      </w:r>
      <w:r>
        <w:rPr>
          <w:color w:val="231F20"/>
          <w:sz w:val="18"/>
        </w:rPr>
        <w:t>the</w:t>
      </w:r>
      <w:r>
        <w:rPr>
          <w:color w:val="231F20"/>
          <w:spacing w:val="-11"/>
          <w:sz w:val="18"/>
        </w:rPr>
        <w:t> </w:t>
      </w:r>
      <w:r>
        <w:rPr>
          <w:color w:val="231F20"/>
          <w:sz w:val="18"/>
        </w:rPr>
        <w:t>dissuasive </w:t>
      </w:r>
      <w:r>
        <w:rPr>
          <w:color w:val="231F20"/>
          <w:spacing w:val="-2"/>
          <w:sz w:val="18"/>
        </w:rPr>
        <w:t>effect</w:t>
      </w:r>
      <w:r>
        <w:rPr>
          <w:color w:val="231F20"/>
          <w:spacing w:val="-6"/>
          <w:sz w:val="18"/>
        </w:rPr>
        <w:t> </w:t>
      </w:r>
      <w:r>
        <w:rPr>
          <w:color w:val="231F20"/>
          <w:spacing w:val="-2"/>
          <w:sz w:val="18"/>
        </w:rPr>
        <w:t>on</w:t>
      </w:r>
      <w:r>
        <w:rPr>
          <w:color w:val="231F20"/>
          <w:spacing w:val="-5"/>
          <w:sz w:val="18"/>
        </w:rPr>
        <w:t> </w:t>
      </w:r>
      <w:r>
        <w:rPr>
          <w:color w:val="231F20"/>
          <w:spacing w:val="-2"/>
          <w:sz w:val="18"/>
        </w:rPr>
        <w:t>sellers</w:t>
      </w:r>
      <w:r>
        <w:rPr>
          <w:color w:val="231F20"/>
          <w:spacing w:val="-6"/>
          <w:sz w:val="18"/>
        </w:rPr>
        <w:t> </w:t>
      </w:r>
      <w:r>
        <w:rPr>
          <w:color w:val="231F20"/>
          <w:spacing w:val="-2"/>
          <w:sz w:val="18"/>
        </w:rPr>
        <w:t>or</w:t>
      </w:r>
      <w:r>
        <w:rPr>
          <w:color w:val="231F20"/>
          <w:spacing w:val="-5"/>
          <w:sz w:val="18"/>
        </w:rPr>
        <w:t> </w:t>
      </w:r>
      <w:r>
        <w:rPr>
          <w:color w:val="231F20"/>
          <w:spacing w:val="-2"/>
          <w:sz w:val="18"/>
        </w:rPr>
        <w:t>suppliers</w:t>
      </w:r>
      <w:r>
        <w:rPr>
          <w:color w:val="231F20"/>
          <w:spacing w:val="-6"/>
          <w:sz w:val="18"/>
        </w:rPr>
        <w:t> </w:t>
      </w:r>
      <w:r>
        <w:rPr>
          <w:color w:val="231F20"/>
          <w:spacing w:val="-2"/>
          <w:sz w:val="18"/>
        </w:rPr>
        <w:t>(</w:t>
      </w:r>
      <w:r>
        <w:rPr>
          <w:rFonts w:ascii="Arial" w:hAnsi="Arial"/>
          <w:color w:val="231F20"/>
          <w:spacing w:val="-2"/>
          <w:sz w:val="18"/>
        </w:rPr>
        <w:t>…</w:t>
      </w:r>
      <w:r>
        <w:rPr>
          <w:color w:val="231F20"/>
          <w:spacing w:val="-2"/>
          <w:sz w:val="18"/>
        </w:rPr>
        <w:t>),</w:t>
      </w:r>
      <w:r>
        <w:rPr>
          <w:color w:val="231F20"/>
          <w:spacing w:val="-5"/>
          <w:sz w:val="18"/>
        </w:rPr>
        <w:t> </w:t>
      </w:r>
      <w:r>
        <w:rPr>
          <w:color w:val="231F20"/>
          <w:spacing w:val="-2"/>
          <w:sz w:val="18"/>
        </w:rPr>
        <w:t>in</w:t>
      </w:r>
      <w:r>
        <w:rPr>
          <w:color w:val="231F20"/>
          <w:spacing w:val="-5"/>
          <w:sz w:val="18"/>
        </w:rPr>
        <w:t> </w:t>
      </w:r>
      <w:r>
        <w:rPr>
          <w:color w:val="231F20"/>
          <w:spacing w:val="-2"/>
          <w:sz w:val="18"/>
        </w:rPr>
        <w:t>so</w:t>
      </w:r>
      <w:r>
        <w:rPr>
          <w:color w:val="231F20"/>
          <w:spacing w:val="-5"/>
          <w:sz w:val="18"/>
        </w:rPr>
        <w:t> </w:t>
      </w:r>
      <w:r>
        <w:rPr>
          <w:color w:val="231F20"/>
          <w:spacing w:val="-2"/>
          <w:sz w:val="18"/>
        </w:rPr>
        <w:t>far</w:t>
      </w:r>
      <w:r>
        <w:rPr>
          <w:color w:val="231F20"/>
          <w:spacing w:val="-5"/>
          <w:sz w:val="18"/>
        </w:rPr>
        <w:t> </w:t>
      </w:r>
      <w:r>
        <w:rPr>
          <w:color w:val="231F20"/>
          <w:spacing w:val="-2"/>
          <w:sz w:val="18"/>
        </w:rPr>
        <w:t>as</w:t>
      </w:r>
      <w:r>
        <w:rPr>
          <w:color w:val="231F20"/>
          <w:spacing w:val="-5"/>
          <w:sz w:val="18"/>
        </w:rPr>
        <w:t> </w:t>
      </w:r>
      <w:r>
        <w:rPr>
          <w:color w:val="231F20"/>
          <w:spacing w:val="-2"/>
          <w:sz w:val="18"/>
        </w:rPr>
        <w:t>[they]</w:t>
      </w:r>
      <w:r>
        <w:rPr>
          <w:color w:val="231F20"/>
          <w:spacing w:val="-5"/>
          <w:sz w:val="18"/>
        </w:rPr>
        <w:t> </w:t>
      </w:r>
      <w:r>
        <w:rPr>
          <w:color w:val="231F20"/>
          <w:spacing w:val="-2"/>
          <w:sz w:val="18"/>
        </w:rPr>
        <w:t>would</w:t>
      </w:r>
      <w:r>
        <w:rPr>
          <w:color w:val="231F20"/>
          <w:spacing w:val="-5"/>
          <w:sz w:val="18"/>
        </w:rPr>
        <w:t> </w:t>
      </w:r>
      <w:r>
        <w:rPr>
          <w:color w:val="231F20"/>
          <w:spacing w:val="-2"/>
          <w:sz w:val="18"/>
        </w:rPr>
        <w:t>remain</w:t>
      </w:r>
      <w:r>
        <w:rPr>
          <w:color w:val="231F20"/>
          <w:spacing w:val="-5"/>
          <w:sz w:val="18"/>
        </w:rPr>
        <w:t> </w:t>
      </w:r>
      <w:r>
        <w:rPr>
          <w:color w:val="231F20"/>
          <w:spacing w:val="-2"/>
          <w:sz w:val="18"/>
        </w:rPr>
        <w:t>tempted</w:t>
      </w:r>
      <w:r>
        <w:rPr>
          <w:color w:val="231F20"/>
          <w:spacing w:val="-5"/>
          <w:sz w:val="18"/>
        </w:rPr>
        <w:t> </w:t>
      </w:r>
      <w:r>
        <w:rPr>
          <w:color w:val="231F20"/>
          <w:spacing w:val="-2"/>
          <w:sz w:val="18"/>
        </w:rPr>
        <w:t>to</w:t>
      </w:r>
      <w:r>
        <w:rPr>
          <w:color w:val="231F20"/>
          <w:spacing w:val="-5"/>
          <w:sz w:val="18"/>
        </w:rPr>
        <w:t> </w:t>
      </w:r>
      <w:r>
        <w:rPr>
          <w:color w:val="231F20"/>
          <w:spacing w:val="-2"/>
          <w:sz w:val="18"/>
        </w:rPr>
        <w:t>use those</w:t>
      </w:r>
      <w:r>
        <w:rPr>
          <w:color w:val="231F20"/>
          <w:spacing w:val="-9"/>
          <w:sz w:val="18"/>
        </w:rPr>
        <w:t> </w:t>
      </w:r>
      <w:r>
        <w:rPr>
          <w:color w:val="231F20"/>
          <w:spacing w:val="-2"/>
          <w:sz w:val="18"/>
        </w:rPr>
        <w:t>terms</w:t>
      </w:r>
      <w:r>
        <w:rPr>
          <w:color w:val="231F20"/>
          <w:spacing w:val="-9"/>
          <w:sz w:val="18"/>
        </w:rPr>
        <w:t> </w:t>
      </w:r>
      <w:r>
        <w:rPr>
          <w:color w:val="231F20"/>
          <w:spacing w:val="-2"/>
          <w:sz w:val="18"/>
        </w:rPr>
        <w:t>in</w:t>
      </w:r>
      <w:r>
        <w:rPr>
          <w:color w:val="231F20"/>
          <w:spacing w:val="-9"/>
          <w:sz w:val="18"/>
        </w:rPr>
        <w:t> </w:t>
      </w:r>
      <w:r>
        <w:rPr>
          <w:color w:val="231F20"/>
          <w:spacing w:val="-2"/>
          <w:sz w:val="18"/>
        </w:rPr>
        <w:t>the</w:t>
      </w:r>
      <w:r>
        <w:rPr>
          <w:color w:val="231F20"/>
          <w:spacing w:val="-9"/>
          <w:sz w:val="18"/>
        </w:rPr>
        <w:t> </w:t>
      </w:r>
      <w:r>
        <w:rPr>
          <w:color w:val="231F20"/>
          <w:spacing w:val="-2"/>
          <w:sz w:val="18"/>
        </w:rPr>
        <w:t>knowledge</w:t>
      </w:r>
      <w:r>
        <w:rPr>
          <w:color w:val="231F20"/>
          <w:spacing w:val="-9"/>
          <w:sz w:val="18"/>
        </w:rPr>
        <w:t> </w:t>
      </w:r>
      <w:r>
        <w:rPr>
          <w:color w:val="231F20"/>
          <w:spacing w:val="-2"/>
          <w:sz w:val="18"/>
        </w:rPr>
        <w:t>that,</w:t>
      </w:r>
      <w:r>
        <w:rPr>
          <w:color w:val="231F20"/>
          <w:spacing w:val="-9"/>
          <w:sz w:val="18"/>
        </w:rPr>
        <w:t> </w:t>
      </w:r>
      <w:r>
        <w:rPr>
          <w:color w:val="231F20"/>
          <w:spacing w:val="-2"/>
          <w:sz w:val="18"/>
        </w:rPr>
        <w:t>even</w:t>
      </w:r>
      <w:r>
        <w:rPr>
          <w:color w:val="231F20"/>
          <w:spacing w:val="-8"/>
          <w:sz w:val="18"/>
        </w:rPr>
        <w:t> </w:t>
      </w:r>
      <w:r>
        <w:rPr>
          <w:color w:val="231F20"/>
          <w:spacing w:val="-2"/>
          <w:sz w:val="18"/>
        </w:rPr>
        <w:t>if</w:t>
      </w:r>
      <w:r>
        <w:rPr>
          <w:color w:val="231F20"/>
          <w:spacing w:val="-9"/>
          <w:sz w:val="18"/>
        </w:rPr>
        <w:t> </w:t>
      </w:r>
      <w:r>
        <w:rPr>
          <w:color w:val="231F20"/>
          <w:spacing w:val="-2"/>
          <w:sz w:val="18"/>
        </w:rPr>
        <w:t>they</w:t>
      </w:r>
      <w:r>
        <w:rPr>
          <w:color w:val="231F20"/>
          <w:spacing w:val="-9"/>
          <w:sz w:val="18"/>
        </w:rPr>
        <w:t> </w:t>
      </w:r>
      <w:r>
        <w:rPr>
          <w:color w:val="231F20"/>
          <w:spacing w:val="-2"/>
          <w:sz w:val="18"/>
        </w:rPr>
        <w:t>were</w:t>
      </w:r>
      <w:r>
        <w:rPr>
          <w:color w:val="231F20"/>
          <w:spacing w:val="-9"/>
          <w:sz w:val="18"/>
        </w:rPr>
        <w:t> </w:t>
      </w:r>
      <w:r>
        <w:rPr>
          <w:color w:val="231F20"/>
          <w:spacing w:val="-2"/>
          <w:sz w:val="18"/>
        </w:rPr>
        <w:t>declared</w:t>
      </w:r>
      <w:r>
        <w:rPr>
          <w:color w:val="231F20"/>
          <w:spacing w:val="-9"/>
          <w:sz w:val="18"/>
        </w:rPr>
        <w:t> </w:t>
      </w:r>
      <w:r>
        <w:rPr>
          <w:color w:val="231F20"/>
          <w:spacing w:val="-2"/>
          <w:sz w:val="18"/>
        </w:rPr>
        <w:t>invalid,</w:t>
      </w:r>
      <w:r>
        <w:rPr>
          <w:color w:val="231F20"/>
          <w:spacing w:val="-9"/>
          <w:sz w:val="18"/>
        </w:rPr>
        <w:t> </w:t>
      </w:r>
      <w:r>
        <w:rPr>
          <w:color w:val="231F20"/>
          <w:spacing w:val="-2"/>
          <w:sz w:val="18"/>
        </w:rPr>
        <w:t>the</w:t>
      </w:r>
      <w:r>
        <w:rPr>
          <w:color w:val="231F20"/>
          <w:spacing w:val="-9"/>
          <w:sz w:val="18"/>
        </w:rPr>
        <w:t> </w:t>
      </w:r>
      <w:r>
        <w:rPr>
          <w:color w:val="231F20"/>
          <w:spacing w:val="-2"/>
          <w:sz w:val="18"/>
        </w:rPr>
        <w:t>contract </w:t>
      </w:r>
      <w:r>
        <w:rPr>
          <w:color w:val="231F20"/>
          <w:sz w:val="18"/>
        </w:rPr>
        <w:t>could</w:t>
      </w:r>
      <w:r>
        <w:rPr>
          <w:color w:val="231F20"/>
          <w:spacing w:val="-11"/>
          <w:sz w:val="18"/>
        </w:rPr>
        <w:t> </w:t>
      </w:r>
      <w:r>
        <w:rPr>
          <w:color w:val="231F20"/>
          <w:sz w:val="18"/>
        </w:rPr>
        <w:t>nevertheless</w:t>
      </w:r>
      <w:r>
        <w:rPr>
          <w:color w:val="231F20"/>
          <w:spacing w:val="-11"/>
          <w:sz w:val="18"/>
        </w:rPr>
        <w:t> </w:t>
      </w:r>
      <w:r>
        <w:rPr>
          <w:color w:val="231F20"/>
          <w:sz w:val="18"/>
        </w:rPr>
        <w:t>be</w:t>
      </w:r>
      <w:r>
        <w:rPr>
          <w:color w:val="231F20"/>
          <w:spacing w:val="-11"/>
          <w:sz w:val="18"/>
        </w:rPr>
        <w:t> </w:t>
      </w:r>
      <w:r>
        <w:rPr>
          <w:color w:val="231F20"/>
          <w:sz w:val="18"/>
        </w:rPr>
        <w:t>modified,</w:t>
      </w:r>
      <w:r>
        <w:rPr>
          <w:color w:val="231F20"/>
          <w:spacing w:val="-11"/>
          <w:sz w:val="18"/>
        </w:rPr>
        <w:t> </w:t>
      </w:r>
      <w:r>
        <w:rPr>
          <w:color w:val="231F20"/>
          <w:sz w:val="18"/>
        </w:rPr>
        <w:t>to</w:t>
      </w:r>
      <w:r>
        <w:rPr>
          <w:color w:val="231F20"/>
          <w:spacing w:val="-11"/>
          <w:sz w:val="18"/>
        </w:rPr>
        <w:t> </w:t>
      </w:r>
      <w:r>
        <w:rPr>
          <w:color w:val="231F20"/>
          <w:sz w:val="18"/>
        </w:rPr>
        <w:t>the</w:t>
      </w:r>
      <w:r>
        <w:rPr>
          <w:color w:val="231F20"/>
          <w:spacing w:val="-11"/>
          <w:sz w:val="18"/>
        </w:rPr>
        <w:t> </w:t>
      </w:r>
      <w:r>
        <w:rPr>
          <w:color w:val="231F20"/>
          <w:sz w:val="18"/>
        </w:rPr>
        <w:t>extent</w:t>
      </w:r>
      <w:r>
        <w:rPr>
          <w:color w:val="231F20"/>
          <w:spacing w:val="-10"/>
          <w:sz w:val="18"/>
        </w:rPr>
        <w:t> </w:t>
      </w:r>
      <w:r>
        <w:rPr>
          <w:color w:val="231F20"/>
          <w:sz w:val="18"/>
        </w:rPr>
        <w:t>necessary,</w:t>
      </w:r>
      <w:r>
        <w:rPr>
          <w:color w:val="231F20"/>
          <w:spacing w:val="-11"/>
          <w:sz w:val="18"/>
        </w:rPr>
        <w:t> </w:t>
      </w:r>
      <w:r>
        <w:rPr>
          <w:color w:val="231F20"/>
          <w:sz w:val="18"/>
        </w:rPr>
        <w:t>by</w:t>
      </w:r>
      <w:r>
        <w:rPr>
          <w:color w:val="231F20"/>
          <w:spacing w:val="-11"/>
          <w:sz w:val="18"/>
        </w:rPr>
        <w:t> </w:t>
      </w:r>
      <w:r>
        <w:rPr>
          <w:color w:val="231F20"/>
          <w:sz w:val="18"/>
        </w:rPr>
        <w:t>the</w:t>
      </w:r>
      <w:r>
        <w:rPr>
          <w:color w:val="231F20"/>
          <w:spacing w:val="-11"/>
          <w:sz w:val="18"/>
        </w:rPr>
        <w:t> </w:t>
      </w:r>
      <w:r>
        <w:rPr>
          <w:color w:val="231F20"/>
          <w:sz w:val="18"/>
        </w:rPr>
        <w:t>national</w:t>
      </w:r>
      <w:r>
        <w:rPr>
          <w:color w:val="231F20"/>
          <w:spacing w:val="-11"/>
          <w:sz w:val="18"/>
        </w:rPr>
        <w:t> </w:t>
      </w:r>
      <w:r>
        <w:rPr>
          <w:color w:val="231F20"/>
          <w:sz w:val="18"/>
        </w:rPr>
        <w:t>court.</w:t>
      </w:r>
      <w:r>
        <w:rPr>
          <w:color w:val="231F20"/>
          <w:sz w:val="18"/>
          <w:vertAlign w:val="superscript"/>
        </w:rPr>
        <w:t>155</w:t>
      </w:r>
    </w:p>
    <w:p>
      <w:pPr>
        <w:pStyle w:val="ListParagraph"/>
        <w:numPr>
          <w:ilvl w:val="0"/>
          <w:numId w:val="4"/>
        </w:numPr>
        <w:tabs>
          <w:tab w:pos="1324" w:val="left" w:leader="none"/>
        </w:tabs>
        <w:spacing w:line="288" w:lineRule="auto" w:before="129" w:after="0"/>
        <w:ind w:left="871" w:right="867" w:firstLine="0"/>
        <w:jc w:val="both"/>
        <w:rPr>
          <w:sz w:val="19"/>
        </w:rPr>
      </w:pPr>
      <w:r>
        <w:rPr>
          <w:color w:val="231F20"/>
          <w:spacing w:val="-2"/>
          <w:sz w:val="19"/>
        </w:rPr>
        <w:t>If the</w:t>
      </w:r>
      <w:r>
        <w:rPr>
          <w:color w:val="231F20"/>
          <w:spacing w:val="-6"/>
          <w:sz w:val="19"/>
        </w:rPr>
        <w:t> </w:t>
      </w:r>
      <w:r>
        <w:rPr>
          <w:color w:val="231F20"/>
          <w:spacing w:val="-2"/>
          <w:sz w:val="19"/>
        </w:rPr>
        <w:t>contract</w:t>
      </w:r>
      <w:r>
        <w:rPr>
          <w:color w:val="231F20"/>
          <w:spacing w:val="-7"/>
          <w:sz w:val="19"/>
        </w:rPr>
        <w:t> </w:t>
      </w:r>
      <w:r>
        <w:rPr>
          <w:color w:val="231F20"/>
          <w:spacing w:val="-2"/>
          <w:sz w:val="19"/>
        </w:rPr>
        <w:t>continues</w:t>
      </w:r>
      <w:r>
        <w:rPr>
          <w:color w:val="231F20"/>
          <w:spacing w:val="-5"/>
          <w:sz w:val="19"/>
        </w:rPr>
        <w:t> </w:t>
      </w:r>
      <w:r>
        <w:rPr>
          <w:color w:val="231F20"/>
          <w:spacing w:val="-2"/>
          <w:sz w:val="19"/>
        </w:rPr>
        <w:t>in</w:t>
      </w:r>
      <w:r>
        <w:rPr>
          <w:color w:val="231F20"/>
          <w:spacing w:val="-7"/>
          <w:sz w:val="19"/>
        </w:rPr>
        <w:t> </w:t>
      </w:r>
      <w:r>
        <w:rPr>
          <w:color w:val="231F20"/>
          <w:spacing w:val="-2"/>
          <w:sz w:val="19"/>
        </w:rPr>
        <w:t>existence</w:t>
      </w:r>
      <w:r>
        <w:rPr>
          <w:color w:val="231F20"/>
          <w:spacing w:val="-7"/>
          <w:sz w:val="19"/>
        </w:rPr>
        <w:t> </w:t>
      </w:r>
      <w:r>
        <w:rPr>
          <w:color w:val="231F20"/>
          <w:spacing w:val="-2"/>
          <w:sz w:val="19"/>
        </w:rPr>
        <w:t>in</w:t>
      </w:r>
      <w:r>
        <w:rPr>
          <w:color w:val="231F20"/>
          <w:spacing w:val="-7"/>
          <w:sz w:val="19"/>
        </w:rPr>
        <w:t> </w:t>
      </w:r>
      <w:r>
        <w:rPr>
          <w:color w:val="231F20"/>
          <w:spacing w:val="-2"/>
          <w:sz w:val="19"/>
        </w:rPr>
        <w:t>a</w:t>
      </w:r>
      <w:r>
        <w:rPr>
          <w:color w:val="231F20"/>
          <w:spacing w:val="-5"/>
          <w:sz w:val="19"/>
        </w:rPr>
        <w:t> </w:t>
      </w:r>
      <w:r>
        <w:rPr>
          <w:color w:val="231F20"/>
          <w:spacing w:val="-2"/>
          <w:sz w:val="19"/>
        </w:rPr>
        <w:t>revised</w:t>
      </w:r>
      <w:r>
        <w:rPr>
          <w:color w:val="231F20"/>
          <w:spacing w:val="-5"/>
          <w:sz w:val="19"/>
        </w:rPr>
        <w:t> </w:t>
      </w:r>
      <w:r>
        <w:rPr>
          <w:color w:val="231F20"/>
          <w:spacing w:val="-2"/>
          <w:sz w:val="19"/>
        </w:rPr>
        <w:t>form,</w:t>
      </w:r>
      <w:r>
        <w:rPr>
          <w:color w:val="231F20"/>
          <w:spacing w:val="-7"/>
          <w:sz w:val="19"/>
        </w:rPr>
        <w:t> </w:t>
      </w:r>
      <w:r>
        <w:rPr>
          <w:color w:val="231F20"/>
          <w:spacing w:val="-2"/>
          <w:sz w:val="19"/>
        </w:rPr>
        <w:t>the</w:t>
      </w:r>
      <w:r>
        <w:rPr>
          <w:color w:val="231F20"/>
          <w:spacing w:val="-7"/>
          <w:sz w:val="19"/>
        </w:rPr>
        <w:t> </w:t>
      </w:r>
      <w:r>
        <w:rPr>
          <w:color w:val="231F20"/>
          <w:spacing w:val="-2"/>
          <w:sz w:val="19"/>
        </w:rPr>
        <w:t>dissuasive</w:t>
      </w:r>
      <w:r>
        <w:rPr>
          <w:color w:val="231F20"/>
          <w:spacing w:val="-5"/>
          <w:sz w:val="19"/>
        </w:rPr>
        <w:t> </w:t>
      </w:r>
      <w:r>
        <w:rPr>
          <w:color w:val="231F20"/>
          <w:spacing w:val="-2"/>
          <w:sz w:val="19"/>
        </w:rPr>
        <w:t>effect</w:t>
      </w:r>
      <w:r>
        <w:rPr>
          <w:color w:val="231F20"/>
          <w:spacing w:val="-5"/>
          <w:sz w:val="19"/>
        </w:rPr>
        <w:t> </w:t>
      </w:r>
      <w:r>
        <w:rPr>
          <w:color w:val="231F20"/>
          <w:spacing w:val="-2"/>
          <w:sz w:val="19"/>
        </w:rPr>
        <w:t>of </w:t>
      </w:r>
      <w:r>
        <w:rPr>
          <w:color w:val="231F20"/>
          <w:sz w:val="19"/>
        </w:rPr>
        <w:t>Article</w:t>
      </w:r>
      <w:r>
        <w:rPr>
          <w:color w:val="231F20"/>
          <w:spacing w:val="-7"/>
          <w:sz w:val="19"/>
        </w:rPr>
        <w:t> </w:t>
      </w:r>
      <w:r>
        <w:rPr>
          <w:color w:val="231F20"/>
          <w:sz w:val="19"/>
        </w:rPr>
        <w:t>6(1)</w:t>
      </w:r>
      <w:r>
        <w:rPr>
          <w:color w:val="231F20"/>
          <w:spacing w:val="-7"/>
          <w:sz w:val="19"/>
        </w:rPr>
        <w:t> </w:t>
      </w:r>
      <w:r>
        <w:rPr>
          <w:color w:val="231F20"/>
          <w:sz w:val="19"/>
        </w:rPr>
        <w:t>UCTD,</w:t>
      </w:r>
      <w:r>
        <w:rPr>
          <w:color w:val="231F20"/>
          <w:spacing w:val="-8"/>
          <w:sz w:val="19"/>
        </w:rPr>
        <w:t> </w:t>
      </w:r>
      <w:r>
        <w:rPr>
          <w:color w:val="231F20"/>
          <w:sz w:val="19"/>
        </w:rPr>
        <w:t>in</w:t>
      </w:r>
      <w:r>
        <w:rPr>
          <w:color w:val="231F20"/>
          <w:spacing w:val="-8"/>
          <w:sz w:val="19"/>
        </w:rPr>
        <w:t> </w:t>
      </w:r>
      <w:r>
        <w:rPr>
          <w:color w:val="231F20"/>
          <w:sz w:val="19"/>
        </w:rPr>
        <w:t>combination</w:t>
      </w:r>
      <w:r>
        <w:rPr>
          <w:color w:val="231F20"/>
          <w:spacing w:val="-7"/>
          <w:sz w:val="19"/>
        </w:rPr>
        <w:t> </w:t>
      </w:r>
      <w:r>
        <w:rPr>
          <w:color w:val="231F20"/>
          <w:sz w:val="19"/>
        </w:rPr>
        <w:t>with</w:t>
      </w:r>
      <w:r>
        <w:rPr>
          <w:color w:val="231F20"/>
          <w:spacing w:val="-6"/>
          <w:sz w:val="19"/>
        </w:rPr>
        <w:t> </w:t>
      </w:r>
      <w:r>
        <w:rPr>
          <w:color w:val="231F20"/>
          <w:sz w:val="19"/>
        </w:rPr>
        <w:t>Article</w:t>
      </w:r>
      <w:r>
        <w:rPr>
          <w:color w:val="231F20"/>
          <w:spacing w:val="-7"/>
          <w:sz w:val="19"/>
        </w:rPr>
        <w:t> </w:t>
      </w:r>
      <w:r>
        <w:rPr>
          <w:color w:val="231F20"/>
          <w:sz w:val="19"/>
        </w:rPr>
        <w:t>7(1)</w:t>
      </w:r>
      <w:r>
        <w:rPr>
          <w:color w:val="231F20"/>
          <w:spacing w:val="-7"/>
          <w:sz w:val="19"/>
        </w:rPr>
        <w:t> </w:t>
      </w:r>
      <w:r>
        <w:rPr>
          <w:color w:val="231F20"/>
          <w:sz w:val="19"/>
        </w:rPr>
        <w:t>UCTD,</w:t>
      </w:r>
      <w:r>
        <w:rPr>
          <w:color w:val="231F20"/>
          <w:spacing w:val="-8"/>
          <w:sz w:val="19"/>
        </w:rPr>
        <w:t> </w:t>
      </w:r>
      <w:r>
        <w:rPr>
          <w:color w:val="231F20"/>
          <w:sz w:val="19"/>
        </w:rPr>
        <w:t>would</w:t>
      </w:r>
      <w:r>
        <w:rPr>
          <w:color w:val="231F20"/>
          <w:spacing w:val="-7"/>
          <w:sz w:val="19"/>
        </w:rPr>
        <w:t> </w:t>
      </w:r>
      <w:r>
        <w:rPr>
          <w:color w:val="231F20"/>
          <w:sz w:val="19"/>
        </w:rPr>
        <w:t>not</w:t>
      </w:r>
      <w:r>
        <w:rPr>
          <w:color w:val="231F20"/>
          <w:spacing w:val="-8"/>
          <w:sz w:val="19"/>
        </w:rPr>
        <w:t> </w:t>
      </w:r>
      <w:r>
        <w:rPr>
          <w:color w:val="231F20"/>
          <w:sz w:val="19"/>
        </w:rPr>
        <w:t>be</w:t>
      </w:r>
      <w:r>
        <w:rPr>
          <w:color w:val="231F20"/>
          <w:spacing w:val="-7"/>
          <w:sz w:val="19"/>
        </w:rPr>
        <w:t> </w:t>
      </w:r>
      <w:r>
        <w:rPr>
          <w:color w:val="231F20"/>
          <w:sz w:val="19"/>
        </w:rPr>
        <w:t>achieved. </w:t>
      </w:r>
      <w:r>
        <w:rPr>
          <w:color w:val="231F20"/>
          <w:spacing w:val="-6"/>
          <w:sz w:val="19"/>
        </w:rPr>
        <w:t>The</w:t>
      </w:r>
      <w:r>
        <w:rPr>
          <w:color w:val="231F20"/>
          <w:spacing w:val="-3"/>
          <w:sz w:val="19"/>
        </w:rPr>
        <w:t> </w:t>
      </w:r>
      <w:r>
        <w:rPr>
          <w:color w:val="231F20"/>
          <w:spacing w:val="-6"/>
          <w:sz w:val="19"/>
        </w:rPr>
        <w:t>solution</w:t>
      </w:r>
      <w:r>
        <w:rPr>
          <w:color w:val="231F20"/>
          <w:spacing w:val="-3"/>
          <w:sz w:val="19"/>
        </w:rPr>
        <w:t> </w:t>
      </w:r>
      <w:r>
        <w:rPr>
          <w:color w:val="231F20"/>
          <w:spacing w:val="-6"/>
          <w:sz w:val="19"/>
        </w:rPr>
        <w:t>of</w:t>
      </w:r>
      <w:r>
        <w:rPr>
          <w:color w:val="231F20"/>
          <w:sz w:val="19"/>
        </w:rPr>
        <w:t> </w:t>
      </w:r>
      <w:r>
        <w:rPr>
          <w:color w:val="231F20"/>
          <w:spacing w:val="-6"/>
          <w:sz w:val="19"/>
        </w:rPr>
        <w:t>the</w:t>
      </w:r>
      <w:r>
        <w:rPr>
          <w:color w:val="231F20"/>
          <w:spacing w:val="-3"/>
          <w:sz w:val="19"/>
        </w:rPr>
        <w:t> </w:t>
      </w:r>
      <w:r>
        <w:rPr>
          <w:color w:val="231F20"/>
          <w:spacing w:val="-6"/>
          <w:sz w:val="19"/>
        </w:rPr>
        <w:t>ECJ</w:t>
      </w:r>
      <w:r>
        <w:rPr>
          <w:color w:val="231F20"/>
          <w:spacing w:val="-1"/>
          <w:sz w:val="19"/>
        </w:rPr>
        <w:t> </w:t>
      </w:r>
      <w:r>
        <w:rPr>
          <w:color w:val="231F20"/>
          <w:spacing w:val="-6"/>
          <w:sz w:val="19"/>
        </w:rPr>
        <w:t>in</w:t>
      </w:r>
      <w:r>
        <w:rPr>
          <w:color w:val="231F20"/>
          <w:spacing w:val="-2"/>
          <w:sz w:val="19"/>
        </w:rPr>
        <w:t> </w:t>
      </w:r>
      <w:r>
        <w:rPr>
          <w:i/>
          <w:color w:val="231F20"/>
          <w:spacing w:val="-6"/>
          <w:sz w:val="19"/>
        </w:rPr>
        <w:t>Kásler</w:t>
      </w:r>
      <w:r>
        <w:rPr>
          <w:i/>
          <w:color w:val="231F20"/>
          <w:spacing w:val="-3"/>
          <w:sz w:val="19"/>
        </w:rPr>
        <w:t> </w:t>
      </w:r>
      <w:r>
        <w:rPr>
          <w:color w:val="231F20"/>
          <w:spacing w:val="-6"/>
          <w:sz w:val="19"/>
        </w:rPr>
        <w:t>ensures</w:t>
      </w:r>
      <w:r>
        <w:rPr>
          <w:color w:val="231F20"/>
          <w:spacing w:val="-3"/>
          <w:sz w:val="19"/>
        </w:rPr>
        <w:t> </w:t>
      </w:r>
      <w:r>
        <w:rPr>
          <w:color w:val="231F20"/>
          <w:spacing w:val="-6"/>
          <w:sz w:val="19"/>
        </w:rPr>
        <w:t>party</w:t>
      </w:r>
      <w:r>
        <w:rPr>
          <w:color w:val="231F20"/>
          <w:spacing w:val="-5"/>
          <w:sz w:val="19"/>
        </w:rPr>
        <w:t> </w:t>
      </w:r>
      <w:r>
        <w:rPr>
          <w:color w:val="231F20"/>
          <w:spacing w:val="-6"/>
          <w:sz w:val="19"/>
        </w:rPr>
        <w:t>equality</w:t>
      </w:r>
      <w:r>
        <w:rPr>
          <w:color w:val="231F20"/>
          <w:spacing w:val="-1"/>
          <w:sz w:val="19"/>
        </w:rPr>
        <w:t> </w:t>
      </w:r>
      <w:r>
        <w:rPr>
          <w:color w:val="231F20"/>
          <w:spacing w:val="-6"/>
          <w:sz w:val="19"/>
        </w:rPr>
        <w:t>but</w:t>
      </w:r>
      <w:r>
        <w:rPr>
          <w:color w:val="231F20"/>
          <w:spacing w:val="-1"/>
          <w:sz w:val="19"/>
        </w:rPr>
        <w:t> </w:t>
      </w:r>
      <w:r>
        <w:rPr>
          <w:color w:val="231F20"/>
          <w:spacing w:val="-6"/>
          <w:sz w:val="19"/>
        </w:rPr>
        <w:t>not</w:t>
      </w:r>
      <w:r>
        <w:rPr>
          <w:color w:val="231F20"/>
          <w:spacing w:val="-1"/>
          <w:sz w:val="19"/>
        </w:rPr>
        <w:t> </w:t>
      </w:r>
      <w:r>
        <w:rPr>
          <w:color w:val="231F20"/>
          <w:spacing w:val="-6"/>
          <w:sz w:val="19"/>
        </w:rPr>
        <w:t>dissuasiveness.</w:t>
      </w:r>
      <w:r>
        <w:rPr>
          <w:color w:val="231F20"/>
          <w:spacing w:val="-3"/>
          <w:sz w:val="19"/>
        </w:rPr>
        <w:t> </w:t>
      </w:r>
      <w:r>
        <w:rPr>
          <w:color w:val="231F20"/>
          <w:spacing w:val="-6"/>
          <w:sz w:val="19"/>
        </w:rPr>
        <w:t>In</w:t>
      </w:r>
      <w:r>
        <w:rPr>
          <w:color w:val="231F20"/>
          <w:spacing w:val="-3"/>
          <w:sz w:val="19"/>
        </w:rPr>
        <w:t> </w:t>
      </w:r>
      <w:r>
        <w:rPr>
          <w:color w:val="231F20"/>
          <w:spacing w:val="-6"/>
          <w:sz w:val="19"/>
        </w:rPr>
        <w:t>this</w:t>
      </w:r>
      <w:r>
        <w:rPr>
          <w:color w:val="231F20"/>
          <w:spacing w:val="-4"/>
          <w:sz w:val="19"/>
        </w:rPr>
        <w:t> scenario, dissuasiveness in the use of unfair terms should be attained through public </w:t>
      </w:r>
      <w:r>
        <w:rPr>
          <w:color w:val="231F20"/>
          <w:sz w:val="19"/>
        </w:rPr>
        <w:t>enforcement,</w:t>
      </w:r>
      <w:r>
        <w:rPr>
          <w:color w:val="231F20"/>
          <w:spacing w:val="-3"/>
          <w:sz w:val="19"/>
        </w:rPr>
        <w:t> </w:t>
      </w:r>
      <w:r>
        <w:rPr>
          <w:color w:val="231F20"/>
          <w:sz w:val="19"/>
        </w:rPr>
        <w:t>especially</w:t>
      </w:r>
      <w:r>
        <w:rPr>
          <w:color w:val="231F20"/>
          <w:spacing w:val="-7"/>
          <w:sz w:val="19"/>
        </w:rPr>
        <w:t> </w:t>
      </w:r>
      <w:r>
        <w:rPr>
          <w:color w:val="231F20"/>
          <w:sz w:val="19"/>
        </w:rPr>
        <w:t>with</w:t>
      </w:r>
      <w:r>
        <w:rPr>
          <w:color w:val="231F20"/>
          <w:spacing w:val="-4"/>
          <w:sz w:val="19"/>
        </w:rPr>
        <w:t> </w:t>
      </w:r>
      <w:r>
        <w:rPr>
          <w:color w:val="231F20"/>
          <w:sz w:val="19"/>
        </w:rPr>
        <w:t>the</w:t>
      </w:r>
      <w:r>
        <w:rPr>
          <w:color w:val="231F20"/>
          <w:spacing w:val="-6"/>
          <w:sz w:val="19"/>
        </w:rPr>
        <w:t> </w:t>
      </w:r>
      <w:r>
        <w:rPr>
          <w:color w:val="231F20"/>
          <w:sz w:val="19"/>
        </w:rPr>
        <w:t>penalties</w:t>
      </w:r>
      <w:r>
        <w:rPr>
          <w:color w:val="231F20"/>
          <w:spacing w:val="-4"/>
          <w:sz w:val="19"/>
        </w:rPr>
        <w:t> </w:t>
      </w:r>
      <w:r>
        <w:rPr>
          <w:color w:val="231F20"/>
          <w:sz w:val="19"/>
        </w:rPr>
        <w:t>set</w:t>
      </w:r>
      <w:r>
        <w:rPr>
          <w:color w:val="231F20"/>
          <w:spacing w:val="-4"/>
          <w:sz w:val="19"/>
        </w:rPr>
        <w:t> </w:t>
      </w:r>
      <w:r>
        <w:rPr>
          <w:color w:val="231F20"/>
          <w:sz w:val="19"/>
        </w:rPr>
        <w:t>out</w:t>
      </w:r>
      <w:r>
        <w:rPr>
          <w:color w:val="231F20"/>
          <w:spacing w:val="-4"/>
          <w:sz w:val="19"/>
        </w:rPr>
        <w:t> </w:t>
      </w:r>
      <w:r>
        <w:rPr>
          <w:color w:val="231F20"/>
          <w:sz w:val="19"/>
        </w:rPr>
        <w:t>in</w:t>
      </w:r>
      <w:r>
        <w:rPr>
          <w:color w:val="231F20"/>
          <w:spacing w:val="-7"/>
          <w:sz w:val="19"/>
        </w:rPr>
        <w:t> </w:t>
      </w:r>
      <w:r>
        <w:rPr>
          <w:color w:val="231F20"/>
          <w:sz w:val="19"/>
        </w:rPr>
        <w:t>Article</w:t>
      </w:r>
      <w:r>
        <w:rPr>
          <w:color w:val="231F20"/>
          <w:spacing w:val="-6"/>
          <w:sz w:val="19"/>
        </w:rPr>
        <w:t> </w:t>
      </w:r>
      <w:r>
        <w:rPr>
          <w:color w:val="231F20"/>
          <w:sz w:val="19"/>
        </w:rPr>
        <w:t>8b</w:t>
      </w:r>
      <w:r>
        <w:rPr>
          <w:color w:val="231F20"/>
          <w:spacing w:val="-5"/>
          <w:sz w:val="19"/>
        </w:rPr>
        <w:t> </w:t>
      </w:r>
      <w:r>
        <w:rPr>
          <w:color w:val="231F20"/>
          <w:sz w:val="19"/>
        </w:rPr>
        <w:t>UCTD.</w:t>
      </w:r>
    </w:p>
    <w:p>
      <w:pPr>
        <w:pStyle w:val="Heading2"/>
        <w:numPr>
          <w:ilvl w:val="2"/>
          <w:numId w:val="1"/>
        </w:numPr>
        <w:tabs>
          <w:tab w:pos="899" w:val="left" w:leader="none"/>
        </w:tabs>
        <w:spacing w:line="240" w:lineRule="auto" w:before="211" w:after="0"/>
        <w:ind w:left="899" w:right="0" w:hanging="680"/>
        <w:jc w:val="left"/>
        <w:rPr>
          <w:i/>
        </w:rPr>
      </w:pPr>
      <w:r>
        <w:rPr>
          <w:i/>
          <w:color w:val="231F20"/>
          <w:w w:val="90"/>
        </w:rPr>
        <w:t>The</w:t>
      </w:r>
      <w:r>
        <w:rPr>
          <w:i/>
          <w:color w:val="231F20"/>
          <w:spacing w:val="2"/>
        </w:rPr>
        <w:t> </w:t>
      </w:r>
      <w:r>
        <w:rPr>
          <w:i/>
          <w:color w:val="231F20"/>
          <w:w w:val="90"/>
        </w:rPr>
        <w:t>Materials</w:t>
      </w:r>
      <w:r>
        <w:rPr>
          <w:i/>
          <w:color w:val="231F20"/>
        </w:rPr>
        <w:t> </w:t>
      </w:r>
      <w:r>
        <w:rPr>
          <w:i/>
          <w:color w:val="231F20"/>
          <w:w w:val="90"/>
        </w:rPr>
        <w:t>to</w:t>
      </w:r>
      <w:r>
        <w:rPr>
          <w:i/>
          <w:color w:val="231F20"/>
          <w:spacing w:val="2"/>
        </w:rPr>
        <w:t> </w:t>
      </w:r>
      <w:r>
        <w:rPr>
          <w:i/>
          <w:color w:val="231F20"/>
          <w:w w:val="90"/>
        </w:rPr>
        <w:t>Supplement</w:t>
      </w:r>
      <w:r>
        <w:rPr>
          <w:i/>
          <w:color w:val="231F20"/>
          <w:spacing w:val="7"/>
        </w:rPr>
        <w:t> </w:t>
      </w:r>
      <w:r>
        <w:rPr>
          <w:i/>
          <w:color w:val="231F20"/>
          <w:w w:val="90"/>
        </w:rPr>
        <w:t>a</w:t>
      </w:r>
      <w:r>
        <w:rPr>
          <w:i/>
          <w:color w:val="231F20"/>
          <w:spacing w:val="5"/>
        </w:rPr>
        <w:t> </w:t>
      </w:r>
      <w:r>
        <w:rPr>
          <w:i/>
          <w:color w:val="231F20"/>
          <w:w w:val="90"/>
        </w:rPr>
        <w:t>Contract</w:t>
      </w:r>
      <w:r>
        <w:rPr>
          <w:i/>
          <w:color w:val="231F20"/>
          <w:spacing w:val="4"/>
        </w:rPr>
        <w:t> </w:t>
      </w:r>
      <w:r>
        <w:rPr>
          <w:i/>
          <w:color w:val="231F20"/>
          <w:w w:val="90"/>
        </w:rPr>
        <w:t>that</w:t>
      </w:r>
      <w:r>
        <w:rPr>
          <w:i/>
          <w:color w:val="231F20"/>
          <w:spacing w:val="4"/>
        </w:rPr>
        <w:t> </w:t>
      </w:r>
      <w:r>
        <w:rPr>
          <w:i/>
          <w:color w:val="231F20"/>
          <w:w w:val="90"/>
        </w:rPr>
        <w:t>Cannot</w:t>
      </w:r>
      <w:r>
        <w:rPr>
          <w:i/>
          <w:color w:val="231F20"/>
          <w:spacing w:val="4"/>
        </w:rPr>
        <w:t> </w:t>
      </w:r>
      <w:r>
        <w:rPr>
          <w:i/>
          <w:color w:val="231F20"/>
          <w:w w:val="90"/>
        </w:rPr>
        <w:t>Continue</w:t>
      </w:r>
      <w:r>
        <w:rPr>
          <w:i/>
          <w:color w:val="231F20"/>
          <w:spacing w:val="3"/>
        </w:rPr>
        <w:t> </w:t>
      </w:r>
      <w:r>
        <w:rPr>
          <w:i/>
          <w:color w:val="231F20"/>
          <w:w w:val="90"/>
        </w:rPr>
        <w:t>in</w:t>
      </w:r>
      <w:r>
        <w:rPr>
          <w:i/>
          <w:color w:val="231F20"/>
          <w:spacing w:val="3"/>
        </w:rPr>
        <w:t> </w:t>
      </w:r>
      <w:r>
        <w:rPr>
          <w:i/>
          <w:color w:val="231F20"/>
          <w:spacing w:val="-2"/>
          <w:w w:val="90"/>
        </w:rPr>
        <w:t>Existence</w:t>
      </w:r>
    </w:p>
    <w:p>
      <w:pPr>
        <w:pStyle w:val="ListParagraph"/>
        <w:numPr>
          <w:ilvl w:val="0"/>
          <w:numId w:val="4"/>
        </w:numPr>
        <w:tabs>
          <w:tab w:pos="1324" w:val="left" w:leader="none"/>
        </w:tabs>
        <w:spacing w:line="288" w:lineRule="auto" w:before="165" w:after="0"/>
        <w:ind w:left="871" w:right="869" w:firstLine="0"/>
        <w:jc w:val="both"/>
        <w:rPr>
          <w:sz w:val="19"/>
        </w:rPr>
      </w:pPr>
      <w:r>
        <w:rPr>
          <w:color w:val="231F20"/>
          <w:sz w:val="19"/>
        </w:rPr>
        <w:t>Against this backdrop, it seems that the ECJ has taken the wrong path in defining the materials that may integrate the contract when it cannot continue in existence (</w:t>
      </w:r>
      <w:r>
        <w:rPr>
          <w:i/>
          <w:color w:val="231F20"/>
          <w:sz w:val="19"/>
        </w:rPr>
        <w:t>Kásler</w:t>
      </w:r>
      <w:r>
        <w:rPr>
          <w:color w:val="231F20"/>
          <w:sz w:val="19"/>
        </w:rPr>
        <w:t>). As</w:t>
      </w:r>
      <w:r>
        <w:rPr>
          <w:color w:val="231F20"/>
          <w:spacing w:val="-1"/>
          <w:sz w:val="19"/>
        </w:rPr>
        <w:t> </w:t>
      </w:r>
      <w:r>
        <w:rPr>
          <w:color w:val="231F20"/>
          <w:sz w:val="19"/>
        </w:rPr>
        <w:t>mentioned earlier,</w:t>
      </w:r>
      <w:r>
        <w:rPr>
          <w:color w:val="231F20"/>
          <w:spacing w:val="-1"/>
          <w:sz w:val="19"/>
        </w:rPr>
        <w:t> </w:t>
      </w:r>
      <w:r>
        <w:rPr>
          <w:color w:val="231F20"/>
          <w:sz w:val="19"/>
        </w:rPr>
        <w:t>in that case, only</w:t>
      </w:r>
      <w:r>
        <w:rPr>
          <w:color w:val="231F20"/>
          <w:spacing w:val="-2"/>
          <w:sz w:val="19"/>
        </w:rPr>
        <w:t> </w:t>
      </w:r>
      <w:r>
        <w:rPr>
          <w:color w:val="231F20"/>
          <w:sz w:val="19"/>
        </w:rPr>
        <w:t>one of the</w:t>
      </w:r>
      <w:r>
        <w:rPr>
          <w:color w:val="231F20"/>
          <w:spacing w:val="-1"/>
          <w:sz w:val="19"/>
        </w:rPr>
        <w:t> </w:t>
      </w:r>
      <w:r>
        <w:rPr>
          <w:color w:val="231F20"/>
          <w:sz w:val="19"/>
        </w:rPr>
        <w:t>two</w:t>
      </w:r>
      <w:r>
        <w:rPr>
          <w:color w:val="231F20"/>
          <w:spacing w:val="-2"/>
          <w:sz w:val="19"/>
        </w:rPr>
        <w:t> </w:t>
      </w:r>
      <w:r>
        <w:rPr>
          <w:color w:val="231F20"/>
          <w:sz w:val="19"/>
        </w:rPr>
        <w:t>aims of Article 6(1) UCTD can be achieved, party equality, but not dissuasiveness.</w:t>
      </w:r>
    </w:p>
    <w:p>
      <w:pPr>
        <w:pStyle w:val="ListParagraph"/>
        <w:numPr>
          <w:ilvl w:val="0"/>
          <w:numId w:val="4"/>
        </w:numPr>
        <w:tabs>
          <w:tab w:pos="1428" w:val="left" w:leader="none"/>
        </w:tabs>
        <w:spacing w:line="283" w:lineRule="auto" w:before="117" w:after="0"/>
        <w:ind w:left="871" w:right="869" w:firstLine="0"/>
        <w:jc w:val="both"/>
        <w:rPr>
          <w:sz w:val="19"/>
        </w:rPr>
      </w:pPr>
      <w:r>
        <w:rPr>
          <w:color w:val="231F20"/>
          <w:sz w:val="19"/>
        </w:rPr>
        <w:t>In those circumstances, the Court decided that gap filling </w:t>
      </w:r>
      <w:r>
        <w:rPr>
          <w:rFonts w:ascii="Arial" w:hAnsi="Arial"/>
          <w:color w:val="231F20"/>
          <w:sz w:val="19"/>
        </w:rPr>
        <w:t>‘</w:t>
      </w:r>
      <w:r>
        <w:rPr>
          <w:color w:val="231F20"/>
          <w:sz w:val="19"/>
        </w:rPr>
        <w:t>is limited to supplementary</w:t>
      </w:r>
      <w:r>
        <w:rPr>
          <w:color w:val="231F20"/>
          <w:spacing w:val="-5"/>
          <w:sz w:val="19"/>
        </w:rPr>
        <w:t> </w:t>
      </w:r>
      <w:r>
        <w:rPr>
          <w:color w:val="231F20"/>
          <w:sz w:val="19"/>
        </w:rPr>
        <w:t>provisions</w:t>
      </w:r>
      <w:r>
        <w:rPr>
          <w:color w:val="231F20"/>
          <w:spacing w:val="-5"/>
          <w:sz w:val="19"/>
        </w:rPr>
        <w:t> </w:t>
      </w:r>
      <w:r>
        <w:rPr>
          <w:color w:val="231F20"/>
          <w:sz w:val="19"/>
        </w:rPr>
        <w:t>of</w:t>
      </w:r>
      <w:r>
        <w:rPr>
          <w:color w:val="231F20"/>
          <w:spacing w:val="-5"/>
          <w:sz w:val="19"/>
        </w:rPr>
        <w:t> </w:t>
      </w:r>
      <w:r>
        <w:rPr>
          <w:color w:val="231F20"/>
          <w:sz w:val="19"/>
        </w:rPr>
        <w:t>national</w:t>
      </w:r>
      <w:r>
        <w:rPr>
          <w:color w:val="231F20"/>
          <w:spacing w:val="-5"/>
          <w:sz w:val="19"/>
        </w:rPr>
        <w:t> </w:t>
      </w:r>
      <w:r>
        <w:rPr>
          <w:color w:val="231F20"/>
          <w:sz w:val="19"/>
        </w:rPr>
        <w:t>law</w:t>
      </w:r>
      <w:r>
        <w:rPr>
          <w:color w:val="231F20"/>
          <w:spacing w:val="-7"/>
          <w:sz w:val="19"/>
        </w:rPr>
        <w:t> </w:t>
      </w:r>
      <w:r>
        <w:rPr>
          <w:color w:val="231F20"/>
          <w:sz w:val="19"/>
        </w:rPr>
        <w:t>or</w:t>
      </w:r>
      <w:r>
        <w:rPr>
          <w:color w:val="231F20"/>
          <w:spacing w:val="-5"/>
          <w:sz w:val="19"/>
        </w:rPr>
        <w:t> </w:t>
      </w:r>
      <w:r>
        <w:rPr>
          <w:color w:val="231F20"/>
          <w:sz w:val="19"/>
        </w:rPr>
        <w:t>those</w:t>
      </w:r>
      <w:r>
        <w:rPr>
          <w:color w:val="231F20"/>
          <w:spacing w:val="-5"/>
          <w:sz w:val="19"/>
        </w:rPr>
        <w:t> </w:t>
      </w:r>
      <w:r>
        <w:rPr>
          <w:color w:val="231F20"/>
          <w:sz w:val="19"/>
        </w:rPr>
        <w:t>which</w:t>
      </w:r>
      <w:r>
        <w:rPr>
          <w:color w:val="231F20"/>
          <w:spacing w:val="-5"/>
          <w:sz w:val="19"/>
        </w:rPr>
        <w:t> </w:t>
      </w:r>
      <w:r>
        <w:rPr>
          <w:color w:val="231F20"/>
          <w:sz w:val="19"/>
        </w:rPr>
        <w:t>are</w:t>
      </w:r>
      <w:r>
        <w:rPr>
          <w:color w:val="231F20"/>
          <w:spacing w:val="-5"/>
          <w:sz w:val="19"/>
        </w:rPr>
        <w:t> </w:t>
      </w:r>
      <w:r>
        <w:rPr>
          <w:color w:val="231F20"/>
          <w:sz w:val="19"/>
        </w:rPr>
        <w:t>applicable</w:t>
      </w:r>
      <w:r>
        <w:rPr>
          <w:color w:val="231F20"/>
          <w:spacing w:val="-5"/>
          <w:sz w:val="19"/>
        </w:rPr>
        <w:t> </w:t>
      </w:r>
      <w:r>
        <w:rPr>
          <w:color w:val="231F20"/>
          <w:sz w:val="19"/>
        </w:rPr>
        <w:t>where</w:t>
      </w:r>
      <w:r>
        <w:rPr>
          <w:color w:val="231F20"/>
          <w:spacing w:val="-5"/>
          <w:sz w:val="19"/>
        </w:rPr>
        <w:t> </w:t>
      </w:r>
      <w:r>
        <w:rPr>
          <w:color w:val="231F20"/>
          <w:sz w:val="19"/>
        </w:rPr>
        <w:t>the parties</w:t>
      </w:r>
      <w:r>
        <w:rPr>
          <w:color w:val="231F20"/>
          <w:spacing w:val="-12"/>
          <w:sz w:val="19"/>
        </w:rPr>
        <w:t> </w:t>
      </w:r>
      <w:r>
        <w:rPr>
          <w:color w:val="231F20"/>
          <w:sz w:val="19"/>
        </w:rPr>
        <w:t>so</w:t>
      </w:r>
      <w:r>
        <w:rPr>
          <w:color w:val="231F20"/>
          <w:spacing w:val="-11"/>
          <w:sz w:val="19"/>
        </w:rPr>
        <w:t> </w:t>
      </w:r>
      <w:r>
        <w:rPr>
          <w:color w:val="231F20"/>
          <w:sz w:val="19"/>
        </w:rPr>
        <w:t>agree</w:t>
      </w:r>
      <w:r>
        <w:rPr>
          <w:rFonts w:ascii="Arial" w:hAnsi="Arial"/>
          <w:color w:val="231F20"/>
          <w:sz w:val="19"/>
        </w:rPr>
        <w:t>’</w:t>
      </w:r>
      <w:r>
        <w:rPr>
          <w:color w:val="231F20"/>
          <w:sz w:val="19"/>
        </w:rPr>
        <w:t>.</w:t>
      </w:r>
      <w:r>
        <w:rPr>
          <w:color w:val="231F20"/>
          <w:sz w:val="19"/>
          <w:vertAlign w:val="superscript"/>
        </w:rPr>
        <w:t>156</w:t>
      </w:r>
      <w:r>
        <w:rPr>
          <w:color w:val="231F20"/>
          <w:spacing w:val="-12"/>
          <w:sz w:val="19"/>
          <w:vertAlign w:val="baseline"/>
        </w:rPr>
        <w:t> </w:t>
      </w:r>
      <w:r>
        <w:rPr>
          <w:color w:val="231F20"/>
          <w:sz w:val="19"/>
          <w:vertAlign w:val="baseline"/>
        </w:rPr>
        <w:t>However,</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ECJ</w:t>
      </w:r>
      <w:r>
        <w:rPr>
          <w:color w:val="231F20"/>
          <w:spacing w:val="-11"/>
          <w:sz w:val="19"/>
          <w:vertAlign w:val="baseline"/>
        </w:rPr>
        <w:t> </w:t>
      </w:r>
      <w:r>
        <w:rPr>
          <w:color w:val="231F20"/>
          <w:sz w:val="19"/>
          <w:vertAlign w:val="baseline"/>
        </w:rPr>
        <w:t>has</w:t>
      </w:r>
      <w:r>
        <w:rPr>
          <w:color w:val="231F20"/>
          <w:spacing w:val="-12"/>
          <w:sz w:val="19"/>
          <w:vertAlign w:val="baseline"/>
        </w:rPr>
        <w:t> </w:t>
      </w:r>
      <w:r>
        <w:rPr>
          <w:color w:val="231F20"/>
          <w:sz w:val="19"/>
          <w:vertAlign w:val="baseline"/>
        </w:rPr>
        <w:t>restricted</w:t>
      </w:r>
      <w:r>
        <w:rPr>
          <w:color w:val="231F20"/>
          <w:spacing w:val="-11"/>
          <w:sz w:val="19"/>
          <w:vertAlign w:val="baseline"/>
        </w:rPr>
        <w:t> </w:t>
      </w:r>
      <w:r>
        <w:rPr>
          <w:color w:val="231F20"/>
          <w:sz w:val="19"/>
          <w:vertAlign w:val="baseline"/>
        </w:rPr>
        <w:t>the</w:t>
      </w:r>
      <w:r>
        <w:rPr>
          <w:color w:val="231F20"/>
          <w:spacing w:val="-12"/>
          <w:sz w:val="19"/>
          <w:vertAlign w:val="baseline"/>
        </w:rPr>
        <w:t> </w:t>
      </w:r>
      <w:r>
        <w:rPr>
          <w:rFonts w:ascii="Arial" w:hAnsi="Arial"/>
          <w:color w:val="231F20"/>
          <w:sz w:val="19"/>
          <w:vertAlign w:val="baseline"/>
        </w:rPr>
        <w:t>‘</w:t>
      </w:r>
      <w:r>
        <w:rPr>
          <w:color w:val="231F20"/>
          <w:sz w:val="19"/>
          <w:vertAlign w:val="baseline"/>
        </w:rPr>
        <w:t>supplementary</w:t>
      </w:r>
      <w:r>
        <w:rPr>
          <w:color w:val="231F20"/>
          <w:spacing w:val="-11"/>
          <w:sz w:val="19"/>
          <w:vertAlign w:val="baseline"/>
        </w:rPr>
        <w:t> </w:t>
      </w:r>
      <w:r>
        <w:rPr>
          <w:color w:val="231F20"/>
          <w:sz w:val="19"/>
          <w:vertAlign w:val="baseline"/>
        </w:rPr>
        <w:t>provisions of national law</w:t>
      </w:r>
      <w:r>
        <w:rPr>
          <w:rFonts w:ascii="Arial" w:hAnsi="Arial"/>
          <w:color w:val="231F20"/>
          <w:sz w:val="19"/>
          <w:vertAlign w:val="baseline"/>
        </w:rPr>
        <w:t>’ </w:t>
      </w:r>
      <w:r>
        <w:rPr>
          <w:color w:val="231F20"/>
          <w:sz w:val="19"/>
          <w:vertAlign w:val="baseline"/>
        </w:rPr>
        <w:t>to statutory rules that regulate specific types of contracts.</w:t>
      </w:r>
      <w:r>
        <w:rPr>
          <w:color w:val="231F20"/>
          <w:sz w:val="19"/>
          <w:vertAlign w:val="superscript"/>
        </w:rPr>
        <w:t>157</w:t>
      </w:r>
    </w:p>
    <w:p>
      <w:pPr>
        <w:pStyle w:val="BodyText"/>
        <w:spacing w:before="109"/>
        <w:rPr>
          <w:sz w:val="20"/>
        </w:rPr>
      </w:pPr>
      <w:r>
        <w:rPr/>
        <mc:AlternateContent>
          <mc:Choice Requires="wps">
            <w:drawing>
              <wp:anchor distT="0" distB="0" distL="0" distR="0" allowOverlap="1" layoutInCell="1" locked="0" behindDoc="1" simplePos="0" relativeHeight="487601664">
                <wp:simplePos x="0" y="0"/>
                <wp:positionH relativeFrom="page">
                  <wp:posOffset>1979993</wp:posOffset>
                </wp:positionH>
                <wp:positionV relativeFrom="paragraph">
                  <wp:posOffset>228804</wp:posOffset>
                </wp:positionV>
                <wp:extent cx="1656080" cy="4445"/>
                <wp:effectExtent l="0" t="0" r="0" b="0"/>
                <wp:wrapTopAndBottom/>
                <wp:docPr id="30" name="Graphic 30"/>
                <wp:cNvGraphicFramePr>
                  <a:graphicFrameLocks/>
                </wp:cNvGraphicFramePr>
                <a:graphic>
                  <a:graphicData uri="http://schemas.microsoft.com/office/word/2010/wordprocessingShape">
                    <wps:wsp>
                      <wps:cNvPr id="30" name="Graphic 30"/>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8.016081pt;width:130.394pt;height:.34015pt;mso-position-horizontal-relative:page;mso-position-vertical-relative:paragraph;z-index:-15714816;mso-wrap-distance-left:0;mso-wrap-distance-right:0" id="docshape30"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56.</w:t>
      </w:r>
    </w:p>
    <w:p>
      <w:pPr>
        <w:pStyle w:val="ListParagraph"/>
        <w:numPr>
          <w:ilvl w:val="0"/>
          <w:numId w:val="3"/>
        </w:numPr>
        <w:tabs>
          <w:tab w:pos="865" w:val="left" w:leader="none"/>
        </w:tabs>
        <w:spacing w:line="240" w:lineRule="auto" w:before="34" w:after="0"/>
        <w:ind w:left="865" w:right="0" w:hanging="353"/>
        <w:jc w:val="left"/>
        <w:rPr>
          <w:sz w:val="16"/>
        </w:rPr>
      </w:pPr>
      <w:r>
        <w:rPr>
          <w:color w:val="231F20"/>
          <w:sz w:val="16"/>
        </w:rPr>
        <w:t>Against,</w:t>
      </w:r>
      <w:r>
        <w:rPr>
          <w:color w:val="231F20"/>
          <w:spacing w:val="3"/>
          <w:sz w:val="16"/>
        </w:rPr>
        <w:t> </w:t>
      </w:r>
      <w:r>
        <w:rPr>
          <w:color w:val="231F20"/>
          <w:sz w:val="16"/>
        </w:rPr>
        <w:t>F.</w:t>
      </w:r>
      <w:r>
        <w:rPr>
          <w:color w:val="231F20"/>
          <w:spacing w:val="3"/>
          <w:sz w:val="16"/>
        </w:rPr>
        <w:t> </w:t>
      </w:r>
      <w:r>
        <w:rPr>
          <w:color w:val="231F20"/>
          <w:sz w:val="16"/>
        </w:rPr>
        <w:t>E</w:t>
      </w:r>
      <w:r>
        <w:rPr>
          <w:color w:val="231F20"/>
          <w:sz w:val="11"/>
        </w:rPr>
        <w:t>SPOSITO</w:t>
      </w:r>
      <w:r>
        <w:rPr>
          <w:color w:val="231F20"/>
          <w:sz w:val="16"/>
        </w:rPr>
        <w:t>,</w:t>
      </w:r>
      <w:r>
        <w:rPr>
          <w:color w:val="231F20"/>
          <w:spacing w:val="2"/>
          <w:sz w:val="16"/>
        </w:rPr>
        <w:t> </w:t>
      </w:r>
      <w:r>
        <w:rPr>
          <w:rFonts w:ascii="Arial" w:hAnsi="Arial"/>
          <w:color w:val="231F20"/>
          <w:sz w:val="16"/>
        </w:rPr>
        <w:t>‘</w:t>
      </w:r>
      <w:r>
        <w:rPr>
          <w:color w:val="231F20"/>
          <w:sz w:val="16"/>
        </w:rPr>
        <w:t>Dziubak</w:t>
      </w:r>
      <w:r>
        <w:rPr>
          <w:color w:val="231F20"/>
          <w:spacing w:val="3"/>
          <w:sz w:val="16"/>
        </w:rPr>
        <w:t> </w:t>
      </w:r>
      <w:r>
        <w:rPr>
          <w:color w:val="231F20"/>
          <w:sz w:val="16"/>
        </w:rPr>
        <w:t>Is</w:t>
      </w:r>
      <w:r>
        <w:rPr>
          <w:color w:val="231F20"/>
          <w:spacing w:val="3"/>
          <w:sz w:val="16"/>
        </w:rPr>
        <w:t> </w:t>
      </w:r>
      <w:r>
        <w:rPr>
          <w:color w:val="231F20"/>
          <w:sz w:val="16"/>
        </w:rPr>
        <w:t>a</w:t>
      </w:r>
      <w:r>
        <w:rPr>
          <w:color w:val="231F20"/>
          <w:spacing w:val="4"/>
          <w:sz w:val="16"/>
        </w:rPr>
        <w:t> </w:t>
      </w:r>
      <w:r>
        <w:rPr>
          <w:color w:val="231F20"/>
          <w:sz w:val="16"/>
        </w:rPr>
        <w:t>Fundamentally</w:t>
      </w:r>
      <w:r>
        <w:rPr>
          <w:color w:val="231F20"/>
          <w:spacing w:val="3"/>
          <w:sz w:val="16"/>
        </w:rPr>
        <w:t> </w:t>
      </w:r>
      <w:r>
        <w:rPr>
          <w:color w:val="231F20"/>
          <w:sz w:val="16"/>
        </w:rPr>
        <w:t>Wrong</w:t>
      </w:r>
      <w:r>
        <w:rPr>
          <w:color w:val="231F20"/>
          <w:spacing w:val="3"/>
          <w:sz w:val="16"/>
        </w:rPr>
        <w:t> </w:t>
      </w:r>
      <w:r>
        <w:rPr>
          <w:color w:val="231F20"/>
          <w:sz w:val="16"/>
        </w:rPr>
        <w:t>Decision</w:t>
      </w:r>
      <w:r>
        <w:rPr>
          <w:rFonts w:ascii="Arial" w:hAnsi="Arial"/>
          <w:color w:val="231F20"/>
          <w:sz w:val="16"/>
        </w:rPr>
        <w:t>’</w:t>
      </w:r>
      <w:r>
        <w:rPr>
          <w:color w:val="231F20"/>
          <w:sz w:val="16"/>
        </w:rPr>
        <w:t>,</w:t>
      </w:r>
      <w:r>
        <w:rPr>
          <w:color w:val="231F20"/>
          <w:spacing w:val="4"/>
          <w:sz w:val="16"/>
        </w:rPr>
        <w:t> </w:t>
      </w:r>
      <w:r>
        <w:rPr>
          <w:color w:val="231F20"/>
          <w:sz w:val="16"/>
        </w:rPr>
        <w:t>p</w:t>
      </w:r>
      <w:r>
        <w:rPr>
          <w:color w:val="231F20"/>
          <w:spacing w:val="2"/>
          <w:sz w:val="16"/>
        </w:rPr>
        <w:t> </w:t>
      </w:r>
      <w:r>
        <w:rPr>
          <w:color w:val="231F20"/>
          <w:spacing w:val="-4"/>
          <w:sz w:val="16"/>
        </w:rPr>
        <w:t>542.</w:t>
      </w:r>
    </w:p>
    <w:p>
      <w:pPr>
        <w:pStyle w:val="ListParagraph"/>
        <w:numPr>
          <w:ilvl w:val="0"/>
          <w:numId w:val="3"/>
        </w:numPr>
        <w:tabs>
          <w:tab w:pos="866" w:val="left" w:leader="none"/>
        </w:tabs>
        <w:spacing w:line="283" w:lineRule="auto" w:before="33" w:after="0"/>
        <w:ind w:left="866" w:right="869" w:hanging="354"/>
        <w:jc w:val="left"/>
        <w:rPr>
          <w:sz w:val="16"/>
        </w:rPr>
      </w:pPr>
      <w:r>
        <w:rPr>
          <w:color w:val="231F20"/>
          <w:sz w:val="16"/>
        </w:rPr>
        <w:t>For</w:t>
      </w:r>
      <w:r>
        <w:rPr>
          <w:color w:val="231F20"/>
          <w:spacing w:val="24"/>
          <w:sz w:val="16"/>
        </w:rPr>
        <w:t> </w:t>
      </w:r>
      <w:r>
        <w:rPr>
          <w:color w:val="231F20"/>
          <w:sz w:val="16"/>
        </w:rPr>
        <w:t>other,</w:t>
      </w:r>
      <w:r>
        <w:rPr>
          <w:color w:val="231F20"/>
          <w:spacing w:val="25"/>
          <w:sz w:val="16"/>
        </w:rPr>
        <w:t> </w:t>
      </w:r>
      <w:r>
        <w:rPr>
          <w:color w:val="231F20"/>
          <w:sz w:val="16"/>
        </w:rPr>
        <w:t>lower,</w:t>
      </w:r>
      <w:r>
        <w:rPr>
          <w:color w:val="231F20"/>
          <w:spacing w:val="25"/>
          <w:sz w:val="16"/>
        </w:rPr>
        <w:t> </w:t>
      </w:r>
      <w:r>
        <w:rPr>
          <w:color w:val="231F20"/>
          <w:sz w:val="16"/>
        </w:rPr>
        <w:t>standards</w:t>
      </w:r>
      <w:r>
        <w:rPr>
          <w:color w:val="231F20"/>
          <w:spacing w:val="26"/>
          <w:sz w:val="16"/>
        </w:rPr>
        <w:t> </w:t>
      </w:r>
      <w:r>
        <w:rPr>
          <w:color w:val="231F20"/>
          <w:sz w:val="16"/>
        </w:rPr>
        <w:t>of</w:t>
      </w:r>
      <w:r>
        <w:rPr>
          <w:color w:val="231F20"/>
          <w:spacing w:val="25"/>
          <w:sz w:val="16"/>
        </w:rPr>
        <w:t> </w:t>
      </w:r>
      <w:r>
        <w:rPr>
          <w:color w:val="231F20"/>
          <w:sz w:val="16"/>
        </w:rPr>
        <w:t>dissuasiveness,</w:t>
      </w:r>
      <w:r>
        <w:rPr>
          <w:color w:val="231F20"/>
          <w:spacing w:val="24"/>
          <w:sz w:val="16"/>
        </w:rPr>
        <w:t> </w:t>
      </w:r>
      <w:r>
        <w:rPr>
          <w:color w:val="231F20"/>
          <w:sz w:val="16"/>
        </w:rPr>
        <w:t>see</w:t>
      </w:r>
      <w:r>
        <w:rPr>
          <w:color w:val="231F20"/>
          <w:spacing w:val="25"/>
          <w:sz w:val="16"/>
        </w:rPr>
        <w:t> </w:t>
      </w:r>
      <w:r>
        <w:rPr>
          <w:color w:val="231F20"/>
          <w:sz w:val="16"/>
        </w:rPr>
        <w:t>F.</w:t>
      </w:r>
      <w:r>
        <w:rPr>
          <w:color w:val="231F20"/>
          <w:spacing w:val="25"/>
          <w:sz w:val="16"/>
        </w:rPr>
        <w:t> </w:t>
      </w:r>
      <w:r>
        <w:rPr>
          <w:color w:val="231F20"/>
          <w:sz w:val="16"/>
        </w:rPr>
        <w:t>C</w:t>
      </w:r>
      <w:r>
        <w:rPr>
          <w:color w:val="231F20"/>
          <w:sz w:val="11"/>
        </w:rPr>
        <w:t>AFAGGI</w:t>
      </w:r>
      <w:r>
        <w:rPr>
          <w:color w:val="231F20"/>
          <w:spacing w:val="37"/>
          <w:sz w:val="11"/>
        </w:rPr>
        <w:t> </w:t>
      </w:r>
      <w:r>
        <w:rPr>
          <w:color w:val="231F20"/>
          <w:sz w:val="16"/>
        </w:rPr>
        <w:t>&amp;</w:t>
      </w:r>
      <w:r>
        <w:rPr>
          <w:color w:val="231F20"/>
          <w:spacing w:val="25"/>
          <w:sz w:val="16"/>
        </w:rPr>
        <w:t> </w:t>
      </w:r>
      <w:r>
        <w:rPr>
          <w:color w:val="231F20"/>
          <w:sz w:val="16"/>
        </w:rPr>
        <w:t>P.</w:t>
      </w:r>
      <w:r>
        <w:rPr>
          <w:color w:val="231F20"/>
          <w:spacing w:val="25"/>
          <w:sz w:val="16"/>
        </w:rPr>
        <w:t> </w:t>
      </w:r>
      <w:r>
        <w:rPr>
          <w:color w:val="231F20"/>
          <w:sz w:val="16"/>
        </w:rPr>
        <w:t>I</w:t>
      </w:r>
      <w:r>
        <w:rPr>
          <w:color w:val="231F20"/>
          <w:sz w:val="11"/>
        </w:rPr>
        <w:t>AMICELI</w:t>
      </w:r>
      <w:r>
        <w:rPr>
          <w:color w:val="231F20"/>
          <w:sz w:val="16"/>
        </w:rPr>
        <w:t>,</w:t>
      </w:r>
      <w:r>
        <w:rPr>
          <w:color w:val="231F20"/>
          <w:spacing w:val="26"/>
          <w:sz w:val="16"/>
        </w:rPr>
        <w:t> </w:t>
      </w:r>
      <w:r>
        <w:rPr>
          <w:rFonts w:ascii="Arial" w:hAnsi="Arial"/>
          <w:color w:val="231F20"/>
          <w:sz w:val="16"/>
        </w:rPr>
        <w:t>‘</w:t>
      </w:r>
      <w:r>
        <w:rPr>
          <w:color w:val="231F20"/>
          <w:sz w:val="16"/>
        </w:rPr>
        <w:t>The</w:t>
      </w:r>
      <w:r>
        <w:rPr>
          <w:color w:val="231F20"/>
          <w:spacing w:val="25"/>
          <w:sz w:val="16"/>
        </w:rPr>
        <w:t> </w:t>
      </w:r>
      <w:r>
        <w:rPr>
          <w:color w:val="231F20"/>
          <w:sz w:val="16"/>
        </w:rPr>
        <w:t>Principles</w:t>
      </w:r>
      <w:r>
        <w:rPr>
          <w:color w:val="231F20"/>
          <w:spacing w:val="25"/>
          <w:sz w:val="16"/>
        </w:rPr>
        <w:t> </w:t>
      </w:r>
      <w:r>
        <w:rPr>
          <w:color w:val="231F20"/>
          <w:sz w:val="16"/>
        </w:rPr>
        <w:t>of</w:t>
      </w:r>
      <w:r>
        <w:rPr>
          <w:color w:val="231F20"/>
          <w:spacing w:val="40"/>
          <w:sz w:val="16"/>
        </w:rPr>
        <w:t> </w:t>
      </w:r>
      <w:r>
        <w:rPr>
          <w:color w:val="231F20"/>
          <w:sz w:val="16"/>
        </w:rPr>
        <w:t>Effectiveness, Proportionality and Dissuasiveness</w:t>
      </w:r>
      <w:r>
        <w:rPr>
          <w:rFonts w:ascii="Arial" w:hAnsi="Arial"/>
          <w:color w:val="231F20"/>
          <w:sz w:val="16"/>
        </w:rPr>
        <w:t>’</w:t>
      </w:r>
      <w:r>
        <w:rPr>
          <w:color w:val="231F20"/>
          <w:sz w:val="16"/>
        </w:rPr>
        <w:t>, pp 604</w:t>
      </w:r>
      <w:r>
        <w:rPr>
          <w:rFonts w:ascii="Arial" w:hAnsi="Arial"/>
          <w:color w:val="231F20"/>
          <w:sz w:val="16"/>
        </w:rPr>
        <w:t>–</w:t>
      </w:r>
      <w:r>
        <w:rPr>
          <w:color w:val="231F20"/>
          <w:sz w:val="16"/>
        </w:rPr>
        <w:t>610.</w:t>
      </w:r>
    </w:p>
    <w:p>
      <w:pPr>
        <w:pStyle w:val="ListParagraph"/>
        <w:numPr>
          <w:ilvl w:val="0"/>
          <w:numId w:val="3"/>
        </w:numPr>
        <w:tabs>
          <w:tab w:pos="865" w:val="left" w:leader="none"/>
        </w:tabs>
        <w:spacing w:line="240" w:lineRule="auto" w:before="5"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53.</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paras</w:t>
      </w:r>
      <w:r>
        <w:rPr>
          <w:color w:val="231F20"/>
          <w:spacing w:val="6"/>
          <w:sz w:val="16"/>
        </w:rPr>
        <w:t> </w:t>
      </w:r>
      <w:r>
        <w:rPr>
          <w:color w:val="231F20"/>
          <w:sz w:val="16"/>
        </w:rPr>
        <w:t>59</w:t>
      </w:r>
      <w:r>
        <w:rPr>
          <w:color w:val="231F20"/>
          <w:spacing w:val="6"/>
          <w:sz w:val="16"/>
        </w:rPr>
        <w:t> </w:t>
      </w:r>
      <w:r>
        <w:rPr>
          <w:color w:val="231F20"/>
          <w:sz w:val="16"/>
        </w:rPr>
        <w:t>y</w:t>
      </w:r>
      <w:r>
        <w:rPr>
          <w:color w:val="231F20"/>
          <w:spacing w:val="7"/>
          <w:sz w:val="16"/>
        </w:rPr>
        <w:t> </w:t>
      </w:r>
      <w:r>
        <w:rPr>
          <w:color w:val="231F20"/>
          <w:spacing w:val="-5"/>
          <w:sz w:val="16"/>
        </w:rPr>
        <w:t>60.</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428" w:val="left" w:leader="none"/>
        </w:tabs>
        <w:spacing w:line="288" w:lineRule="auto" w:before="0" w:after="0"/>
        <w:ind w:left="871" w:right="868" w:firstLine="0"/>
        <w:jc w:val="both"/>
        <w:rPr>
          <w:sz w:val="19"/>
        </w:rPr>
      </w:pPr>
      <w:r>
        <w:rPr>
          <w:color w:val="231F20"/>
          <w:sz w:val="19"/>
        </w:rPr>
        <w:t>More general provisions have been discarded. These include general </w:t>
      </w:r>
      <w:r>
        <w:rPr>
          <w:color w:val="231F20"/>
          <w:sz w:val="19"/>
        </w:rPr>
        <w:t>con- tract rules,</w:t>
      </w:r>
      <w:r>
        <w:rPr>
          <w:color w:val="231F20"/>
          <w:sz w:val="19"/>
          <w:vertAlign w:val="superscript"/>
        </w:rPr>
        <w:t>158</w:t>
      </w:r>
      <w:r>
        <w:rPr>
          <w:color w:val="231F20"/>
          <w:sz w:val="19"/>
          <w:vertAlign w:val="baseline"/>
        </w:rPr>
        <w:t> customary provisions,</w:t>
      </w:r>
      <w:r>
        <w:rPr>
          <w:color w:val="231F20"/>
          <w:sz w:val="19"/>
          <w:vertAlign w:val="superscript"/>
        </w:rPr>
        <w:t>159</w:t>
      </w:r>
      <w:r>
        <w:rPr>
          <w:color w:val="231F20"/>
          <w:sz w:val="19"/>
          <w:vertAlign w:val="baseline"/>
        </w:rPr>
        <w:t> and any others of a general nature.</w:t>
      </w:r>
      <w:r>
        <w:rPr>
          <w:color w:val="231F20"/>
          <w:sz w:val="19"/>
          <w:vertAlign w:val="superscript"/>
        </w:rPr>
        <w:t>160</w:t>
      </w:r>
      <w:r>
        <w:rPr>
          <w:color w:val="231F20"/>
          <w:sz w:val="19"/>
          <w:vertAlign w:val="baseline"/>
        </w:rPr>
        <w:t> The ECJ justifies the exclusion of these, more general rules, to integrate the contract, </w:t>
      </w:r>
      <w:r>
        <w:rPr>
          <w:color w:val="231F20"/>
          <w:spacing w:val="-2"/>
          <w:sz w:val="19"/>
          <w:vertAlign w:val="baseline"/>
        </w:rPr>
        <w:t>in</w:t>
      </w:r>
      <w:r>
        <w:rPr>
          <w:color w:val="231F20"/>
          <w:spacing w:val="-4"/>
          <w:sz w:val="19"/>
          <w:vertAlign w:val="baseline"/>
        </w:rPr>
        <w:t> </w:t>
      </w:r>
      <w:r>
        <w:rPr>
          <w:color w:val="231F20"/>
          <w:spacing w:val="-2"/>
          <w:sz w:val="19"/>
          <w:vertAlign w:val="baseline"/>
        </w:rPr>
        <w:t>the</w:t>
      </w:r>
      <w:r>
        <w:rPr>
          <w:color w:val="231F20"/>
          <w:spacing w:val="-4"/>
          <w:sz w:val="19"/>
          <w:vertAlign w:val="baseline"/>
        </w:rPr>
        <w:t> </w:t>
      </w:r>
      <w:r>
        <w:rPr>
          <w:color w:val="231F20"/>
          <w:spacing w:val="-2"/>
          <w:sz w:val="19"/>
          <w:vertAlign w:val="baseline"/>
        </w:rPr>
        <w:t>appreciation</w:t>
      </w:r>
      <w:r>
        <w:rPr>
          <w:color w:val="231F20"/>
          <w:spacing w:val="-5"/>
          <w:sz w:val="19"/>
          <w:vertAlign w:val="baseline"/>
        </w:rPr>
        <w:t> </w:t>
      </w:r>
      <w:r>
        <w:rPr>
          <w:color w:val="231F20"/>
          <w:spacing w:val="-2"/>
          <w:sz w:val="19"/>
          <w:vertAlign w:val="baseline"/>
        </w:rPr>
        <w:t>that</w:t>
      </w:r>
      <w:r>
        <w:rPr>
          <w:color w:val="231F20"/>
          <w:spacing w:val="-4"/>
          <w:sz w:val="19"/>
          <w:vertAlign w:val="baseline"/>
        </w:rPr>
        <w:t> </w:t>
      </w:r>
      <w:r>
        <w:rPr>
          <w:color w:val="231F20"/>
          <w:spacing w:val="-2"/>
          <w:sz w:val="19"/>
          <w:vertAlign w:val="baseline"/>
        </w:rPr>
        <w:t>specific</w:t>
      </w:r>
      <w:r>
        <w:rPr>
          <w:color w:val="231F20"/>
          <w:spacing w:val="-5"/>
          <w:sz w:val="19"/>
          <w:vertAlign w:val="baseline"/>
        </w:rPr>
        <w:t> </w:t>
      </w:r>
      <w:r>
        <w:rPr>
          <w:color w:val="231F20"/>
          <w:spacing w:val="-2"/>
          <w:sz w:val="19"/>
          <w:vertAlign w:val="baseline"/>
        </w:rPr>
        <w:t>rules</w:t>
      </w:r>
      <w:r>
        <w:rPr>
          <w:color w:val="231F20"/>
          <w:spacing w:val="-4"/>
          <w:sz w:val="19"/>
          <w:vertAlign w:val="baseline"/>
        </w:rPr>
        <w:t> </w:t>
      </w:r>
      <w:r>
        <w:rPr>
          <w:color w:val="231F20"/>
          <w:spacing w:val="-2"/>
          <w:sz w:val="19"/>
          <w:vertAlign w:val="baseline"/>
        </w:rPr>
        <w:t>are</w:t>
      </w:r>
      <w:r>
        <w:rPr>
          <w:color w:val="231F20"/>
          <w:spacing w:val="-5"/>
          <w:sz w:val="19"/>
          <w:vertAlign w:val="baseline"/>
        </w:rPr>
        <w:t> </w:t>
      </w:r>
      <w:r>
        <w:rPr>
          <w:color w:val="231F20"/>
          <w:spacing w:val="-2"/>
          <w:sz w:val="19"/>
          <w:vertAlign w:val="baseline"/>
        </w:rPr>
        <w:t>presumed</w:t>
      </w:r>
      <w:r>
        <w:rPr>
          <w:color w:val="231F20"/>
          <w:spacing w:val="-5"/>
          <w:sz w:val="19"/>
          <w:vertAlign w:val="baseline"/>
        </w:rPr>
        <w:t> </w:t>
      </w:r>
      <w:r>
        <w:rPr>
          <w:color w:val="231F20"/>
          <w:spacing w:val="-2"/>
          <w:sz w:val="19"/>
          <w:vertAlign w:val="baseline"/>
        </w:rPr>
        <w:t>not</w:t>
      </w:r>
      <w:r>
        <w:rPr>
          <w:color w:val="231F20"/>
          <w:spacing w:val="-4"/>
          <w:sz w:val="19"/>
          <w:vertAlign w:val="baseline"/>
        </w:rPr>
        <w:t> </w:t>
      </w:r>
      <w:r>
        <w:rPr>
          <w:color w:val="231F20"/>
          <w:spacing w:val="-2"/>
          <w:sz w:val="19"/>
          <w:vertAlign w:val="baseline"/>
        </w:rPr>
        <w:t>to</w:t>
      </w:r>
      <w:r>
        <w:rPr>
          <w:color w:val="231F20"/>
          <w:spacing w:val="-5"/>
          <w:sz w:val="19"/>
          <w:vertAlign w:val="baseline"/>
        </w:rPr>
        <w:t> </w:t>
      </w:r>
      <w:r>
        <w:rPr>
          <w:color w:val="231F20"/>
          <w:spacing w:val="-2"/>
          <w:sz w:val="19"/>
          <w:vertAlign w:val="baseline"/>
        </w:rPr>
        <w:t>contain</w:t>
      </w:r>
      <w:r>
        <w:rPr>
          <w:color w:val="231F20"/>
          <w:spacing w:val="-4"/>
          <w:sz w:val="19"/>
          <w:vertAlign w:val="baseline"/>
        </w:rPr>
        <w:t> </w:t>
      </w:r>
      <w:r>
        <w:rPr>
          <w:color w:val="231F20"/>
          <w:spacing w:val="-2"/>
          <w:sz w:val="19"/>
          <w:vertAlign w:val="baseline"/>
        </w:rPr>
        <w:t>unfair</w:t>
      </w:r>
      <w:r>
        <w:rPr>
          <w:color w:val="231F20"/>
          <w:spacing w:val="-5"/>
          <w:sz w:val="19"/>
          <w:vertAlign w:val="baseline"/>
        </w:rPr>
        <w:t> </w:t>
      </w:r>
      <w:r>
        <w:rPr>
          <w:color w:val="231F20"/>
          <w:spacing w:val="-2"/>
          <w:sz w:val="19"/>
          <w:vertAlign w:val="baseline"/>
        </w:rPr>
        <w:t>terms</w:t>
      </w:r>
      <w:r>
        <w:rPr>
          <w:color w:val="231F20"/>
          <w:spacing w:val="-5"/>
          <w:sz w:val="19"/>
          <w:vertAlign w:val="baseline"/>
        </w:rPr>
        <w:t> </w:t>
      </w:r>
      <w:r>
        <w:rPr>
          <w:color w:val="231F20"/>
          <w:spacing w:val="-2"/>
          <w:sz w:val="19"/>
          <w:vertAlign w:val="baseline"/>
        </w:rPr>
        <w:t>and </w:t>
      </w:r>
      <w:r>
        <w:rPr>
          <w:color w:val="231F20"/>
          <w:sz w:val="19"/>
          <w:vertAlign w:val="baseline"/>
        </w:rPr>
        <w:t>that</w:t>
      </w:r>
      <w:r>
        <w:rPr>
          <w:color w:val="231F20"/>
          <w:spacing w:val="-3"/>
          <w:sz w:val="19"/>
          <w:vertAlign w:val="baseline"/>
        </w:rPr>
        <w:t> </w:t>
      </w:r>
      <w:r>
        <w:rPr>
          <w:color w:val="231F20"/>
          <w:sz w:val="19"/>
          <w:vertAlign w:val="baseline"/>
        </w:rPr>
        <w:t>they</w:t>
      </w:r>
      <w:r>
        <w:rPr>
          <w:color w:val="231F20"/>
          <w:spacing w:val="-2"/>
          <w:sz w:val="19"/>
          <w:vertAlign w:val="baseline"/>
        </w:rPr>
        <w:t> </w:t>
      </w:r>
      <w:r>
        <w:rPr>
          <w:color w:val="231F20"/>
          <w:sz w:val="19"/>
          <w:vertAlign w:val="baseline"/>
        </w:rPr>
        <w:t>reflect</w:t>
      </w:r>
      <w:r>
        <w:rPr>
          <w:color w:val="231F20"/>
          <w:spacing w:val="-3"/>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balance</w:t>
      </w:r>
      <w:r>
        <w:rPr>
          <w:color w:val="231F20"/>
          <w:spacing w:val="-3"/>
          <w:sz w:val="19"/>
          <w:vertAlign w:val="baseline"/>
        </w:rPr>
        <w:t> </w:t>
      </w:r>
      <w:r>
        <w:rPr>
          <w:color w:val="231F20"/>
          <w:sz w:val="19"/>
          <w:vertAlign w:val="baseline"/>
        </w:rPr>
        <w:t>that</w:t>
      </w:r>
      <w:r>
        <w:rPr>
          <w:color w:val="231F20"/>
          <w:spacing w:val="-2"/>
          <w:sz w:val="19"/>
          <w:vertAlign w:val="baseline"/>
        </w:rPr>
        <w:t> </w:t>
      </w:r>
      <w:r>
        <w:rPr>
          <w:color w:val="231F20"/>
          <w:sz w:val="19"/>
          <w:vertAlign w:val="baseline"/>
        </w:rPr>
        <w:t>the</w:t>
      </w:r>
      <w:r>
        <w:rPr>
          <w:color w:val="231F20"/>
          <w:spacing w:val="-3"/>
          <w:sz w:val="19"/>
          <w:vertAlign w:val="baseline"/>
        </w:rPr>
        <w:t> </w:t>
      </w:r>
      <w:r>
        <w:rPr>
          <w:color w:val="231F20"/>
          <w:sz w:val="19"/>
          <w:vertAlign w:val="baseline"/>
        </w:rPr>
        <w:t>legislature</w:t>
      </w:r>
      <w:r>
        <w:rPr>
          <w:color w:val="231F20"/>
          <w:spacing w:val="-2"/>
          <w:sz w:val="19"/>
          <w:vertAlign w:val="baseline"/>
        </w:rPr>
        <w:t> </w:t>
      </w:r>
      <w:r>
        <w:rPr>
          <w:color w:val="231F20"/>
          <w:sz w:val="19"/>
          <w:vertAlign w:val="baseline"/>
        </w:rPr>
        <w:t>intended</w:t>
      </w:r>
      <w:r>
        <w:rPr>
          <w:color w:val="231F20"/>
          <w:spacing w:val="-3"/>
          <w:sz w:val="19"/>
          <w:vertAlign w:val="baseline"/>
        </w:rPr>
        <w:t> </w:t>
      </w:r>
      <w:r>
        <w:rPr>
          <w:color w:val="231F20"/>
          <w:sz w:val="19"/>
          <w:vertAlign w:val="baseline"/>
        </w:rPr>
        <w:t>to</w:t>
      </w:r>
      <w:r>
        <w:rPr>
          <w:color w:val="231F20"/>
          <w:spacing w:val="-2"/>
          <w:sz w:val="19"/>
          <w:vertAlign w:val="baseline"/>
        </w:rPr>
        <w:t> </w:t>
      </w:r>
      <w:r>
        <w:rPr>
          <w:color w:val="231F20"/>
          <w:sz w:val="19"/>
          <w:vertAlign w:val="baseline"/>
        </w:rPr>
        <w:t>establish</w:t>
      </w:r>
      <w:r>
        <w:rPr>
          <w:color w:val="231F20"/>
          <w:spacing w:val="-3"/>
          <w:sz w:val="19"/>
          <w:vertAlign w:val="baseline"/>
        </w:rPr>
        <w:t> </w:t>
      </w:r>
      <w:r>
        <w:rPr>
          <w:color w:val="231F20"/>
          <w:sz w:val="19"/>
          <w:vertAlign w:val="baseline"/>
        </w:rPr>
        <w:t>between</w:t>
      </w:r>
      <w:r>
        <w:rPr>
          <w:color w:val="231F20"/>
          <w:spacing w:val="-2"/>
          <w:sz w:val="19"/>
          <w:vertAlign w:val="baseline"/>
        </w:rPr>
        <w:t> </w:t>
      </w:r>
      <w:r>
        <w:rPr>
          <w:color w:val="231F20"/>
          <w:sz w:val="19"/>
          <w:vertAlign w:val="baseline"/>
        </w:rPr>
        <w:t>the rights and obligations of the parties.</w:t>
      </w:r>
      <w:r>
        <w:rPr>
          <w:color w:val="231F20"/>
          <w:sz w:val="19"/>
          <w:vertAlign w:val="superscript"/>
        </w:rPr>
        <w:t>161</w:t>
      </w:r>
      <w:r>
        <w:rPr>
          <w:color w:val="231F20"/>
          <w:sz w:val="19"/>
          <w:vertAlign w:val="baseline"/>
        </w:rPr>
        <w:t> The Court has also rejected a judicial interpretation of the intention of the parties</w:t>
      </w:r>
      <w:r>
        <w:rPr>
          <w:color w:val="231F20"/>
          <w:sz w:val="19"/>
          <w:vertAlign w:val="superscript"/>
        </w:rPr>
        <w:t>162</w:t>
      </w:r>
      <w:r>
        <w:rPr>
          <w:color w:val="231F20"/>
          <w:sz w:val="19"/>
          <w:vertAlign w:val="baseline"/>
        </w:rPr>
        <w:t> and a non-binding opinion of the highest court of a Member State on the consequences of unfair terms.</w:t>
      </w:r>
      <w:r>
        <w:rPr>
          <w:color w:val="231F20"/>
          <w:sz w:val="19"/>
          <w:vertAlign w:val="superscript"/>
        </w:rPr>
        <w:t>163</w:t>
      </w:r>
    </w:p>
    <w:p>
      <w:pPr>
        <w:pStyle w:val="ListParagraph"/>
        <w:numPr>
          <w:ilvl w:val="0"/>
          <w:numId w:val="4"/>
        </w:numPr>
        <w:tabs>
          <w:tab w:pos="1428" w:val="left" w:leader="none"/>
        </w:tabs>
        <w:spacing w:line="288" w:lineRule="auto" w:before="115" w:after="0"/>
        <w:ind w:left="871" w:right="868" w:firstLine="0"/>
        <w:jc w:val="both"/>
        <w:rPr>
          <w:sz w:val="19"/>
        </w:rPr>
      </w:pPr>
      <w:r>
        <w:rPr>
          <w:color w:val="231F20"/>
          <w:spacing w:val="-8"/>
          <w:sz w:val="19"/>
        </w:rPr>
        <w:t>By</w:t>
      </w:r>
      <w:r>
        <w:rPr>
          <w:color w:val="231F20"/>
          <w:spacing w:val="-2"/>
          <w:sz w:val="19"/>
        </w:rPr>
        <w:t> </w:t>
      </w:r>
      <w:r>
        <w:rPr>
          <w:color w:val="231F20"/>
          <w:spacing w:val="-8"/>
          <w:sz w:val="19"/>
        </w:rPr>
        <w:t>restricting</w:t>
      </w:r>
      <w:r>
        <w:rPr>
          <w:color w:val="231F20"/>
          <w:spacing w:val="-1"/>
          <w:sz w:val="19"/>
        </w:rPr>
        <w:t> </w:t>
      </w:r>
      <w:r>
        <w:rPr>
          <w:color w:val="231F20"/>
          <w:spacing w:val="-8"/>
          <w:sz w:val="19"/>
        </w:rPr>
        <w:t>the</w:t>
      </w:r>
      <w:r>
        <w:rPr>
          <w:color w:val="231F20"/>
          <w:spacing w:val="-1"/>
          <w:sz w:val="19"/>
        </w:rPr>
        <w:t> </w:t>
      </w:r>
      <w:r>
        <w:rPr>
          <w:color w:val="231F20"/>
          <w:spacing w:val="-8"/>
          <w:sz w:val="19"/>
        </w:rPr>
        <w:t>meaning</w:t>
      </w:r>
      <w:r>
        <w:rPr>
          <w:color w:val="231F20"/>
          <w:sz w:val="19"/>
        </w:rPr>
        <w:t> </w:t>
      </w:r>
      <w:r>
        <w:rPr>
          <w:color w:val="231F20"/>
          <w:spacing w:val="-8"/>
          <w:sz w:val="19"/>
        </w:rPr>
        <w:t>of</w:t>
      </w:r>
      <w:r>
        <w:rPr>
          <w:color w:val="231F20"/>
          <w:sz w:val="19"/>
        </w:rPr>
        <w:t> </w:t>
      </w:r>
      <w:r>
        <w:rPr>
          <w:rFonts w:ascii="Arial" w:hAnsi="Arial"/>
          <w:color w:val="231F20"/>
          <w:spacing w:val="-8"/>
          <w:sz w:val="19"/>
        </w:rPr>
        <w:t>‘</w:t>
      </w:r>
      <w:r>
        <w:rPr>
          <w:color w:val="231F20"/>
          <w:spacing w:val="-8"/>
          <w:sz w:val="19"/>
        </w:rPr>
        <w:t>supplementary</w:t>
      </w:r>
      <w:r>
        <w:rPr>
          <w:color w:val="231F20"/>
          <w:sz w:val="19"/>
        </w:rPr>
        <w:t> </w:t>
      </w:r>
      <w:r>
        <w:rPr>
          <w:color w:val="231F20"/>
          <w:spacing w:val="-8"/>
          <w:sz w:val="19"/>
        </w:rPr>
        <w:t>law</w:t>
      </w:r>
      <w:r>
        <w:rPr>
          <w:rFonts w:ascii="Arial" w:hAnsi="Arial"/>
          <w:color w:val="231F20"/>
          <w:spacing w:val="-8"/>
          <w:sz w:val="19"/>
        </w:rPr>
        <w:t>’</w:t>
      </w:r>
      <w:r>
        <w:rPr>
          <w:rFonts w:ascii="Arial" w:hAnsi="Arial"/>
          <w:color w:val="231F20"/>
          <w:spacing w:val="-6"/>
          <w:sz w:val="19"/>
        </w:rPr>
        <w:t> </w:t>
      </w:r>
      <w:r>
        <w:rPr>
          <w:color w:val="231F20"/>
          <w:spacing w:val="-8"/>
          <w:sz w:val="19"/>
        </w:rPr>
        <w:t>to</w:t>
      </w:r>
      <w:r>
        <w:rPr>
          <w:color w:val="231F20"/>
          <w:sz w:val="19"/>
        </w:rPr>
        <w:t> </w:t>
      </w:r>
      <w:r>
        <w:rPr>
          <w:color w:val="231F20"/>
          <w:spacing w:val="-8"/>
          <w:sz w:val="19"/>
        </w:rPr>
        <w:t>fill</w:t>
      </w:r>
      <w:r>
        <w:rPr>
          <w:color w:val="231F20"/>
          <w:spacing w:val="-1"/>
          <w:sz w:val="19"/>
        </w:rPr>
        <w:t> </w:t>
      </w:r>
      <w:r>
        <w:rPr>
          <w:color w:val="231F20"/>
          <w:spacing w:val="-8"/>
          <w:sz w:val="19"/>
        </w:rPr>
        <w:t>in</w:t>
      </w:r>
      <w:r>
        <w:rPr>
          <w:color w:val="231F20"/>
          <w:spacing w:val="-1"/>
          <w:sz w:val="19"/>
        </w:rPr>
        <w:t> </w:t>
      </w:r>
      <w:r>
        <w:rPr>
          <w:color w:val="231F20"/>
          <w:spacing w:val="-8"/>
          <w:sz w:val="19"/>
        </w:rPr>
        <w:t>the</w:t>
      </w:r>
      <w:r>
        <w:rPr>
          <w:color w:val="231F20"/>
          <w:spacing w:val="-1"/>
          <w:sz w:val="19"/>
        </w:rPr>
        <w:t> </w:t>
      </w:r>
      <w:r>
        <w:rPr>
          <w:color w:val="231F20"/>
          <w:spacing w:val="-8"/>
          <w:sz w:val="19"/>
        </w:rPr>
        <w:t>gap</w:t>
      </w:r>
      <w:r>
        <w:rPr>
          <w:color w:val="231F20"/>
          <w:spacing w:val="-1"/>
          <w:sz w:val="19"/>
        </w:rPr>
        <w:t> </w:t>
      </w:r>
      <w:r>
        <w:rPr>
          <w:color w:val="231F20"/>
          <w:spacing w:val="-8"/>
          <w:sz w:val="19"/>
        </w:rPr>
        <w:t>that</w:t>
      </w:r>
      <w:r>
        <w:rPr>
          <w:color w:val="231F20"/>
          <w:spacing w:val="-2"/>
          <w:sz w:val="19"/>
        </w:rPr>
        <w:t> </w:t>
      </w:r>
      <w:r>
        <w:rPr>
          <w:color w:val="231F20"/>
          <w:spacing w:val="-8"/>
          <w:sz w:val="19"/>
        </w:rPr>
        <w:t>the</w:t>
      </w:r>
      <w:r>
        <w:rPr>
          <w:color w:val="231F20"/>
          <w:spacing w:val="-1"/>
          <w:sz w:val="19"/>
        </w:rPr>
        <w:t> </w:t>
      </w:r>
      <w:r>
        <w:rPr>
          <w:color w:val="231F20"/>
          <w:spacing w:val="-8"/>
          <w:sz w:val="19"/>
        </w:rPr>
        <w:t>unfair</w:t>
      </w:r>
      <w:r>
        <w:rPr>
          <w:color w:val="231F20"/>
          <w:sz w:val="19"/>
        </w:rPr>
        <w:t> term</w:t>
      </w:r>
      <w:r>
        <w:rPr>
          <w:color w:val="231F20"/>
          <w:spacing w:val="-7"/>
          <w:sz w:val="19"/>
        </w:rPr>
        <w:t> </w:t>
      </w:r>
      <w:r>
        <w:rPr>
          <w:color w:val="231F20"/>
          <w:sz w:val="19"/>
        </w:rPr>
        <w:t>leaves</w:t>
      </w:r>
      <w:r>
        <w:rPr>
          <w:color w:val="231F20"/>
          <w:spacing w:val="-7"/>
          <w:sz w:val="19"/>
        </w:rPr>
        <w:t> </w:t>
      </w:r>
      <w:r>
        <w:rPr>
          <w:color w:val="231F20"/>
          <w:sz w:val="19"/>
        </w:rPr>
        <w:t>in</w:t>
      </w:r>
      <w:r>
        <w:rPr>
          <w:color w:val="231F20"/>
          <w:spacing w:val="-7"/>
          <w:sz w:val="19"/>
        </w:rPr>
        <w:t> </w:t>
      </w:r>
      <w:r>
        <w:rPr>
          <w:color w:val="231F20"/>
          <w:sz w:val="19"/>
        </w:rPr>
        <w:t>the</w:t>
      </w:r>
      <w:r>
        <w:rPr>
          <w:color w:val="231F20"/>
          <w:spacing w:val="-7"/>
          <w:sz w:val="19"/>
        </w:rPr>
        <w:t> </w:t>
      </w:r>
      <w:r>
        <w:rPr>
          <w:color w:val="231F20"/>
          <w:sz w:val="19"/>
        </w:rPr>
        <w:t>contract</w:t>
      </w:r>
      <w:r>
        <w:rPr>
          <w:color w:val="231F20"/>
          <w:spacing w:val="-7"/>
          <w:sz w:val="19"/>
        </w:rPr>
        <w:t> </w:t>
      </w:r>
      <w:r>
        <w:rPr>
          <w:color w:val="231F20"/>
          <w:sz w:val="19"/>
        </w:rPr>
        <w:t>when</w:t>
      </w:r>
      <w:r>
        <w:rPr>
          <w:color w:val="231F20"/>
          <w:spacing w:val="-7"/>
          <w:sz w:val="19"/>
        </w:rPr>
        <w:t> </w:t>
      </w:r>
      <w:r>
        <w:rPr>
          <w:color w:val="231F20"/>
          <w:sz w:val="19"/>
        </w:rPr>
        <w:t>it</w:t>
      </w:r>
      <w:r>
        <w:rPr>
          <w:color w:val="231F20"/>
          <w:spacing w:val="-7"/>
          <w:sz w:val="19"/>
        </w:rPr>
        <w:t> </w:t>
      </w:r>
      <w:r>
        <w:rPr>
          <w:color w:val="231F20"/>
          <w:sz w:val="19"/>
        </w:rPr>
        <w:t>cannot</w:t>
      </w:r>
      <w:r>
        <w:rPr>
          <w:color w:val="231F20"/>
          <w:spacing w:val="-7"/>
          <w:sz w:val="19"/>
        </w:rPr>
        <w:t> </w:t>
      </w:r>
      <w:r>
        <w:rPr>
          <w:color w:val="231F20"/>
          <w:sz w:val="19"/>
        </w:rPr>
        <w:t>continue</w:t>
      </w:r>
      <w:r>
        <w:rPr>
          <w:color w:val="231F20"/>
          <w:spacing w:val="-7"/>
          <w:sz w:val="19"/>
        </w:rPr>
        <w:t> </w:t>
      </w:r>
      <w:r>
        <w:rPr>
          <w:color w:val="231F20"/>
          <w:sz w:val="19"/>
        </w:rPr>
        <w:t>in</w:t>
      </w:r>
      <w:r>
        <w:rPr>
          <w:color w:val="231F20"/>
          <w:spacing w:val="-7"/>
          <w:sz w:val="19"/>
        </w:rPr>
        <w:t> </w:t>
      </w:r>
      <w:r>
        <w:rPr>
          <w:color w:val="231F20"/>
          <w:sz w:val="19"/>
        </w:rPr>
        <w:t>existence,</w:t>
      </w:r>
      <w:r>
        <w:rPr>
          <w:color w:val="231F20"/>
          <w:spacing w:val="-7"/>
          <w:sz w:val="19"/>
        </w:rPr>
        <w:t> </w:t>
      </w:r>
      <w:r>
        <w:rPr>
          <w:color w:val="231F20"/>
          <w:sz w:val="19"/>
        </w:rPr>
        <w:t>the</w:t>
      </w:r>
      <w:r>
        <w:rPr>
          <w:color w:val="231F20"/>
          <w:spacing w:val="-7"/>
          <w:sz w:val="19"/>
        </w:rPr>
        <w:t> </w:t>
      </w:r>
      <w:r>
        <w:rPr>
          <w:color w:val="231F20"/>
          <w:sz w:val="19"/>
        </w:rPr>
        <w:t>ECJ</w:t>
      </w:r>
      <w:r>
        <w:rPr>
          <w:color w:val="231F20"/>
          <w:spacing w:val="-7"/>
          <w:sz w:val="19"/>
        </w:rPr>
        <w:t> </w:t>
      </w:r>
      <w:r>
        <w:rPr>
          <w:color w:val="231F20"/>
          <w:sz w:val="19"/>
        </w:rPr>
        <w:t>seems</w:t>
      </w:r>
      <w:r>
        <w:rPr>
          <w:color w:val="231F20"/>
          <w:spacing w:val="-7"/>
          <w:sz w:val="19"/>
        </w:rPr>
        <w:t> </w:t>
      </w:r>
      <w:r>
        <w:rPr>
          <w:color w:val="231F20"/>
          <w:sz w:val="19"/>
        </w:rPr>
        <w:t>to </w:t>
      </w:r>
      <w:r>
        <w:rPr>
          <w:color w:val="231F20"/>
          <w:spacing w:val="-6"/>
          <w:sz w:val="19"/>
        </w:rPr>
        <w:t>remain</w:t>
      </w:r>
      <w:r>
        <w:rPr>
          <w:color w:val="231F20"/>
          <w:spacing w:val="-1"/>
          <w:sz w:val="19"/>
        </w:rPr>
        <w:t> </w:t>
      </w:r>
      <w:r>
        <w:rPr>
          <w:color w:val="231F20"/>
          <w:spacing w:val="-6"/>
          <w:sz w:val="19"/>
        </w:rPr>
        <w:t>exorbitantly</w:t>
      </w:r>
      <w:r>
        <w:rPr>
          <w:color w:val="231F20"/>
          <w:spacing w:val="-1"/>
          <w:sz w:val="19"/>
        </w:rPr>
        <w:t> </w:t>
      </w:r>
      <w:r>
        <w:rPr>
          <w:color w:val="231F20"/>
          <w:spacing w:val="-6"/>
          <w:sz w:val="19"/>
        </w:rPr>
        <w:t>under</w:t>
      </w:r>
      <w:r>
        <w:rPr>
          <w:color w:val="231F20"/>
          <w:spacing w:val="-1"/>
          <w:sz w:val="19"/>
        </w:rPr>
        <w:t> </w:t>
      </w:r>
      <w:r>
        <w:rPr>
          <w:color w:val="231F20"/>
          <w:spacing w:val="-6"/>
          <w:sz w:val="19"/>
        </w:rPr>
        <w:t>the</w:t>
      </w:r>
      <w:r>
        <w:rPr>
          <w:color w:val="231F20"/>
          <w:spacing w:val="-2"/>
          <w:sz w:val="19"/>
        </w:rPr>
        <w:t> </w:t>
      </w:r>
      <w:r>
        <w:rPr>
          <w:color w:val="231F20"/>
          <w:spacing w:val="-6"/>
          <w:sz w:val="19"/>
        </w:rPr>
        <w:t>influence</w:t>
      </w:r>
      <w:r>
        <w:rPr>
          <w:color w:val="231F20"/>
          <w:spacing w:val="-2"/>
          <w:sz w:val="19"/>
        </w:rPr>
        <w:t> </w:t>
      </w:r>
      <w:r>
        <w:rPr>
          <w:color w:val="231F20"/>
          <w:spacing w:val="-6"/>
          <w:sz w:val="19"/>
        </w:rPr>
        <w:t>of</w:t>
      </w:r>
      <w:r>
        <w:rPr>
          <w:color w:val="231F20"/>
          <w:sz w:val="19"/>
        </w:rPr>
        <w:t> </w:t>
      </w:r>
      <w:r>
        <w:rPr>
          <w:color w:val="231F20"/>
          <w:spacing w:val="-6"/>
          <w:sz w:val="19"/>
        </w:rPr>
        <w:t>its</w:t>
      </w:r>
      <w:r>
        <w:rPr>
          <w:color w:val="231F20"/>
          <w:spacing w:val="-2"/>
          <w:sz w:val="19"/>
        </w:rPr>
        <w:t> </w:t>
      </w:r>
      <w:r>
        <w:rPr>
          <w:color w:val="231F20"/>
          <w:spacing w:val="-6"/>
          <w:sz w:val="19"/>
        </w:rPr>
        <w:t>ruling</w:t>
      </w:r>
      <w:r>
        <w:rPr>
          <w:color w:val="231F20"/>
          <w:spacing w:val="-1"/>
          <w:sz w:val="19"/>
        </w:rPr>
        <w:t> </w:t>
      </w:r>
      <w:r>
        <w:rPr>
          <w:color w:val="231F20"/>
          <w:spacing w:val="-6"/>
          <w:sz w:val="19"/>
        </w:rPr>
        <w:t>in</w:t>
      </w:r>
      <w:r>
        <w:rPr>
          <w:color w:val="231F20"/>
          <w:sz w:val="19"/>
        </w:rPr>
        <w:t> </w:t>
      </w:r>
      <w:r>
        <w:rPr>
          <w:color w:val="231F20"/>
          <w:spacing w:val="-6"/>
          <w:sz w:val="19"/>
        </w:rPr>
        <w:t>Case</w:t>
      </w:r>
      <w:r>
        <w:rPr>
          <w:color w:val="231F20"/>
          <w:sz w:val="19"/>
        </w:rPr>
        <w:t> </w:t>
      </w:r>
      <w:r>
        <w:rPr>
          <w:color w:val="231F20"/>
          <w:spacing w:val="-6"/>
          <w:sz w:val="19"/>
        </w:rPr>
        <w:t>C-618/10,</w:t>
      </w:r>
      <w:r>
        <w:rPr>
          <w:color w:val="231F20"/>
          <w:sz w:val="19"/>
        </w:rPr>
        <w:t> </w:t>
      </w:r>
      <w:r>
        <w:rPr>
          <w:i/>
          <w:color w:val="231F20"/>
          <w:spacing w:val="-6"/>
          <w:sz w:val="19"/>
        </w:rPr>
        <w:t>Banco</w:t>
      </w:r>
      <w:r>
        <w:rPr>
          <w:i/>
          <w:color w:val="231F20"/>
          <w:spacing w:val="-1"/>
          <w:sz w:val="19"/>
        </w:rPr>
        <w:t> </w:t>
      </w:r>
      <w:r>
        <w:rPr>
          <w:i/>
          <w:color w:val="231F20"/>
          <w:spacing w:val="-6"/>
          <w:sz w:val="19"/>
        </w:rPr>
        <w:t>Español</w:t>
      </w:r>
      <w:r>
        <w:rPr>
          <w:i/>
          <w:color w:val="231F20"/>
          <w:sz w:val="19"/>
        </w:rPr>
        <w:t> </w:t>
      </w:r>
      <w:r>
        <w:rPr>
          <w:color w:val="231F20"/>
          <w:spacing w:val="-6"/>
          <w:sz w:val="19"/>
        </w:rPr>
        <w:t>(which is</w:t>
      </w:r>
      <w:r>
        <w:rPr>
          <w:color w:val="231F20"/>
          <w:spacing w:val="-5"/>
          <w:sz w:val="19"/>
        </w:rPr>
        <w:t> </w:t>
      </w:r>
      <w:r>
        <w:rPr>
          <w:color w:val="231F20"/>
          <w:spacing w:val="-6"/>
          <w:sz w:val="19"/>
        </w:rPr>
        <w:t>recurrently cited).</w:t>
      </w:r>
      <w:r>
        <w:rPr>
          <w:color w:val="231F20"/>
          <w:spacing w:val="-5"/>
          <w:sz w:val="19"/>
        </w:rPr>
        <w:t> </w:t>
      </w:r>
      <w:r>
        <w:rPr>
          <w:color w:val="231F20"/>
          <w:spacing w:val="-6"/>
          <w:sz w:val="19"/>
        </w:rPr>
        <w:t>In fact,</w:t>
      </w:r>
      <w:r>
        <w:rPr>
          <w:color w:val="231F20"/>
          <w:spacing w:val="-5"/>
          <w:sz w:val="19"/>
        </w:rPr>
        <w:t> </w:t>
      </w:r>
      <w:r>
        <w:rPr>
          <w:color w:val="231F20"/>
          <w:spacing w:val="-6"/>
          <w:sz w:val="19"/>
        </w:rPr>
        <w:t>the Court</w:t>
      </w:r>
      <w:r>
        <w:rPr>
          <w:color w:val="231F20"/>
          <w:spacing w:val="-5"/>
          <w:sz w:val="19"/>
        </w:rPr>
        <w:t> </w:t>
      </w:r>
      <w:r>
        <w:rPr>
          <w:color w:val="231F20"/>
          <w:spacing w:val="-6"/>
          <w:sz w:val="19"/>
        </w:rPr>
        <w:t>operates with</w:t>
      </w:r>
      <w:r>
        <w:rPr>
          <w:color w:val="231F20"/>
          <w:spacing w:val="-5"/>
          <w:sz w:val="19"/>
        </w:rPr>
        <w:t> </w:t>
      </w:r>
      <w:r>
        <w:rPr>
          <w:color w:val="231F20"/>
          <w:spacing w:val="-6"/>
          <w:sz w:val="19"/>
        </w:rPr>
        <w:t>excessive caution</w:t>
      </w:r>
      <w:r>
        <w:rPr>
          <w:color w:val="231F20"/>
          <w:spacing w:val="-5"/>
          <w:sz w:val="19"/>
        </w:rPr>
        <w:t> </w:t>
      </w:r>
      <w:r>
        <w:rPr>
          <w:color w:val="231F20"/>
          <w:spacing w:val="-6"/>
          <w:sz w:val="19"/>
        </w:rPr>
        <w:t>in</w:t>
      </w:r>
      <w:r>
        <w:rPr>
          <w:color w:val="231F20"/>
          <w:spacing w:val="-5"/>
          <w:sz w:val="19"/>
        </w:rPr>
        <w:t> </w:t>
      </w:r>
      <w:r>
        <w:rPr>
          <w:color w:val="231F20"/>
          <w:spacing w:val="-6"/>
          <w:sz w:val="19"/>
        </w:rPr>
        <w:t>respect</w:t>
      </w:r>
      <w:r>
        <w:rPr>
          <w:color w:val="231F20"/>
          <w:spacing w:val="-2"/>
          <w:sz w:val="19"/>
        </w:rPr>
        <w:t> of</w:t>
      </w:r>
      <w:r>
        <w:rPr>
          <w:color w:val="231F20"/>
          <w:spacing w:val="-8"/>
          <w:sz w:val="19"/>
        </w:rPr>
        <w:t> </w:t>
      </w:r>
      <w:r>
        <w:rPr>
          <w:color w:val="231F20"/>
          <w:spacing w:val="-2"/>
          <w:sz w:val="19"/>
        </w:rPr>
        <w:t>the</w:t>
      </w:r>
      <w:r>
        <w:rPr>
          <w:color w:val="231F20"/>
          <w:spacing w:val="-9"/>
          <w:sz w:val="19"/>
        </w:rPr>
        <w:t> </w:t>
      </w:r>
      <w:r>
        <w:rPr>
          <w:color w:val="231F20"/>
          <w:spacing w:val="-2"/>
          <w:sz w:val="19"/>
        </w:rPr>
        <w:t>national</w:t>
      </w:r>
      <w:r>
        <w:rPr>
          <w:color w:val="231F20"/>
          <w:spacing w:val="-9"/>
          <w:sz w:val="19"/>
        </w:rPr>
        <w:t> </w:t>
      </w:r>
      <w:r>
        <w:rPr>
          <w:color w:val="231F20"/>
          <w:spacing w:val="-2"/>
          <w:sz w:val="19"/>
        </w:rPr>
        <w:t>law</w:t>
      </w:r>
      <w:r>
        <w:rPr>
          <w:color w:val="231F20"/>
          <w:spacing w:val="-10"/>
          <w:sz w:val="19"/>
        </w:rPr>
        <w:t> </w:t>
      </w:r>
      <w:r>
        <w:rPr>
          <w:color w:val="231F20"/>
          <w:spacing w:val="-2"/>
          <w:sz w:val="19"/>
        </w:rPr>
        <w:t>that</w:t>
      </w:r>
      <w:r>
        <w:rPr>
          <w:color w:val="231F20"/>
          <w:spacing w:val="-9"/>
          <w:sz w:val="19"/>
        </w:rPr>
        <w:t> </w:t>
      </w:r>
      <w:r>
        <w:rPr>
          <w:color w:val="231F20"/>
          <w:spacing w:val="-2"/>
          <w:sz w:val="19"/>
        </w:rPr>
        <w:t>supplements</w:t>
      </w:r>
      <w:r>
        <w:rPr>
          <w:color w:val="231F20"/>
          <w:spacing w:val="-9"/>
          <w:sz w:val="19"/>
        </w:rPr>
        <w:t> </w:t>
      </w:r>
      <w:r>
        <w:rPr>
          <w:color w:val="231F20"/>
          <w:spacing w:val="-2"/>
          <w:sz w:val="19"/>
        </w:rPr>
        <w:t>the</w:t>
      </w:r>
      <w:r>
        <w:rPr>
          <w:color w:val="231F20"/>
          <w:spacing w:val="-9"/>
          <w:sz w:val="19"/>
        </w:rPr>
        <w:t> </w:t>
      </w:r>
      <w:r>
        <w:rPr>
          <w:color w:val="231F20"/>
          <w:spacing w:val="-2"/>
          <w:sz w:val="19"/>
        </w:rPr>
        <w:t>contract,</w:t>
      </w:r>
      <w:r>
        <w:rPr>
          <w:color w:val="231F20"/>
          <w:spacing w:val="-9"/>
          <w:sz w:val="19"/>
        </w:rPr>
        <w:t> </w:t>
      </w:r>
      <w:r>
        <w:rPr>
          <w:color w:val="231F20"/>
          <w:spacing w:val="-2"/>
          <w:sz w:val="19"/>
        </w:rPr>
        <w:t>even</w:t>
      </w:r>
      <w:r>
        <w:rPr>
          <w:color w:val="231F20"/>
          <w:spacing w:val="-9"/>
          <w:sz w:val="19"/>
        </w:rPr>
        <w:t> </w:t>
      </w:r>
      <w:r>
        <w:rPr>
          <w:color w:val="231F20"/>
          <w:spacing w:val="-2"/>
          <w:sz w:val="19"/>
        </w:rPr>
        <w:t>when</w:t>
      </w:r>
      <w:r>
        <w:rPr>
          <w:color w:val="231F20"/>
          <w:spacing w:val="-9"/>
          <w:sz w:val="19"/>
        </w:rPr>
        <w:t> </w:t>
      </w:r>
      <w:r>
        <w:rPr>
          <w:color w:val="231F20"/>
          <w:spacing w:val="-2"/>
          <w:sz w:val="19"/>
        </w:rPr>
        <w:t>dissuasiveness</w:t>
      </w:r>
      <w:r>
        <w:rPr>
          <w:color w:val="231F20"/>
          <w:spacing w:val="-9"/>
          <w:sz w:val="19"/>
        </w:rPr>
        <w:t> </w:t>
      </w:r>
      <w:r>
        <w:rPr>
          <w:color w:val="231F20"/>
          <w:spacing w:val="-2"/>
          <w:sz w:val="19"/>
        </w:rPr>
        <w:t>in</w:t>
      </w:r>
      <w:r>
        <w:rPr>
          <w:color w:val="231F20"/>
          <w:spacing w:val="-9"/>
          <w:sz w:val="19"/>
        </w:rPr>
        <w:t> </w:t>
      </w:r>
      <w:r>
        <w:rPr>
          <w:color w:val="231F20"/>
          <w:spacing w:val="-2"/>
          <w:sz w:val="19"/>
        </w:rPr>
        <w:t>such </w:t>
      </w:r>
      <w:r>
        <w:rPr>
          <w:color w:val="231F20"/>
          <w:sz w:val="19"/>
        </w:rPr>
        <w:t>cases</w:t>
      </w:r>
      <w:r>
        <w:rPr>
          <w:color w:val="231F20"/>
          <w:spacing w:val="-8"/>
          <w:sz w:val="19"/>
        </w:rPr>
        <w:t> </w:t>
      </w:r>
      <w:r>
        <w:rPr>
          <w:color w:val="231F20"/>
          <w:sz w:val="19"/>
        </w:rPr>
        <w:t>is</w:t>
      </w:r>
      <w:r>
        <w:rPr>
          <w:color w:val="231F20"/>
          <w:spacing w:val="-8"/>
          <w:sz w:val="19"/>
        </w:rPr>
        <w:t> </w:t>
      </w:r>
      <w:r>
        <w:rPr>
          <w:color w:val="231F20"/>
          <w:sz w:val="19"/>
        </w:rPr>
        <w:t>not</w:t>
      </w:r>
      <w:r>
        <w:rPr>
          <w:color w:val="231F20"/>
          <w:spacing w:val="-6"/>
          <w:sz w:val="19"/>
        </w:rPr>
        <w:t> </w:t>
      </w:r>
      <w:r>
        <w:rPr>
          <w:color w:val="231F20"/>
          <w:sz w:val="19"/>
        </w:rPr>
        <w:t>attainable</w:t>
      </w:r>
      <w:r>
        <w:rPr>
          <w:color w:val="231F20"/>
          <w:spacing w:val="-8"/>
          <w:sz w:val="19"/>
        </w:rPr>
        <w:t> </w:t>
      </w:r>
      <w:r>
        <w:rPr>
          <w:color w:val="231F20"/>
          <w:sz w:val="19"/>
        </w:rPr>
        <w:t>with</w:t>
      </w:r>
      <w:r>
        <w:rPr>
          <w:color w:val="231F20"/>
          <w:spacing w:val="-8"/>
          <w:sz w:val="19"/>
        </w:rPr>
        <w:t> </w:t>
      </w:r>
      <w:r>
        <w:rPr>
          <w:color w:val="231F20"/>
          <w:sz w:val="19"/>
        </w:rPr>
        <w:t>the</w:t>
      </w:r>
      <w:r>
        <w:rPr>
          <w:color w:val="231F20"/>
          <w:spacing w:val="-8"/>
          <w:sz w:val="19"/>
        </w:rPr>
        <w:t> </w:t>
      </w:r>
      <w:r>
        <w:rPr>
          <w:color w:val="231F20"/>
          <w:sz w:val="19"/>
        </w:rPr>
        <w:t>remedy</w:t>
      </w:r>
      <w:r>
        <w:rPr>
          <w:color w:val="231F20"/>
          <w:spacing w:val="-9"/>
          <w:sz w:val="19"/>
        </w:rPr>
        <w:t> </w:t>
      </w:r>
      <w:r>
        <w:rPr>
          <w:color w:val="231F20"/>
          <w:sz w:val="19"/>
        </w:rPr>
        <w:t>set</w:t>
      </w:r>
      <w:r>
        <w:rPr>
          <w:color w:val="231F20"/>
          <w:spacing w:val="-9"/>
          <w:sz w:val="19"/>
        </w:rPr>
        <w:t> </w:t>
      </w:r>
      <w:r>
        <w:rPr>
          <w:color w:val="231F20"/>
          <w:sz w:val="19"/>
        </w:rPr>
        <w:t>forth</w:t>
      </w:r>
      <w:r>
        <w:rPr>
          <w:color w:val="231F20"/>
          <w:spacing w:val="-8"/>
          <w:sz w:val="19"/>
        </w:rPr>
        <w:t> </w:t>
      </w:r>
      <w:r>
        <w:rPr>
          <w:color w:val="231F20"/>
          <w:sz w:val="19"/>
        </w:rPr>
        <w:t>in</w:t>
      </w:r>
      <w:r>
        <w:rPr>
          <w:color w:val="231F20"/>
          <w:spacing w:val="-8"/>
          <w:sz w:val="19"/>
        </w:rPr>
        <w:t> </w:t>
      </w:r>
      <w:r>
        <w:rPr>
          <w:color w:val="231F20"/>
          <w:sz w:val="19"/>
        </w:rPr>
        <w:t>Article</w:t>
      </w:r>
      <w:r>
        <w:rPr>
          <w:color w:val="231F20"/>
          <w:spacing w:val="-8"/>
          <w:sz w:val="19"/>
        </w:rPr>
        <w:t> </w:t>
      </w:r>
      <w:r>
        <w:rPr>
          <w:color w:val="231F20"/>
          <w:sz w:val="19"/>
        </w:rPr>
        <w:t>6(1)</w:t>
      </w:r>
      <w:r>
        <w:rPr>
          <w:color w:val="231F20"/>
          <w:spacing w:val="-8"/>
          <w:sz w:val="19"/>
        </w:rPr>
        <w:t> </w:t>
      </w:r>
      <w:r>
        <w:rPr>
          <w:color w:val="231F20"/>
          <w:sz w:val="19"/>
        </w:rPr>
        <w:t>UCTD.</w:t>
      </w:r>
      <w:r>
        <w:rPr>
          <w:color w:val="231F20"/>
          <w:spacing w:val="-8"/>
          <w:sz w:val="19"/>
        </w:rPr>
        <w:t> </w:t>
      </w:r>
      <w:r>
        <w:rPr>
          <w:color w:val="231F20"/>
          <w:sz w:val="19"/>
        </w:rPr>
        <w:t>If</w:t>
      </w:r>
      <w:r>
        <w:rPr>
          <w:color w:val="231F20"/>
          <w:spacing w:val="-9"/>
          <w:sz w:val="19"/>
        </w:rPr>
        <w:t> </w:t>
      </w:r>
      <w:r>
        <w:rPr>
          <w:color w:val="231F20"/>
          <w:sz w:val="19"/>
        </w:rPr>
        <w:t>only</w:t>
      </w:r>
      <w:r>
        <w:rPr>
          <w:color w:val="231F20"/>
          <w:spacing w:val="-9"/>
          <w:sz w:val="19"/>
        </w:rPr>
        <w:t> </w:t>
      </w:r>
      <w:r>
        <w:rPr>
          <w:color w:val="231F20"/>
          <w:sz w:val="19"/>
        </w:rPr>
        <w:t>party </w:t>
      </w:r>
      <w:r>
        <w:rPr>
          <w:color w:val="231F20"/>
          <w:spacing w:val="-8"/>
          <w:sz w:val="19"/>
        </w:rPr>
        <w:t>equality</w:t>
      </w:r>
      <w:r>
        <w:rPr>
          <w:color w:val="231F20"/>
          <w:spacing w:val="-3"/>
          <w:sz w:val="19"/>
        </w:rPr>
        <w:t> </w:t>
      </w:r>
      <w:r>
        <w:rPr>
          <w:color w:val="231F20"/>
          <w:spacing w:val="-8"/>
          <w:sz w:val="19"/>
        </w:rPr>
        <w:t>can</w:t>
      </w:r>
      <w:r>
        <w:rPr>
          <w:color w:val="231F20"/>
          <w:spacing w:val="-1"/>
          <w:sz w:val="19"/>
        </w:rPr>
        <w:t> </w:t>
      </w:r>
      <w:r>
        <w:rPr>
          <w:color w:val="231F20"/>
          <w:spacing w:val="-8"/>
          <w:sz w:val="19"/>
        </w:rPr>
        <w:t>be</w:t>
      </w:r>
      <w:r>
        <w:rPr>
          <w:color w:val="231F20"/>
          <w:spacing w:val="-1"/>
          <w:sz w:val="19"/>
        </w:rPr>
        <w:t> </w:t>
      </w:r>
      <w:r>
        <w:rPr>
          <w:color w:val="231F20"/>
          <w:spacing w:val="-8"/>
          <w:sz w:val="19"/>
        </w:rPr>
        <w:t>achieved,</w:t>
      </w:r>
      <w:r>
        <w:rPr>
          <w:color w:val="231F20"/>
          <w:spacing w:val="-1"/>
          <w:sz w:val="19"/>
        </w:rPr>
        <w:t> </w:t>
      </w:r>
      <w:r>
        <w:rPr>
          <w:color w:val="231F20"/>
          <w:spacing w:val="-8"/>
          <w:sz w:val="19"/>
        </w:rPr>
        <w:t>the</w:t>
      </w:r>
      <w:r>
        <w:rPr>
          <w:color w:val="231F20"/>
          <w:spacing w:val="-1"/>
          <w:sz w:val="19"/>
        </w:rPr>
        <w:t> </w:t>
      </w:r>
      <w:r>
        <w:rPr>
          <w:color w:val="231F20"/>
          <w:spacing w:val="-8"/>
          <w:sz w:val="19"/>
        </w:rPr>
        <w:t>heuristics</w:t>
      </w:r>
      <w:r>
        <w:rPr>
          <w:color w:val="231F20"/>
          <w:sz w:val="19"/>
        </w:rPr>
        <w:t> </w:t>
      </w:r>
      <w:r>
        <w:rPr>
          <w:color w:val="231F20"/>
          <w:spacing w:val="-8"/>
          <w:sz w:val="19"/>
        </w:rPr>
        <w:t>of</w:t>
      </w:r>
      <w:r>
        <w:rPr>
          <w:color w:val="231F20"/>
          <w:spacing w:val="4"/>
          <w:sz w:val="19"/>
        </w:rPr>
        <w:t> </w:t>
      </w:r>
      <w:r>
        <w:rPr>
          <w:color w:val="231F20"/>
          <w:spacing w:val="-8"/>
          <w:sz w:val="19"/>
        </w:rPr>
        <w:t>the</w:t>
      </w:r>
      <w:r>
        <w:rPr>
          <w:color w:val="231F20"/>
          <w:spacing w:val="-1"/>
          <w:sz w:val="19"/>
        </w:rPr>
        <w:t> </w:t>
      </w:r>
      <w:r>
        <w:rPr>
          <w:color w:val="231F20"/>
          <w:spacing w:val="-8"/>
          <w:sz w:val="19"/>
        </w:rPr>
        <w:t>private</w:t>
      </w:r>
      <w:r>
        <w:rPr>
          <w:color w:val="231F20"/>
          <w:spacing w:val="-1"/>
          <w:sz w:val="19"/>
        </w:rPr>
        <w:t> </w:t>
      </w:r>
      <w:r>
        <w:rPr>
          <w:color w:val="231F20"/>
          <w:spacing w:val="-8"/>
          <w:sz w:val="19"/>
        </w:rPr>
        <w:t>law</w:t>
      </w:r>
      <w:r>
        <w:rPr>
          <w:color w:val="231F20"/>
          <w:sz w:val="19"/>
        </w:rPr>
        <w:t> </w:t>
      </w:r>
      <w:r>
        <w:rPr>
          <w:color w:val="231F20"/>
          <w:spacing w:val="-8"/>
          <w:sz w:val="19"/>
        </w:rPr>
        <w:t>sanction</w:t>
      </w:r>
      <w:r>
        <w:rPr>
          <w:color w:val="231F20"/>
          <w:spacing w:val="-1"/>
          <w:sz w:val="19"/>
        </w:rPr>
        <w:t> </w:t>
      </w:r>
      <w:r>
        <w:rPr>
          <w:color w:val="231F20"/>
          <w:spacing w:val="-8"/>
          <w:sz w:val="19"/>
        </w:rPr>
        <w:t>that</w:t>
      </w:r>
      <w:r>
        <w:rPr>
          <w:color w:val="231F20"/>
          <w:spacing w:val="-1"/>
          <w:sz w:val="19"/>
        </w:rPr>
        <w:t> </w:t>
      </w:r>
      <w:r>
        <w:rPr>
          <w:color w:val="231F20"/>
          <w:spacing w:val="-8"/>
          <w:sz w:val="19"/>
        </w:rPr>
        <w:t>was</w:t>
      </w:r>
      <w:r>
        <w:rPr>
          <w:color w:val="231F20"/>
          <w:spacing w:val="-1"/>
          <w:sz w:val="19"/>
        </w:rPr>
        <w:t> </w:t>
      </w:r>
      <w:r>
        <w:rPr>
          <w:color w:val="231F20"/>
          <w:spacing w:val="-8"/>
          <w:sz w:val="19"/>
        </w:rPr>
        <w:t>developed</w:t>
      </w:r>
      <w:r>
        <w:rPr>
          <w:color w:val="231F20"/>
          <w:spacing w:val="-2"/>
          <w:sz w:val="19"/>
        </w:rPr>
        <w:t> </w:t>
      </w:r>
      <w:r>
        <w:rPr>
          <w:color w:val="231F20"/>
          <w:spacing w:val="-8"/>
          <w:sz w:val="19"/>
        </w:rPr>
        <w:t>in</w:t>
      </w:r>
      <w:r>
        <w:rPr>
          <w:color w:val="231F20"/>
          <w:spacing w:val="-4"/>
          <w:sz w:val="19"/>
        </w:rPr>
        <w:t> </w:t>
      </w:r>
      <w:r>
        <w:rPr>
          <w:i/>
          <w:color w:val="231F20"/>
          <w:spacing w:val="-4"/>
          <w:sz w:val="19"/>
        </w:rPr>
        <w:t>Banco Español</w:t>
      </w:r>
      <w:r>
        <w:rPr>
          <w:color w:val="231F20"/>
          <w:spacing w:val="-4"/>
          <w:sz w:val="19"/>
        </w:rPr>
        <w:t>, which are grounded in dissuasiveness, should not be influential.</w:t>
      </w:r>
    </w:p>
    <w:p>
      <w:pPr>
        <w:pStyle w:val="ListParagraph"/>
        <w:numPr>
          <w:ilvl w:val="0"/>
          <w:numId w:val="4"/>
        </w:numPr>
        <w:tabs>
          <w:tab w:pos="1428" w:val="left" w:leader="none"/>
        </w:tabs>
        <w:spacing w:line="288" w:lineRule="auto" w:before="119" w:after="0"/>
        <w:ind w:left="871" w:right="869" w:firstLine="0"/>
        <w:jc w:val="both"/>
        <w:rPr>
          <w:sz w:val="19"/>
        </w:rPr>
      </w:pPr>
      <w:r>
        <w:rPr>
          <w:color w:val="231F20"/>
          <w:sz w:val="19"/>
        </w:rPr>
        <w:t>To</w:t>
      </w:r>
      <w:r>
        <w:rPr>
          <w:color w:val="231F20"/>
          <w:spacing w:val="-11"/>
          <w:sz w:val="19"/>
        </w:rPr>
        <w:t> </w:t>
      </w:r>
      <w:r>
        <w:rPr>
          <w:color w:val="231F20"/>
          <w:sz w:val="19"/>
        </w:rPr>
        <w:t>ensure</w:t>
      </w:r>
      <w:r>
        <w:rPr>
          <w:color w:val="231F20"/>
          <w:spacing w:val="-11"/>
          <w:sz w:val="19"/>
        </w:rPr>
        <w:t> </w:t>
      </w:r>
      <w:r>
        <w:rPr>
          <w:color w:val="231F20"/>
          <w:sz w:val="19"/>
        </w:rPr>
        <w:t>party</w:t>
      </w:r>
      <w:r>
        <w:rPr>
          <w:color w:val="231F20"/>
          <w:spacing w:val="-12"/>
          <w:sz w:val="19"/>
        </w:rPr>
        <w:t> </w:t>
      </w:r>
      <w:r>
        <w:rPr>
          <w:color w:val="231F20"/>
          <w:sz w:val="19"/>
        </w:rPr>
        <w:t>equality,</w:t>
      </w:r>
      <w:r>
        <w:rPr>
          <w:color w:val="231F20"/>
          <w:spacing w:val="-11"/>
          <w:sz w:val="19"/>
        </w:rPr>
        <w:t> </w:t>
      </w:r>
      <w:r>
        <w:rPr>
          <w:color w:val="231F20"/>
          <w:sz w:val="19"/>
        </w:rPr>
        <w:t>more</w:t>
      </w:r>
      <w:r>
        <w:rPr>
          <w:color w:val="231F20"/>
          <w:spacing w:val="-11"/>
          <w:sz w:val="19"/>
        </w:rPr>
        <w:t> </w:t>
      </w:r>
      <w:r>
        <w:rPr>
          <w:color w:val="231F20"/>
          <w:sz w:val="19"/>
        </w:rPr>
        <w:t>general</w:t>
      </w:r>
      <w:r>
        <w:rPr>
          <w:color w:val="231F20"/>
          <w:spacing w:val="-10"/>
          <w:sz w:val="19"/>
        </w:rPr>
        <w:t> </w:t>
      </w:r>
      <w:r>
        <w:rPr>
          <w:color w:val="231F20"/>
          <w:sz w:val="19"/>
        </w:rPr>
        <w:t>rules</w:t>
      </w:r>
      <w:r>
        <w:rPr>
          <w:color w:val="231F20"/>
          <w:spacing w:val="-12"/>
          <w:sz w:val="19"/>
        </w:rPr>
        <w:t> </w:t>
      </w:r>
      <w:r>
        <w:rPr>
          <w:color w:val="231F20"/>
          <w:sz w:val="19"/>
        </w:rPr>
        <w:t>of</w:t>
      </w:r>
      <w:r>
        <w:rPr>
          <w:color w:val="231F20"/>
          <w:spacing w:val="-10"/>
          <w:sz w:val="19"/>
        </w:rPr>
        <w:t> </w:t>
      </w:r>
      <w:r>
        <w:rPr>
          <w:color w:val="231F20"/>
          <w:sz w:val="19"/>
        </w:rPr>
        <w:t>contract</w:t>
      </w:r>
      <w:r>
        <w:rPr>
          <w:color w:val="231F20"/>
          <w:spacing w:val="-11"/>
          <w:sz w:val="19"/>
        </w:rPr>
        <w:t> </w:t>
      </w:r>
      <w:r>
        <w:rPr>
          <w:color w:val="231F20"/>
          <w:sz w:val="19"/>
        </w:rPr>
        <w:t>law,</w:t>
      </w:r>
      <w:r>
        <w:rPr>
          <w:color w:val="231F20"/>
          <w:spacing w:val="-11"/>
          <w:sz w:val="19"/>
        </w:rPr>
        <w:t> </w:t>
      </w:r>
      <w:r>
        <w:rPr>
          <w:color w:val="231F20"/>
          <w:sz w:val="19"/>
        </w:rPr>
        <w:t>including</w:t>
      </w:r>
      <w:r>
        <w:rPr>
          <w:color w:val="231F20"/>
          <w:spacing w:val="-12"/>
          <w:sz w:val="19"/>
        </w:rPr>
        <w:t> </w:t>
      </w:r>
      <w:r>
        <w:rPr>
          <w:color w:val="231F20"/>
          <w:sz w:val="19"/>
        </w:rPr>
        <w:t>good faith,</w:t>
      </w:r>
      <w:r>
        <w:rPr>
          <w:color w:val="231F20"/>
          <w:spacing w:val="-1"/>
          <w:sz w:val="19"/>
        </w:rPr>
        <w:t> </w:t>
      </w:r>
      <w:r>
        <w:rPr>
          <w:color w:val="231F20"/>
          <w:sz w:val="19"/>
        </w:rPr>
        <w:t>are</w:t>
      </w:r>
      <w:r>
        <w:rPr>
          <w:color w:val="231F20"/>
          <w:spacing w:val="-2"/>
          <w:sz w:val="19"/>
        </w:rPr>
        <w:t> </w:t>
      </w:r>
      <w:r>
        <w:rPr>
          <w:color w:val="231F20"/>
          <w:sz w:val="19"/>
        </w:rPr>
        <w:t>fit</w:t>
      </w:r>
      <w:r>
        <w:rPr>
          <w:color w:val="231F20"/>
          <w:spacing w:val="-2"/>
          <w:sz w:val="19"/>
        </w:rPr>
        <w:t> </w:t>
      </w:r>
      <w:r>
        <w:rPr>
          <w:color w:val="231F20"/>
          <w:sz w:val="19"/>
        </w:rPr>
        <w:t>for</w:t>
      </w:r>
      <w:r>
        <w:rPr>
          <w:color w:val="231F20"/>
          <w:spacing w:val="-3"/>
          <w:sz w:val="19"/>
        </w:rPr>
        <w:t> </w:t>
      </w:r>
      <w:r>
        <w:rPr>
          <w:color w:val="231F20"/>
          <w:sz w:val="19"/>
        </w:rPr>
        <w:t>purpose.</w:t>
      </w:r>
      <w:r>
        <w:rPr>
          <w:color w:val="231F20"/>
          <w:spacing w:val="-2"/>
          <w:sz w:val="19"/>
        </w:rPr>
        <w:t> </w:t>
      </w:r>
      <w:r>
        <w:rPr>
          <w:color w:val="231F20"/>
          <w:sz w:val="19"/>
        </w:rPr>
        <w:t>It</w:t>
      </w:r>
      <w:r>
        <w:rPr>
          <w:color w:val="231F20"/>
          <w:spacing w:val="-3"/>
          <w:sz w:val="19"/>
        </w:rPr>
        <w:t> </w:t>
      </w:r>
      <w:r>
        <w:rPr>
          <w:color w:val="231F20"/>
          <w:sz w:val="19"/>
        </w:rPr>
        <w:t>is</w:t>
      </w:r>
      <w:r>
        <w:rPr>
          <w:color w:val="231F20"/>
          <w:spacing w:val="-1"/>
          <w:sz w:val="19"/>
        </w:rPr>
        <w:t> </w:t>
      </w:r>
      <w:r>
        <w:rPr>
          <w:color w:val="231F20"/>
          <w:sz w:val="19"/>
        </w:rPr>
        <w:t>surprising</w:t>
      </w:r>
      <w:r>
        <w:rPr>
          <w:color w:val="231F20"/>
          <w:spacing w:val="-2"/>
          <w:sz w:val="19"/>
        </w:rPr>
        <w:t> </w:t>
      </w:r>
      <w:r>
        <w:rPr>
          <w:color w:val="231F20"/>
          <w:sz w:val="19"/>
        </w:rPr>
        <w:t>that</w:t>
      </w:r>
      <w:r>
        <w:rPr>
          <w:color w:val="231F20"/>
          <w:spacing w:val="-2"/>
          <w:sz w:val="19"/>
        </w:rPr>
        <w:t> </w:t>
      </w:r>
      <w:r>
        <w:rPr>
          <w:color w:val="231F20"/>
          <w:sz w:val="19"/>
        </w:rPr>
        <w:t>the</w:t>
      </w:r>
      <w:r>
        <w:rPr>
          <w:color w:val="231F20"/>
          <w:spacing w:val="-2"/>
          <w:sz w:val="19"/>
        </w:rPr>
        <w:t> </w:t>
      </w:r>
      <w:r>
        <w:rPr>
          <w:color w:val="231F20"/>
          <w:sz w:val="19"/>
        </w:rPr>
        <w:t>ECJ</w:t>
      </w:r>
      <w:r>
        <w:rPr>
          <w:color w:val="231F20"/>
          <w:spacing w:val="-1"/>
          <w:sz w:val="19"/>
        </w:rPr>
        <w:t> </w:t>
      </w:r>
      <w:r>
        <w:rPr>
          <w:color w:val="231F20"/>
          <w:sz w:val="19"/>
        </w:rPr>
        <w:t>restricts</w:t>
      </w:r>
      <w:r>
        <w:rPr>
          <w:color w:val="231F20"/>
          <w:spacing w:val="-2"/>
          <w:sz w:val="19"/>
        </w:rPr>
        <w:t> </w:t>
      </w:r>
      <w:r>
        <w:rPr>
          <w:color w:val="231F20"/>
          <w:sz w:val="19"/>
        </w:rPr>
        <w:t>the</w:t>
      </w:r>
      <w:r>
        <w:rPr>
          <w:color w:val="231F20"/>
          <w:spacing w:val="-2"/>
          <w:sz w:val="19"/>
        </w:rPr>
        <w:t> </w:t>
      </w:r>
      <w:r>
        <w:rPr>
          <w:color w:val="231F20"/>
          <w:sz w:val="19"/>
        </w:rPr>
        <w:t>presumption</w:t>
      </w:r>
      <w:r>
        <w:rPr>
          <w:color w:val="231F20"/>
          <w:spacing w:val="-2"/>
          <w:sz w:val="19"/>
        </w:rPr>
        <w:t> </w:t>
      </w:r>
      <w:r>
        <w:rPr>
          <w:color w:val="231F20"/>
          <w:sz w:val="19"/>
        </w:rPr>
        <w:t>of fairness in national law to rules applicable to specific contracts.</w:t>
      </w:r>
    </w:p>
    <w:p>
      <w:pPr>
        <w:pStyle w:val="ListParagraph"/>
        <w:numPr>
          <w:ilvl w:val="0"/>
          <w:numId w:val="4"/>
        </w:numPr>
        <w:tabs>
          <w:tab w:pos="1428" w:val="left" w:leader="none"/>
        </w:tabs>
        <w:spacing w:line="283" w:lineRule="auto" w:before="120" w:after="0"/>
        <w:ind w:left="871" w:right="869" w:firstLine="0"/>
        <w:jc w:val="both"/>
        <w:rPr>
          <w:sz w:val="19"/>
        </w:rPr>
      </w:pPr>
      <w:r>
        <w:rPr>
          <w:color w:val="231F20"/>
          <w:sz w:val="19"/>
        </w:rPr>
        <w:t>Apparently distinct, Recital 13 of the UCTD extends the presumption of fairness</w:t>
      </w:r>
      <w:r>
        <w:rPr>
          <w:color w:val="231F20"/>
          <w:spacing w:val="-7"/>
          <w:sz w:val="19"/>
        </w:rPr>
        <w:t> </w:t>
      </w:r>
      <w:r>
        <w:rPr>
          <w:color w:val="231F20"/>
          <w:sz w:val="19"/>
        </w:rPr>
        <w:t>to</w:t>
      </w:r>
      <w:r>
        <w:rPr>
          <w:color w:val="231F20"/>
          <w:spacing w:val="-7"/>
          <w:sz w:val="19"/>
        </w:rPr>
        <w:t> </w:t>
      </w:r>
      <w:r>
        <w:rPr>
          <w:rFonts w:ascii="Arial" w:hAnsi="Arial"/>
          <w:color w:val="231F20"/>
          <w:sz w:val="19"/>
        </w:rPr>
        <w:t>‘</w:t>
      </w:r>
      <w:r>
        <w:rPr>
          <w:color w:val="231F20"/>
          <w:sz w:val="19"/>
        </w:rPr>
        <w:t>statutory</w:t>
      </w:r>
      <w:r>
        <w:rPr>
          <w:color w:val="231F20"/>
          <w:spacing w:val="-8"/>
          <w:sz w:val="19"/>
        </w:rPr>
        <w:t> </w:t>
      </w:r>
      <w:r>
        <w:rPr>
          <w:color w:val="231F20"/>
          <w:sz w:val="19"/>
        </w:rPr>
        <w:t>or</w:t>
      </w:r>
      <w:r>
        <w:rPr>
          <w:color w:val="231F20"/>
          <w:spacing w:val="-7"/>
          <w:sz w:val="19"/>
        </w:rPr>
        <w:t> </w:t>
      </w:r>
      <w:r>
        <w:rPr>
          <w:color w:val="231F20"/>
          <w:sz w:val="19"/>
        </w:rPr>
        <w:t>regulatory</w:t>
      </w:r>
      <w:r>
        <w:rPr>
          <w:color w:val="231F20"/>
          <w:spacing w:val="-6"/>
          <w:sz w:val="19"/>
        </w:rPr>
        <w:t> </w:t>
      </w:r>
      <w:r>
        <w:rPr>
          <w:color w:val="231F20"/>
          <w:sz w:val="19"/>
        </w:rPr>
        <w:t>provisions</w:t>
      </w:r>
      <w:r>
        <w:rPr>
          <w:color w:val="231F20"/>
          <w:spacing w:val="-7"/>
          <w:sz w:val="19"/>
        </w:rPr>
        <w:t> </w:t>
      </w:r>
      <w:r>
        <w:rPr>
          <w:color w:val="231F20"/>
          <w:sz w:val="19"/>
        </w:rPr>
        <w:t>of</w:t>
      </w:r>
      <w:r>
        <w:rPr>
          <w:color w:val="231F20"/>
          <w:spacing w:val="-4"/>
          <w:sz w:val="19"/>
        </w:rPr>
        <w:t> </w:t>
      </w:r>
      <w:r>
        <w:rPr>
          <w:color w:val="231F20"/>
          <w:sz w:val="19"/>
        </w:rPr>
        <w:t>the</w:t>
      </w:r>
      <w:r>
        <w:rPr>
          <w:color w:val="231F20"/>
          <w:spacing w:val="-7"/>
          <w:sz w:val="19"/>
        </w:rPr>
        <w:t> </w:t>
      </w:r>
      <w:r>
        <w:rPr>
          <w:color w:val="231F20"/>
          <w:sz w:val="19"/>
        </w:rPr>
        <w:t>Member</w:t>
      </w:r>
      <w:r>
        <w:rPr>
          <w:color w:val="231F20"/>
          <w:spacing w:val="-7"/>
          <w:sz w:val="19"/>
        </w:rPr>
        <w:t> </w:t>
      </w:r>
      <w:r>
        <w:rPr>
          <w:color w:val="231F20"/>
          <w:sz w:val="19"/>
        </w:rPr>
        <w:t>States</w:t>
      </w:r>
      <w:r>
        <w:rPr>
          <w:color w:val="231F20"/>
          <w:spacing w:val="-7"/>
          <w:sz w:val="19"/>
        </w:rPr>
        <w:t> </w:t>
      </w:r>
      <w:r>
        <w:rPr>
          <w:color w:val="231F20"/>
          <w:sz w:val="19"/>
        </w:rPr>
        <w:t>which</w:t>
      </w:r>
      <w:r>
        <w:rPr>
          <w:color w:val="231F20"/>
          <w:spacing w:val="-7"/>
          <w:sz w:val="19"/>
        </w:rPr>
        <w:t> </w:t>
      </w:r>
      <w:r>
        <w:rPr>
          <w:color w:val="231F20"/>
          <w:sz w:val="19"/>
        </w:rPr>
        <w:t>directly or</w:t>
      </w:r>
      <w:r>
        <w:rPr>
          <w:color w:val="231F20"/>
          <w:spacing w:val="-2"/>
          <w:sz w:val="19"/>
        </w:rPr>
        <w:t> </w:t>
      </w:r>
      <w:r>
        <w:rPr>
          <w:i/>
          <w:color w:val="231F20"/>
          <w:sz w:val="19"/>
        </w:rPr>
        <w:t>indirectly</w:t>
      </w:r>
      <w:r>
        <w:rPr>
          <w:i/>
          <w:color w:val="231F20"/>
          <w:spacing w:val="-4"/>
          <w:sz w:val="19"/>
        </w:rPr>
        <w:t> </w:t>
      </w:r>
      <w:r>
        <w:rPr>
          <w:color w:val="231F20"/>
          <w:sz w:val="19"/>
        </w:rPr>
        <w:t>determine</w:t>
      </w:r>
      <w:r>
        <w:rPr>
          <w:color w:val="231F20"/>
          <w:spacing w:val="-2"/>
          <w:sz w:val="19"/>
        </w:rPr>
        <w:t> </w:t>
      </w:r>
      <w:r>
        <w:rPr>
          <w:color w:val="231F20"/>
          <w:sz w:val="19"/>
        </w:rPr>
        <w:t>the</w:t>
      </w:r>
      <w:r>
        <w:rPr>
          <w:color w:val="231F20"/>
          <w:spacing w:val="-2"/>
          <w:sz w:val="19"/>
        </w:rPr>
        <w:t> </w:t>
      </w:r>
      <w:r>
        <w:rPr>
          <w:color w:val="231F20"/>
          <w:sz w:val="19"/>
        </w:rPr>
        <w:t>terms</w:t>
      </w:r>
      <w:r>
        <w:rPr>
          <w:color w:val="231F20"/>
          <w:spacing w:val="-2"/>
          <w:sz w:val="19"/>
        </w:rPr>
        <w:t> </w:t>
      </w:r>
      <w:r>
        <w:rPr>
          <w:color w:val="231F20"/>
          <w:sz w:val="19"/>
        </w:rPr>
        <w:t>of</w:t>
      </w:r>
      <w:r>
        <w:rPr>
          <w:color w:val="231F20"/>
          <w:spacing w:val="-2"/>
          <w:sz w:val="19"/>
        </w:rPr>
        <w:t> </w:t>
      </w:r>
      <w:r>
        <w:rPr>
          <w:color w:val="231F20"/>
          <w:sz w:val="19"/>
        </w:rPr>
        <w:t>consumer</w:t>
      </w:r>
      <w:r>
        <w:rPr>
          <w:color w:val="231F20"/>
          <w:spacing w:val="-2"/>
          <w:sz w:val="19"/>
        </w:rPr>
        <w:t> </w:t>
      </w:r>
      <w:r>
        <w:rPr>
          <w:color w:val="231F20"/>
          <w:sz w:val="19"/>
        </w:rPr>
        <w:t>contracts</w:t>
      </w:r>
      <w:r>
        <w:rPr>
          <w:rFonts w:ascii="Arial" w:hAnsi="Arial"/>
          <w:color w:val="231F20"/>
          <w:sz w:val="19"/>
        </w:rPr>
        <w:t>’</w:t>
      </w:r>
      <w:r>
        <w:rPr>
          <w:color w:val="231F20"/>
          <w:sz w:val="19"/>
        </w:rPr>
        <w:t>,</w:t>
      </w:r>
      <w:r>
        <w:rPr>
          <w:color w:val="231F20"/>
          <w:sz w:val="19"/>
          <w:vertAlign w:val="superscript"/>
        </w:rPr>
        <w:t>164</w:t>
      </w:r>
      <w:r>
        <w:rPr>
          <w:color w:val="231F20"/>
          <w:spacing w:val="-2"/>
          <w:sz w:val="19"/>
          <w:vertAlign w:val="baseline"/>
        </w:rPr>
        <w:t> </w:t>
      </w:r>
      <w:r>
        <w:rPr>
          <w:color w:val="231F20"/>
          <w:sz w:val="19"/>
          <w:vertAlign w:val="baseline"/>
        </w:rPr>
        <w:t>including</w:t>
      </w:r>
      <w:r>
        <w:rPr>
          <w:color w:val="231F20"/>
          <w:spacing w:val="-2"/>
          <w:sz w:val="19"/>
          <w:vertAlign w:val="baseline"/>
        </w:rPr>
        <w:t> </w:t>
      </w:r>
      <w:r>
        <w:rPr>
          <w:color w:val="231F20"/>
          <w:sz w:val="19"/>
          <w:vertAlign w:val="baseline"/>
        </w:rPr>
        <w:t>those</w:t>
      </w:r>
      <w:r>
        <w:rPr>
          <w:color w:val="231F20"/>
          <w:spacing w:val="-2"/>
          <w:sz w:val="19"/>
          <w:vertAlign w:val="baseline"/>
        </w:rPr>
        <w:t> </w:t>
      </w:r>
      <w:r>
        <w:rPr>
          <w:color w:val="231F20"/>
          <w:sz w:val="19"/>
          <w:vertAlign w:val="baseline"/>
        </w:rPr>
        <w:t>rules that </w:t>
      </w:r>
      <w:r>
        <w:rPr>
          <w:rFonts w:ascii="Arial" w:hAnsi="Arial"/>
          <w:color w:val="231F20"/>
          <w:sz w:val="19"/>
          <w:vertAlign w:val="baseline"/>
        </w:rPr>
        <w:t>‘</w:t>
      </w:r>
      <w:r>
        <w:rPr>
          <w:color w:val="231F20"/>
          <w:sz w:val="19"/>
          <w:vertAlign w:val="baseline"/>
        </w:rPr>
        <w:t>shall apply between the contracting parties provided that no other arrange- ments have been established</w:t>
      </w:r>
      <w:r>
        <w:rPr>
          <w:rFonts w:ascii="Arial" w:hAnsi="Arial"/>
          <w:color w:val="231F20"/>
          <w:sz w:val="19"/>
          <w:vertAlign w:val="baseline"/>
        </w:rPr>
        <w:t>’</w:t>
      </w:r>
      <w:r>
        <w:rPr>
          <w:color w:val="231F20"/>
          <w:sz w:val="19"/>
          <w:vertAlign w:val="baseline"/>
        </w:rPr>
        <w:t>. It also mentions </w:t>
      </w:r>
      <w:r>
        <w:rPr>
          <w:rFonts w:ascii="Arial" w:hAnsi="Arial"/>
          <w:color w:val="231F20"/>
          <w:sz w:val="19"/>
          <w:vertAlign w:val="baseline"/>
        </w:rPr>
        <w:t>‘</w:t>
      </w:r>
      <w:r>
        <w:rPr>
          <w:color w:val="231F20"/>
          <w:sz w:val="19"/>
          <w:vertAlign w:val="baseline"/>
        </w:rPr>
        <w:t>the principles or provisions of international conventions to which the Member States or the Community are party</w:t>
      </w:r>
      <w:r>
        <w:rPr>
          <w:rFonts w:ascii="Arial" w:hAnsi="Arial"/>
          <w:color w:val="231F20"/>
          <w:sz w:val="19"/>
          <w:vertAlign w:val="baseline"/>
        </w:rPr>
        <w:t>’</w:t>
      </w:r>
      <w:r>
        <w:rPr>
          <w:color w:val="231F20"/>
          <w:sz w:val="19"/>
          <w:vertAlign w:val="baseline"/>
        </w:rPr>
        <w:t>. This wording could point to more general rules.</w:t>
      </w:r>
      <w:r>
        <w:rPr>
          <w:color w:val="231F20"/>
          <w:sz w:val="19"/>
          <w:vertAlign w:val="superscript"/>
        </w:rPr>
        <w:t>165</w:t>
      </w:r>
    </w:p>
    <w:p>
      <w:pPr>
        <w:pStyle w:val="ListParagraph"/>
        <w:numPr>
          <w:ilvl w:val="0"/>
          <w:numId w:val="4"/>
        </w:numPr>
        <w:tabs>
          <w:tab w:pos="1428" w:val="left" w:leader="none"/>
        </w:tabs>
        <w:spacing w:line="288" w:lineRule="auto" w:before="127" w:after="0"/>
        <w:ind w:left="871" w:right="867" w:firstLine="0"/>
        <w:jc w:val="both"/>
        <w:rPr>
          <w:sz w:val="19"/>
        </w:rPr>
      </w:pPr>
      <w:r>
        <w:rPr>
          <w:color w:val="231F20"/>
          <w:sz w:val="19"/>
        </w:rPr>
        <w:t>Against</w:t>
      </w:r>
      <w:r>
        <w:rPr>
          <w:color w:val="231F20"/>
          <w:spacing w:val="-5"/>
          <w:sz w:val="19"/>
        </w:rPr>
        <w:t> </w:t>
      </w:r>
      <w:r>
        <w:rPr>
          <w:color w:val="231F20"/>
          <w:sz w:val="19"/>
        </w:rPr>
        <w:t>this</w:t>
      </w:r>
      <w:r>
        <w:rPr>
          <w:color w:val="231F20"/>
          <w:spacing w:val="-5"/>
          <w:sz w:val="19"/>
        </w:rPr>
        <w:t> </w:t>
      </w:r>
      <w:r>
        <w:rPr>
          <w:color w:val="231F20"/>
          <w:sz w:val="19"/>
        </w:rPr>
        <w:t>view,</w:t>
      </w:r>
      <w:r>
        <w:rPr>
          <w:color w:val="231F20"/>
          <w:spacing w:val="-5"/>
          <w:sz w:val="19"/>
        </w:rPr>
        <w:t> </w:t>
      </w:r>
      <w:r>
        <w:rPr>
          <w:color w:val="231F20"/>
          <w:sz w:val="19"/>
        </w:rPr>
        <w:t>it</w:t>
      </w:r>
      <w:r>
        <w:rPr>
          <w:color w:val="231F20"/>
          <w:spacing w:val="-5"/>
          <w:sz w:val="19"/>
        </w:rPr>
        <w:t> </w:t>
      </w:r>
      <w:r>
        <w:rPr>
          <w:color w:val="231F20"/>
          <w:sz w:val="19"/>
        </w:rPr>
        <w:t>should</w:t>
      </w:r>
      <w:r>
        <w:rPr>
          <w:color w:val="231F20"/>
          <w:spacing w:val="-4"/>
          <w:sz w:val="19"/>
        </w:rPr>
        <w:t> </w:t>
      </w:r>
      <w:r>
        <w:rPr>
          <w:color w:val="231F20"/>
          <w:sz w:val="19"/>
        </w:rPr>
        <w:t>be</w:t>
      </w:r>
      <w:r>
        <w:rPr>
          <w:color w:val="231F20"/>
          <w:spacing w:val="-6"/>
          <w:sz w:val="19"/>
        </w:rPr>
        <w:t> </w:t>
      </w:r>
      <w:r>
        <w:rPr>
          <w:color w:val="231F20"/>
          <w:sz w:val="19"/>
        </w:rPr>
        <w:t>noted</w:t>
      </w:r>
      <w:r>
        <w:rPr>
          <w:color w:val="231F20"/>
          <w:spacing w:val="-5"/>
          <w:sz w:val="19"/>
        </w:rPr>
        <w:t> </w:t>
      </w:r>
      <w:r>
        <w:rPr>
          <w:color w:val="231F20"/>
          <w:sz w:val="19"/>
        </w:rPr>
        <w:t>that</w:t>
      </w:r>
      <w:r>
        <w:rPr>
          <w:color w:val="231F20"/>
          <w:spacing w:val="-5"/>
          <w:sz w:val="19"/>
        </w:rPr>
        <w:t> </w:t>
      </w:r>
      <w:r>
        <w:rPr>
          <w:color w:val="231F20"/>
          <w:sz w:val="19"/>
        </w:rPr>
        <w:t>the</w:t>
      </w:r>
      <w:r>
        <w:rPr>
          <w:color w:val="231F20"/>
          <w:spacing w:val="-5"/>
          <w:sz w:val="19"/>
        </w:rPr>
        <w:t> </w:t>
      </w:r>
      <w:r>
        <w:rPr>
          <w:color w:val="231F20"/>
          <w:sz w:val="19"/>
        </w:rPr>
        <w:t>ECJ</w:t>
      </w:r>
      <w:r>
        <w:rPr>
          <w:color w:val="231F20"/>
          <w:spacing w:val="-6"/>
          <w:sz w:val="19"/>
        </w:rPr>
        <w:t> </w:t>
      </w:r>
      <w:r>
        <w:rPr>
          <w:color w:val="231F20"/>
          <w:sz w:val="19"/>
        </w:rPr>
        <w:t>has</w:t>
      </w:r>
      <w:r>
        <w:rPr>
          <w:color w:val="231F20"/>
          <w:spacing w:val="-5"/>
          <w:sz w:val="19"/>
        </w:rPr>
        <w:t> </w:t>
      </w:r>
      <w:r>
        <w:rPr>
          <w:color w:val="231F20"/>
          <w:sz w:val="19"/>
        </w:rPr>
        <w:t>provided</w:t>
      </w:r>
      <w:r>
        <w:rPr>
          <w:color w:val="231F20"/>
          <w:spacing w:val="-5"/>
          <w:sz w:val="19"/>
        </w:rPr>
        <w:t> </w:t>
      </w:r>
      <w:r>
        <w:rPr>
          <w:color w:val="231F20"/>
          <w:sz w:val="19"/>
        </w:rPr>
        <w:t>a</w:t>
      </w:r>
      <w:r>
        <w:rPr>
          <w:color w:val="231F20"/>
          <w:spacing w:val="-5"/>
          <w:sz w:val="19"/>
        </w:rPr>
        <w:t> </w:t>
      </w:r>
      <w:r>
        <w:rPr>
          <w:color w:val="231F20"/>
          <w:sz w:val="19"/>
        </w:rPr>
        <w:t>restrictive interpretation</w:t>
      </w:r>
      <w:r>
        <w:rPr>
          <w:color w:val="231F20"/>
          <w:spacing w:val="33"/>
          <w:sz w:val="19"/>
        </w:rPr>
        <w:t> </w:t>
      </w:r>
      <w:r>
        <w:rPr>
          <w:color w:val="231F20"/>
          <w:sz w:val="19"/>
        </w:rPr>
        <w:t>of</w:t>
      </w:r>
      <w:r>
        <w:rPr>
          <w:color w:val="231F20"/>
          <w:spacing w:val="38"/>
          <w:sz w:val="19"/>
        </w:rPr>
        <w:t> </w:t>
      </w:r>
      <w:r>
        <w:rPr>
          <w:color w:val="231F20"/>
          <w:sz w:val="19"/>
        </w:rPr>
        <w:t>the</w:t>
      </w:r>
      <w:r>
        <w:rPr>
          <w:color w:val="231F20"/>
          <w:spacing w:val="34"/>
          <w:sz w:val="19"/>
        </w:rPr>
        <w:t> </w:t>
      </w:r>
      <w:r>
        <w:rPr>
          <w:color w:val="231F20"/>
          <w:sz w:val="19"/>
        </w:rPr>
        <w:t>cited</w:t>
      </w:r>
      <w:r>
        <w:rPr>
          <w:color w:val="231F20"/>
          <w:spacing w:val="34"/>
          <w:sz w:val="19"/>
        </w:rPr>
        <w:t> </w:t>
      </w:r>
      <w:r>
        <w:rPr>
          <w:color w:val="231F20"/>
          <w:sz w:val="19"/>
        </w:rPr>
        <w:t>Recital</w:t>
      </w:r>
      <w:r>
        <w:rPr>
          <w:color w:val="231F20"/>
          <w:spacing w:val="34"/>
          <w:sz w:val="19"/>
        </w:rPr>
        <w:t> </w:t>
      </w:r>
      <w:r>
        <w:rPr>
          <w:color w:val="231F20"/>
          <w:sz w:val="19"/>
        </w:rPr>
        <w:t>13</w:t>
      </w:r>
      <w:r>
        <w:rPr>
          <w:color w:val="231F20"/>
          <w:spacing w:val="34"/>
          <w:sz w:val="19"/>
        </w:rPr>
        <w:t> </w:t>
      </w:r>
      <w:r>
        <w:rPr>
          <w:color w:val="231F20"/>
          <w:sz w:val="19"/>
        </w:rPr>
        <w:t>of</w:t>
      </w:r>
      <w:r>
        <w:rPr>
          <w:color w:val="231F20"/>
          <w:spacing w:val="37"/>
          <w:sz w:val="19"/>
        </w:rPr>
        <w:t> </w:t>
      </w:r>
      <w:r>
        <w:rPr>
          <w:color w:val="231F20"/>
          <w:sz w:val="19"/>
        </w:rPr>
        <w:t>the</w:t>
      </w:r>
      <w:r>
        <w:rPr>
          <w:color w:val="231F20"/>
          <w:spacing w:val="34"/>
          <w:sz w:val="19"/>
        </w:rPr>
        <w:t> </w:t>
      </w:r>
      <w:r>
        <w:rPr>
          <w:color w:val="231F20"/>
          <w:sz w:val="19"/>
        </w:rPr>
        <w:t>UCTD</w:t>
      </w:r>
      <w:r>
        <w:rPr>
          <w:color w:val="231F20"/>
          <w:spacing w:val="34"/>
          <w:sz w:val="19"/>
        </w:rPr>
        <w:t> </w:t>
      </w:r>
      <w:r>
        <w:rPr>
          <w:color w:val="231F20"/>
          <w:sz w:val="19"/>
        </w:rPr>
        <w:t>in</w:t>
      </w:r>
      <w:r>
        <w:rPr>
          <w:color w:val="231F20"/>
          <w:spacing w:val="35"/>
          <w:sz w:val="19"/>
        </w:rPr>
        <w:t> </w:t>
      </w:r>
      <w:r>
        <w:rPr>
          <w:color w:val="231F20"/>
          <w:sz w:val="19"/>
        </w:rPr>
        <w:t>relation</w:t>
      </w:r>
      <w:r>
        <w:rPr>
          <w:color w:val="231F20"/>
          <w:spacing w:val="34"/>
          <w:sz w:val="19"/>
        </w:rPr>
        <w:t> </w:t>
      </w:r>
      <w:r>
        <w:rPr>
          <w:color w:val="231F20"/>
          <w:sz w:val="19"/>
        </w:rPr>
        <w:t>to</w:t>
      </w:r>
      <w:r>
        <w:rPr>
          <w:color w:val="231F20"/>
          <w:spacing w:val="34"/>
          <w:sz w:val="19"/>
        </w:rPr>
        <w:t> </w:t>
      </w:r>
      <w:r>
        <w:rPr>
          <w:color w:val="231F20"/>
          <w:sz w:val="19"/>
        </w:rPr>
        <w:t>the</w:t>
      </w:r>
      <w:r>
        <w:rPr>
          <w:color w:val="231F20"/>
          <w:spacing w:val="33"/>
          <w:sz w:val="19"/>
        </w:rPr>
        <w:t> </w:t>
      </w:r>
      <w:r>
        <w:rPr>
          <w:color w:val="231F20"/>
          <w:sz w:val="19"/>
        </w:rPr>
        <w:t>scope</w:t>
      </w:r>
      <w:r>
        <w:rPr>
          <w:color w:val="231F20"/>
          <w:spacing w:val="34"/>
          <w:sz w:val="19"/>
        </w:rPr>
        <w:t> </w:t>
      </w:r>
      <w:r>
        <w:rPr>
          <w:color w:val="231F20"/>
          <w:spacing w:val="-5"/>
          <w:sz w:val="19"/>
        </w:rPr>
        <w:t>of</w:t>
      </w:r>
    </w:p>
    <w:p>
      <w:pPr>
        <w:pStyle w:val="BodyText"/>
        <w:spacing w:before="92"/>
        <w:rPr>
          <w:sz w:val="20"/>
        </w:rPr>
      </w:pPr>
      <w:r>
        <w:rPr/>
        <mc:AlternateContent>
          <mc:Choice Requires="wps">
            <w:drawing>
              <wp:anchor distT="0" distB="0" distL="0" distR="0" allowOverlap="1" layoutInCell="1" locked="0" behindDoc="1" simplePos="0" relativeHeight="487602176">
                <wp:simplePos x="0" y="0"/>
                <wp:positionH relativeFrom="page">
                  <wp:posOffset>1979993</wp:posOffset>
                </wp:positionH>
                <wp:positionV relativeFrom="paragraph">
                  <wp:posOffset>218328</wp:posOffset>
                </wp:positionV>
                <wp:extent cx="1656080" cy="4445"/>
                <wp:effectExtent l="0" t="0" r="0" b="0"/>
                <wp:wrapTopAndBottom/>
                <wp:docPr id="31" name="Graphic 31"/>
                <wp:cNvGraphicFramePr>
                  <a:graphicFrameLocks/>
                </wp:cNvGraphicFramePr>
                <a:graphic>
                  <a:graphicData uri="http://schemas.microsoft.com/office/word/2010/wordprocessingShape">
                    <wps:wsp>
                      <wps:cNvPr id="31" name="Graphic 31"/>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7.191244pt;width:130.394pt;height:.34015pt;mso-position-horizontal-relative:page;mso-position-vertical-relative:paragraph;z-index:-15714304;mso-wrap-distance-left:0;mso-wrap-distance-right:0" id="docshape31"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both"/>
        <w:rPr>
          <w:sz w:val="16"/>
        </w:rPr>
      </w:pPr>
      <w:r>
        <w:rPr>
          <w:color w:val="231F20"/>
          <w:spacing w:val="-2"/>
          <w:sz w:val="16"/>
        </w:rPr>
        <w:t>ECJ 27</w:t>
      </w:r>
      <w:r>
        <w:rPr>
          <w:color w:val="231F20"/>
          <w:spacing w:val="-3"/>
          <w:sz w:val="16"/>
        </w:rPr>
        <w:t> </w:t>
      </w:r>
      <w:r>
        <w:rPr>
          <w:color w:val="231F20"/>
          <w:spacing w:val="-2"/>
          <w:sz w:val="16"/>
        </w:rPr>
        <w:t>Apr. 2023, ECLI:EU:C:2023:352, </w:t>
      </w:r>
      <w:r>
        <w:rPr>
          <w:i/>
          <w:color w:val="231F20"/>
          <w:spacing w:val="-2"/>
          <w:sz w:val="16"/>
        </w:rPr>
        <w:t>AxFina</w:t>
      </w:r>
      <w:r>
        <w:rPr>
          <w:i/>
          <w:color w:val="231F20"/>
          <w:spacing w:val="-3"/>
          <w:sz w:val="16"/>
        </w:rPr>
        <w:t> </w:t>
      </w:r>
      <w:r>
        <w:rPr>
          <w:i/>
          <w:color w:val="231F20"/>
          <w:spacing w:val="-2"/>
          <w:sz w:val="16"/>
        </w:rPr>
        <w:t>Hungary</w:t>
      </w:r>
      <w:r>
        <w:rPr>
          <w:color w:val="231F20"/>
          <w:spacing w:val="-2"/>
          <w:sz w:val="16"/>
        </w:rPr>
        <w:t>,</w:t>
      </w:r>
      <w:r>
        <w:rPr>
          <w:color w:val="231F20"/>
          <w:spacing w:val="-3"/>
          <w:sz w:val="16"/>
        </w:rPr>
        <w:t> </w:t>
      </w:r>
      <w:r>
        <w:rPr>
          <w:color w:val="231F20"/>
          <w:spacing w:val="-2"/>
          <w:sz w:val="16"/>
        </w:rPr>
        <w:t>curia.europa.eu/juris/liste.jsf?num=C-</w:t>
      </w:r>
    </w:p>
    <w:p>
      <w:pPr>
        <w:spacing w:before="37"/>
        <w:ind w:left="866" w:right="0" w:firstLine="0"/>
        <w:jc w:val="both"/>
        <w:rPr>
          <w:sz w:val="16"/>
        </w:rPr>
      </w:pPr>
      <w:r>
        <w:rPr>
          <w:color w:val="231F20"/>
          <w:sz w:val="16"/>
        </w:rPr>
        <w:t>705/21,</w:t>
      </w:r>
      <w:r>
        <w:rPr>
          <w:color w:val="231F20"/>
          <w:spacing w:val="4"/>
          <w:sz w:val="16"/>
        </w:rPr>
        <w:t> </w:t>
      </w:r>
      <w:r>
        <w:rPr>
          <w:color w:val="231F20"/>
          <w:sz w:val="16"/>
        </w:rPr>
        <w:t>para.</w:t>
      </w:r>
      <w:r>
        <w:rPr>
          <w:color w:val="231F20"/>
          <w:spacing w:val="3"/>
          <w:sz w:val="16"/>
        </w:rPr>
        <w:t> </w:t>
      </w:r>
      <w:r>
        <w:rPr>
          <w:color w:val="231F20"/>
          <w:sz w:val="16"/>
        </w:rPr>
        <w:t>55.</w:t>
      </w:r>
      <w:r>
        <w:rPr>
          <w:color w:val="231F20"/>
          <w:spacing w:val="3"/>
          <w:sz w:val="16"/>
        </w:rPr>
        <w:t> </w:t>
      </w:r>
      <w:r>
        <w:rPr>
          <w:color w:val="231F20"/>
          <w:sz w:val="16"/>
        </w:rPr>
        <w:t>ECJ</w:t>
      </w:r>
      <w:r>
        <w:rPr>
          <w:color w:val="231F20"/>
          <w:spacing w:val="5"/>
          <w:sz w:val="16"/>
        </w:rPr>
        <w:t> </w:t>
      </w:r>
      <w:r>
        <w:rPr>
          <w:color w:val="231F20"/>
          <w:sz w:val="16"/>
        </w:rPr>
        <w:t>8</w:t>
      </w:r>
      <w:r>
        <w:rPr>
          <w:color w:val="231F20"/>
          <w:spacing w:val="3"/>
          <w:sz w:val="16"/>
        </w:rPr>
        <w:t> </w:t>
      </w:r>
      <w:r>
        <w:rPr>
          <w:color w:val="231F20"/>
          <w:sz w:val="16"/>
        </w:rPr>
        <w:t>Sep.</w:t>
      </w:r>
      <w:r>
        <w:rPr>
          <w:color w:val="231F20"/>
          <w:spacing w:val="3"/>
          <w:sz w:val="16"/>
        </w:rPr>
        <w:t> </w:t>
      </w:r>
      <w:r>
        <w:rPr>
          <w:color w:val="231F20"/>
          <w:sz w:val="16"/>
        </w:rPr>
        <w:t>2022,</w:t>
      </w:r>
      <w:r>
        <w:rPr>
          <w:color w:val="231F20"/>
          <w:spacing w:val="4"/>
          <w:sz w:val="16"/>
        </w:rPr>
        <w:t> </w:t>
      </w:r>
      <w:r>
        <w:rPr>
          <w:color w:val="231F20"/>
          <w:sz w:val="16"/>
        </w:rPr>
        <w:t>ECLI:EU:C:2022:646,</w:t>
      </w:r>
      <w:r>
        <w:rPr>
          <w:color w:val="231F20"/>
          <w:spacing w:val="5"/>
          <w:sz w:val="16"/>
        </w:rPr>
        <w:t> </w:t>
      </w:r>
      <w:r>
        <w:rPr>
          <w:i/>
          <w:color w:val="231F20"/>
          <w:sz w:val="16"/>
        </w:rPr>
        <w:t>D.B.P.</w:t>
      </w:r>
      <w:r>
        <w:rPr>
          <w:color w:val="231F20"/>
          <w:sz w:val="16"/>
        </w:rPr>
        <w:t>,</w:t>
      </w:r>
      <w:r>
        <w:rPr>
          <w:color w:val="231F20"/>
          <w:spacing w:val="3"/>
          <w:sz w:val="16"/>
        </w:rPr>
        <w:t> </w:t>
      </w:r>
      <w:r>
        <w:rPr>
          <w:color w:val="231F20"/>
          <w:sz w:val="16"/>
        </w:rPr>
        <w:t>para.</w:t>
      </w:r>
      <w:r>
        <w:rPr>
          <w:color w:val="231F20"/>
          <w:spacing w:val="4"/>
          <w:sz w:val="16"/>
        </w:rPr>
        <w:t> </w:t>
      </w:r>
      <w:r>
        <w:rPr>
          <w:color w:val="231F20"/>
          <w:spacing w:val="-5"/>
          <w:sz w:val="16"/>
        </w:rPr>
        <w:t>77.</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ECJ</w:t>
      </w:r>
      <w:r>
        <w:rPr>
          <w:color w:val="231F20"/>
          <w:spacing w:val="6"/>
          <w:sz w:val="16"/>
        </w:rPr>
        <w:t> </w:t>
      </w:r>
      <w:r>
        <w:rPr>
          <w:color w:val="231F20"/>
          <w:sz w:val="16"/>
        </w:rPr>
        <w:t>3</w:t>
      </w:r>
      <w:r>
        <w:rPr>
          <w:color w:val="231F20"/>
          <w:spacing w:val="6"/>
          <w:sz w:val="16"/>
        </w:rPr>
        <w:t> </w:t>
      </w:r>
      <w:r>
        <w:rPr>
          <w:color w:val="231F20"/>
          <w:sz w:val="16"/>
        </w:rPr>
        <w:t>Oct.</w:t>
      </w:r>
      <w:r>
        <w:rPr>
          <w:color w:val="231F20"/>
          <w:spacing w:val="7"/>
          <w:sz w:val="16"/>
        </w:rPr>
        <w:t> </w:t>
      </w:r>
      <w:r>
        <w:rPr>
          <w:color w:val="231F20"/>
          <w:sz w:val="16"/>
        </w:rPr>
        <w:t>2019,</w:t>
      </w:r>
      <w:r>
        <w:rPr>
          <w:color w:val="231F20"/>
          <w:spacing w:val="6"/>
          <w:sz w:val="16"/>
        </w:rPr>
        <w:t> </w:t>
      </w:r>
      <w:r>
        <w:rPr>
          <w:color w:val="231F20"/>
          <w:sz w:val="16"/>
        </w:rPr>
        <w:t>ECLI:EU:C:2019:819,</w:t>
      </w:r>
      <w:r>
        <w:rPr>
          <w:color w:val="231F20"/>
          <w:spacing w:val="7"/>
          <w:sz w:val="16"/>
        </w:rPr>
        <w:t> </w:t>
      </w:r>
      <w:r>
        <w:rPr>
          <w:i/>
          <w:color w:val="231F20"/>
          <w:sz w:val="16"/>
        </w:rPr>
        <w:t>Dziubak</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61.</w:t>
      </w:r>
    </w:p>
    <w:p>
      <w:pPr>
        <w:pStyle w:val="ListParagraph"/>
        <w:numPr>
          <w:ilvl w:val="0"/>
          <w:numId w:val="3"/>
        </w:numPr>
        <w:tabs>
          <w:tab w:pos="866" w:val="left" w:leader="none"/>
        </w:tabs>
        <w:spacing w:line="290" w:lineRule="auto" w:before="37" w:after="0"/>
        <w:ind w:left="866" w:right="868" w:hanging="354"/>
        <w:jc w:val="both"/>
        <w:rPr>
          <w:sz w:val="16"/>
        </w:rPr>
      </w:pPr>
      <w:r>
        <w:rPr>
          <w:color w:val="231F20"/>
          <w:sz w:val="16"/>
        </w:rPr>
        <w:t>ECJ</w:t>
      </w:r>
      <w:r>
        <w:rPr>
          <w:color w:val="231F20"/>
          <w:spacing w:val="-10"/>
          <w:sz w:val="16"/>
        </w:rPr>
        <w:t> </w:t>
      </w:r>
      <w:r>
        <w:rPr>
          <w:color w:val="231F20"/>
          <w:sz w:val="16"/>
        </w:rPr>
        <w:t>12</w:t>
      </w:r>
      <w:r>
        <w:rPr>
          <w:color w:val="231F20"/>
          <w:spacing w:val="-9"/>
          <w:sz w:val="16"/>
        </w:rPr>
        <w:t> </w:t>
      </w:r>
      <w:r>
        <w:rPr>
          <w:color w:val="231F20"/>
          <w:sz w:val="16"/>
        </w:rPr>
        <w:t>Oct.</w:t>
      </w:r>
      <w:r>
        <w:rPr>
          <w:color w:val="231F20"/>
          <w:spacing w:val="-9"/>
          <w:sz w:val="16"/>
        </w:rPr>
        <w:t> </w:t>
      </w:r>
      <w:r>
        <w:rPr>
          <w:color w:val="231F20"/>
          <w:sz w:val="16"/>
        </w:rPr>
        <w:t>2023,</w:t>
      </w:r>
      <w:r>
        <w:rPr>
          <w:color w:val="231F20"/>
          <w:spacing w:val="-10"/>
          <w:sz w:val="16"/>
        </w:rPr>
        <w:t> </w:t>
      </w:r>
      <w:r>
        <w:rPr>
          <w:color w:val="231F20"/>
          <w:sz w:val="16"/>
        </w:rPr>
        <w:t>ECLI:EU:C:2023:774,</w:t>
      </w:r>
      <w:r>
        <w:rPr>
          <w:color w:val="231F20"/>
          <w:spacing w:val="-9"/>
          <w:sz w:val="16"/>
        </w:rPr>
        <w:t> </w:t>
      </w:r>
      <w:r>
        <w:rPr>
          <w:i/>
          <w:color w:val="231F20"/>
          <w:sz w:val="16"/>
        </w:rPr>
        <w:t>Luminor</w:t>
      </w:r>
      <w:r>
        <w:rPr>
          <w:i/>
          <w:color w:val="231F20"/>
          <w:spacing w:val="-9"/>
          <w:sz w:val="16"/>
        </w:rPr>
        <w:t> </w:t>
      </w:r>
      <w:r>
        <w:rPr>
          <w:i/>
          <w:color w:val="231F20"/>
          <w:sz w:val="16"/>
        </w:rPr>
        <w:t>Bank</w:t>
      </w:r>
      <w:r>
        <w:rPr>
          <w:i/>
          <w:color w:val="231F20"/>
          <w:spacing w:val="-9"/>
          <w:sz w:val="16"/>
        </w:rPr>
        <w:t> </w:t>
      </w:r>
      <w:r>
        <w:rPr>
          <w:i/>
          <w:color w:val="231F20"/>
          <w:sz w:val="16"/>
        </w:rPr>
        <w:t>AS</w:t>
      </w:r>
      <w:r>
        <w:rPr>
          <w:color w:val="231F20"/>
          <w:sz w:val="16"/>
        </w:rPr>
        <w:t>,</w:t>
      </w:r>
      <w:r>
        <w:rPr>
          <w:color w:val="231F20"/>
          <w:spacing w:val="-8"/>
          <w:sz w:val="16"/>
        </w:rPr>
        <w:t> </w:t>
      </w:r>
      <w:r>
        <w:rPr>
          <w:color w:val="231F20"/>
          <w:sz w:val="16"/>
        </w:rPr>
        <w:t>curia.europa.eu/juris/liste.jsf?num=</w:t>
      </w:r>
      <w:r>
        <w:rPr>
          <w:color w:val="231F20"/>
          <w:spacing w:val="40"/>
          <w:sz w:val="16"/>
        </w:rPr>
        <w:t> </w:t>
      </w:r>
      <w:r>
        <w:rPr>
          <w:color w:val="231F20"/>
          <w:sz w:val="16"/>
        </w:rPr>
        <w:t>C-645/22,</w:t>
      </w:r>
      <w:r>
        <w:rPr>
          <w:color w:val="231F20"/>
          <w:spacing w:val="-2"/>
          <w:sz w:val="16"/>
        </w:rPr>
        <w:t> </w:t>
      </w:r>
      <w:r>
        <w:rPr>
          <w:color w:val="231F20"/>
          <w:sz w:val="16"/>
        </w:rPr>
        <w:t>para.</w:t>
      </w:r>
      <w:r>
        <w:rPr>
          <w:color w:val="231F20"/>
          <w:spacing w:val="-2"/>
          <w:sz w:val="16"/>
        </w:rPr>
        <w:t> </w:t>
      </w:r>
      <w:r>
        <w:rPr>
          <w:color w:val="231F20"/>
          <w:sz w:val="16"/>
        </w:rPr>
        <w:t>36.</w:t>
      </w:r>
      <w:r>
        <w:rPr>
          <w:color w:val="231F20"/>
          <w:spacing w:val="-2"/>
          <w:sz w:val="16"/>
        </w:rPr>
        <w:t> </w:t>
      </w:r>
      <w:r>
        <w:rPr>
          <w:color w:val="231F20"/>
          <w:sz w:val="16"/>
        </w:rPr>
        <w:t>ECJ</w:t>
      </w:r>
      <w:r>
        <w:rPr>
          <w:color w:val="231F20"/>
          <w:spacing w:val="-2"/>
          <w:sz w:val="16"/>
        </w:rPr>
        <w:t> </w:t>
      </w:r>
      <w:r>
        <w:rPr>
          <w:color w:val="231F20"/>
          <w:sz w:val="16"/>
        </w:rPr>
        <w:t>8</w:t>
      </w:r>
      <w:r>
        <w:rPr>
          <w:color w:val="231F20"/>
          <w:spacing w:val="-2"/>
          <w:sz w:val="16"/>
        </w:rPr>
        <w:t> </w:t>
      </w:r>
      <w:r>
        <w:rPr>
          <w:color w:val="231F20"/>
          <w:sz w:val="16"/>
        </w:rPr>
        <w:t>Sep.</w:t>
      </w:r>
      <w:r>
        <w:rPr>
          <w:color w:val="231F20"/>
          <w:spacing w:val="-2"/>
          <w:sz w:val="16"/>
        </w:rPr>
        <w:t> </w:t>
      </w:r>
      <w:r>
        <w:rPr>
          <w:color w:val="231F20"/>
          <w:sz w:val="16"/>
        </w:rPr>
        <w:t>2022,</w:t>
      </w:r>
      <w:r>
        <w:rPr>
          <w:color w:val="231F20"/>
          <w:spacing w:val="-2"/>
          <w:sz w:val="16"/>
        </w:rPr>
        <w:t> </w:t>
      </w:r>
      <w:r>
        <w:rPr>
          <w:color w:val="231F20"/>
          <w:sz w:val="16"/>
        </w:rPr>
        <w:t>ECLI:EU:C:2022:646,</w:t>
      </w:r>
      <w:r>
        <w:rPr>
          <w:color w:val="231F20"/>
          <w:spacing w:val="-2"/>
          <w:sz w:val="16"/>
        </w:rPr>
        <w:t> </w:t>
      </w:r>
      <w:r>
        <w:rPr>
          <w:i/>
          <w:color w:val="231F20"/>
          <w:sz w:val="16"/>
        </w:rPr>
        <w:t>D.B.P.</w:t>
      </w:r>
      <w:r>
        <w:rPr>
          <w:color w:val="231F20"/>
          <w:sz w:val="16"/>
        </w:rPr>
        <w:t>,</w:t>
      </w:r>
      <w:r>
        <w:rPr>
          <w:color w:val="231F20"/>
          <w:spacing w:val="-2"/>
          <w:sz w:val="16"/>
        </w:rPr>
        <w:t> </w:t>
      </w:r>
      <w:r>
        <w:rPr>
          <w:color w:val="231F20"/>
          <w:sz w:val="16"/>
        </w:rPr>
        <w:t>para.</w:t>
      </w:r>
      <w:r>
        <w:rPr>
          <w:color w:val="231F20"/>
          <w:spacing w:val="-2"/>
          <w:sz w:val="16"/>
        </w:rPr>
        <w:t> </w:t>
      </w:r>
      <w:r>
        <w:rPr>
          <w:color w:val="231F20"/>
          <w:sz w:val="16"/>
        </w:rPr>
        <w:t>77.</w:t>
      </w:r>
      <w:r>
        <w:rPr>
          <w:color w:val="231F20"/>
          <w:spacing w:val="-2"/>
          <w:sz w:val="16"/>
        </w:rPr>
        <w:t> </w:t>
      </w:r>
      <w:r>
        <w:rPr>
          <w:color w:val="231F20"/>
          <w:sz w:val="16"/>
        </w:rPr>
        <w:t>ECJ</w:t>
      </w:r>
      <w:r>
        <w:rPr>
          <w:color w:val="231F20"/>
          <w:spacing w:val="-2"/>
          <w:sz w:val="16"/>
        </w:rPr>
        <w:t> </w:t>
      </w:r>
      <w:r>
        <w:rPr>
          <w:color w:val="231F20"/>
          <w:sz w:val="16"/>
        </w:rPr>
        <w:t>25</w:t>
      </w:r>
      <w:r>
        <w:rPr>
          <w:color w:val="231F20"/>
          <w:spacing w:val="-2"/>
          <w:sz w:val="16"/>
        </w:rPr>
        <w:t> </w:t>
      </w:r>
      <w:r>
        <w:rPr>
          <w:color w:val="231F20"/>
          <w:sz w:val="16"/>
        </w:rPr>
        <w:t>Nov.</w:t>
      </w:r>
      <w:r>
        <w:rPr>
          <w:color w:val="231F20"/>
          <w:spacing w:val="-2"/>
          <w:sz w:val="16"/>
        </w:rPr>
        <w:t> </w:t>
      </w:r>
      <w:r>
        <w:rPr>
          <w:color w:val="231F20"/>
          <w:sz w:val="16"/>
        </w:rPr>
        <w:t>2020,</w:t>
      </w:r>
      <w:r>
        <w:rPr>
          <w:color w:val="231F20"/>
          <w:spacing w:val="40"/>
          <w:sz w:val="16"/>
        </w:rPr>
        <w:t> </w:t>
      </w:r>
      <w:r>
        <w:rPr>
          <w:color w:val="231F20"/>
          <w:sz w:val="16"/>
        </w:rPr>
        <w:t>ECLI:EU:C:2020:954, </w:t>
      </w:r>
      <w:r>
        <w:rPr>
          <w:i/>
          <w:color w:val="231F20"/>
          <w:sz w:val="16"/>
        </w:rPr>
        <w:t>Banca B.</w:t>
      </w:r>
      <w:r>
        <w:rPr>
          <w:color w:val="231F20"/>
          <w:sz w:val="16"/>
        </w:rPr>
        <w:t>, para. 35.</w:t>
      </w:r>
    </w:p>
    <w:p>
      <w:pPr>
        <w:pStyle w:val="ListParagraph"/>
        <w:numPr>
          <w:ilvl w:val="0"/>
          <w:numId w:val="3"/>
        </w:numPr>
        <w:tabs>
          <w:tab w:pos="865" w:val="left" w:leader="none"/>
        </w:tabs>
        <w:spacing w:line="179" w:lineRule="exact" w:before="0" w:after="0"/>
        <w:ind w:left="865" w:right="0" w:hanging="353"/>
        <w:jc w:val="both"/>
        <w:rPr>
          <w:sz w:val="16"/>
        </w:rPr>
      </w:pPr>
      <w:r>
        <w:rPr>
          <w:color w:val="231F20"/>
          <w:sz w:val="16"/>
        </w:rPr>
        <w:t>ECJ 27</w:t>
      </w:r>
      <w:r>
        <w:rPr>
          <w:color w:val="231F20"/>
          <w:spacing w:val="-1"/>
          <w:sz w:val="16"/>
        </w:rPr>
        <w:t> </w:t>
      </w:r>
      <w:r>
        <w:rPr>
          <w:color w:val="231F20"/>
          <w:sz w:val="16"/>
        </w:rPr>
        <w:t>Apr. 2023, ECLI:EU:C:2023:352, </w:t>
      </w:r>
      <w:r>
        <w:rPr>
          <w:i/>
          <w:color w:val="231F20"/>
          <w:sz w:val="16"/>
        </w:rPr>
        <w:t>AxFina</w:t>
      </w:r>
      <w:r>
        <w:rPr>
          <w:i/>
          <w:color w:val="231F20"/>
          <w:spacing w:val="-2"/>
          <w:sz w:val="16"/>
        </w:rPr>
        <w:t> </w:t>
      </w:r>
      <w:r>
        <w:rPr>
          <w:i/>
          <w:color w:val="231F20"/>
          <w:sz w:val="16"/>
        </w:rPr>
        <w:t>Hungary</w:t>
      </w:r>
      <w:r>
        <w:rPr>
          <w:color w:val="231F20"/>
          <w:sz w:val="16"/>
        </w:rPr>
        <w:t>, para. 54. ECJ 3 Oct. 2019, </w:t>
      </w:r>
      <w:r>
        <w:rPr>
          <w:color w:val="231F20"/>
          <w:spacing w:val="-2"/>
          <w:sz w:val="16"/>
        </w:rPr>
        <w:t>ECLI:EU:</w:t>
      </w:r>
    </w:p>
    <w:p>
      <w:pPr>
        <w:spacing w:before="37"/>
        <w:ind w:left="866" w:right="0" w:firstLine="0"/>
        <w:jc w:val="left"/>
        <w:rPr>
          <w:sz w:val="16"/>
        </w:rPr>
      </w:pPr>
      <w:r>
        <w:rPr>
          <w:color w:val="231F20"/>
          <w:sz w:val="16"/>
        </w:rPr>
        <w:t>C:2019:819,</w:t>
      </w:r>
      <w:r>
        <w:rPr>
          <w:color w:val="231F20"/>
          <w:spacing w:val="9"/>
          <w:sz w:val="16"/>
        </w:rPr>
        <w:t> </w:t>
      </w:r>
      <w:r>
        <w:rPr>
          <w:i/>
          <w:color w:val="231F20"/>
          <w:sz w:val="16"/>
        </w:rPr>
        <w:t>Dziubak</w:t>
      </w:r>
      <w:r>
        <w:rPr>
          <w:color w:val="231F20"/>
          <w:sz w:val="16"/>
        </w:rPr>
        <w:t>,</w:t>
      </w:r>
      <w:r>
        <w:rPr>
          <w:color w:val="231F20"/>
          <w:spacing w:val="11"/>
          <w:sz w:val="16"/>
        </w:rPr>
        <w:t> </w:t>
      </w:r>
      <w:r>
        <w:rPr>
          <w:color w:val="231F20"/>
          <w:sz w:val="16"/>
        </w:rPr>
        <w:t>paras</w:t>
      </w:r>
      <w:r>
        <w:rPr>
          <w:color w:val="231F20"/>
          <w:spacing w:val="9"/>
          <w:sz w:val="16"/>
        </w:rPr>
        <w:t> </w:t>
      </w:r>
      <w:r>
        <w:rPr>
          <w:color w:val="231F20"/>
          <w:sz w:val="16"/>
        </w:rPr>
        <w:t>59</w:t>
      </w:r>
      <w:r>
        <w:rPr>
          <w:color w:val="231F20"/>
          <w:spacing w:val="9"/>
          <w:sz w:val="16"/>
        </w:rPr>
        <w:t> </w:t>
      </w:r>
      <w:r>
        <w:rPr>
          <w:color w:val="231F20"/>
          <w:sz w:val="16"/>
        </w:rPr>
        <w:t>y</w:t>
      </w:r>
      <w:r>
        <w:rPr>
          <w:color w:val="231F20"/>
          <w:spacing w:val="10"/>
          <w:sz w:val="16"/>
        </w:rPr>
        <w:t> </w:t>
      </w:r>
      <w:r>
        <w:rPr>
          <w:color w:val="231F20"/>
          <w:spacing w:val="-5"/>
          <w:sz w:val="16"/>
        </w:rPr>
        <w:t>60.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4"/>
          <w:sz w:val="16"/>
        </w:rPr>
        <w:t> </w:t>
      </w:r>
      <w:r>
        <w:rPr>
          <w:color w:val="231F20"/>
          <w:sz w:val="16"/>
        </w:rPr>
        <w:t>8</w:t>
      </w:r>
      <w:r>
        <w:rPr>
          <w:color w:val="231F20"/>
          <w:spacing w:val="-3"/>
          <w:sz w:val="16"/>
        </w:rPr>
        <w:t> </w:t>
      </w:r>
      <w:r>
        <w:rPr>
          <w:color w:val="231F20"/>
          <w:sz w:val="16"/>
        </w:rPr>
        <w:t>Sep.</w:t>
      </w:r>
      <w:r>
        <w:rPr>
          <w:color w:val="231F20"/>
          <w:spacing w:val="-2"/>
          <w:sz w:val="16"/>
        </w:rPr>
        <w:t> </w:t>
      </w:r>
      <w:r>
        <w:rPr>
          <w:color w:val="231F20"/>
          <w:sz w:val="16"/>
        </w:rPr>
        <w:t>2022,</w:t>
      </w:r>
      <w:r>
        <w:rPr>
          <w:color w:val="231F20"/>
          <w:spacing w:val="-4"/>
          <w:sz w:val="16"/>
        </w:rPr>
        <w:t> </w:t>
      </w:r>
      <w:r>
        <w:rPr>
          <w:color w:val="231F20"/>
          <w:sz w:val="16"/>
        </w:rPr>
        <w:t>ECLI:EU:C:2022:646,</w:t>
      </w:r>
      <w:r>
        <w:rPr>
          <w:color w:val="231F20"/>
          <w:spacing w:val="-2"/>
          <w:sz w:val="16"/>
        </w:rPr>
        <w:t> </w:t>
      </w:r>
      <w:r>
        <w:rPr>
          <w:i/>
          <w:color w:val="231F20"/>
          <w:sz w:val="16"/>
        </w:rPr>
        <w:t>D.B.P.</w:t>
      </w:r>
      <w:r>
        <w:rPr>
          <w:color w:val="231F20"/>
          <w:sz w:val="16"/>
        </w:rPr>
        <w:t>,</w:t>
      </w:r>
      <w:r>
        <w:rPr>
          <w:color w:val="231F20"/>
          <w:spacing w:val="-2"/>
          <w:sz w:val="16"/>
        </w:rPr>
        <w:t> </w:t>
      </w:r>
      <w:r>
        <w:rPr>
          <w:color w:val="231F20"/>
          <w:sz w:val="16"/>
        </w:rPr>
        <w:t>para.</w:t>
      </w:r>
      <w:r>
        <w:rPr>
          <w:color w:val="231F20"/>
          <w:spacing w:val="-3"/>
          <w:sz w:val="16"/>
        </w:rPr>
        <w:t> </w:t>
      </w:r>
      <w:r>
        <w:rPr>
          <w:color w:val="231F20"/>
          <w:spacing w:val="-5"/>
          <w:sz w:val="16"/>
        </w:rPr>
        <w:t>79.</w:t>
      </w:r>
    </w:p>
    <w:p>
      <w:pPr>
        <w:pStyle w:val="ListParagraph"/>
        <w:numPr>
          <w:ilvl w:val="0"/>
          <w:numId w:val="3"/>
        </w:numPr>
        <w:tabs>
          <w:tab w:pos="866" w:val="left" w:leader="none"/>
        </w:tabs>
        <w:spacing w:line="288" w:lineRule="auto" w:before="37" w:after="0"/>
        <w:ind w:left="866" w:right="868" w:hanging="354"/>
        <w:jc w:val="left"/>
        <w:rPr>
          <w:sz w:val="16"/>
        </w:rPr>
      </w:pPr>
      <w:r>
        <w:rPr>
          <w:color w:val="231F20"/>
          <w:spacing w:val="-2"/>
          <w:sz w:val="16"/>
        </w:rPr>
        <w:t>ECJ</w:t>
      </w:r>
      <w:r>
        <w:rPr>
          <w:color w:val="231F20"/>
          <w:spacing w:val="-4"/>
          <w:sz w:val="16"/>
        </w:rPr>
        <w:t> </w:t>
      </w:r>
      <w:r>
        <w:rPr>
          <w:color w:val="231F20"/>
          <w:spacing w:val="-2"/>
          <w:sz w:val="16"/>
        </w:rPr>
        <w:t>31</w:t>
      </w:r>
      <w:r>
        <w:rPr>
          <w:color w:val="231F20"/>
          <w:spacing w:val="-5"/>
          <w:sz w:val="16"/>
        </w:rPr>
        <w:t> </w:t>
      </w:r>
      <w:r>
        <w:rPr>
          <w:color w:val="231F20"/>
          <w:spacing w:val="-2"/>
          <w:sz w:val="16"/>
        </w:rPr>
        <w:t>Mar.</w:t>
      </w:r>
      <w:r>
        <w:rPr>
          <w:color w:val="231F20"/>
          <w:spacing w:val="-4"/>
          <w:sz w:val="16"/>
        </w:rPr>
        <w:t> </w:t>
      </w:r>
      <w:r>
        <w:rPr>
          <w:color w:val="231F20"/>
          <w:spacing w:val="-2"/>
          <w:sz w:val="16"/>
        </w:rPr>
        <w:t>2022,</w:t>
      </w:r>
      <w:r>
        <w:rPr>
          <w:color w:val="231F20"/>
          <w:spacing w:val="-5"/>
          <w:sz w:val="16"/>
        </w:rPr>
        <w:t> </w:t>
      </w:r>
      <w:r>
        <w:rPr>
          <w:color w:val="231F20"/>
          <w:spacing w:val="-2"/>
          <w:sz w:val="16"/>
        </w:rPr>
        <w:t>ECLI:EU:C:2022:242,</w:t>
      </w:r>
      <w:r>
        <w:rPr>
          <w:color w:val="231F20"/>
          <w:spacing w:val="-5"/>
          <w:sz w:val="16"/>
        </w:rPr>
        <w:t> </w:t>
      </w:r>
      <w:r>
        <w:rPr>
          <w:i/>
          <w:color w:val="231F20"/>
          <w:spacing w:val="-2"/>
          <w:sz w:val="16"/>
        </w:rPr>
        <w:t>Lombard</w:t>
      </w:r>
      <w:r>
        <w:rPr>
          <w:i/>
          <w:color w:val="231F20"/>
          <w:spacing w:val="-5"/>
          <w:sz w:val="16"/>
        </w:rPr>
        <w:t> </w:t>
      </w:r>
      <w:r>
        <w:rPr>
          <w:i/>
          <w:color w:val="231F20"/>
          <w:spacing w:val="-2"/>
          <w:sz w:val="16"/>
        </w:rPr>
        <w:t>Pénzügyi</w:t>
      </w:r>
      <w:r>
        <w:rPr>
          <w:i/>
          <w:color w:val="231F20"/>
          <w:spacing w:val="-5"/>
          <w:sz w:val="16"/>
        </w:rPr>
        <w:t> </w:t>
      </w:r>
      <w:r>
        <w:rPr>
          <w:i/>
          <w:color w:val="231F20"/>
          <w:spacing w:val="-2"/>
          <w:sz w:val="16"/>
        </w:rPr>
        <w:t>és</w:t>
      </w:r>
      <w:r>
        <w:rPr>
          <w:i/>
          <w:color w:val="231F20"/>
          <w:spacing w:val="-4"/>
          <w:sz w:val="16"/>
        </w:rPr>
        <w:t> </w:t>
      </w:r>
      <w:r>
        <w:rPr>
          <w:i/>
          <w:color w:val="231F20"/>
          <w:spacing w:val="-2"/>
          <w:sz w:val="16"/>
        </w:rPr>
        <w:t>Lízing</w:t>
      </w:r>
      <w:r>
        <w:rPr>
          <w:i/>
          <w:color w:val="231F20"/>
          <w:spacing w:val="-5"/>
          <w:sz w:val="16"/>
        </w:rPr>
        <w:t> </w:t>
      </w:r>
      <w:r>
        <w:rPr>
          <w:i/>
          <w:color w:val="231F20"/>
          <w:spacing w:val="-2"/>
          <w:sz w:val="16"/>
        </w:rPr>
        <w:t>Zrt.</w:t>
      </w:r>
      <w:r>
        <w:rPr>
          <w:i/>
          <w:color w:val="231F20"/>
          <w:spacing w:val="-4"/>
          <w:sz w:val="16"/>
        </w:rPr>
        <w:t> </w:t>
      </w:r>
      <w:r>
        <w:rPr>
          <w:color w:val="231F20"/>
          <w:spacing w:val="-2"/>
          <w:sz w:val="16"/>
        </w:rPr>
        <w:t>v.</w:t>
      </w:r>
      <w:r>
        <w:rPr>
          <w:color w:val="231F20"/>
          <w:spacing w:val="-4"/>
          <w:sz w:val="16"/>
        </w:rPr>
        <w:t> </w:t>
      </w:r>
      <w:r>
        <w:rPr>
          <w:i/>
          <w:color w:val="231F20"/>
          <w:spacing w:val="-2"/>
          <w:sz w:val="16"/>
        </w:rPr>
        <w:t>PN</w:t>
      </w:r>
      <w:r>
        <w:rPr>
          <w:color w:val="231F20"/>
          <w:spacing w:val="-2"/>
          <w:sz w:val="16"/>
        </w:rPr>
        <w:t>,</w:t>
      </w:r>
      <w:r>
        <w:rPr>
          <w:color w:val="231F20"/>
          <w:spacing w:val="-4"/>
          <w:sz w:val="16"/>
        </w:rPr>
        <w:t> </w:t>
      </w:r>
      <w:r>
        <w:rPr>
          <w:color w:val="231F20"/>
          <w:spacing w:val="-2"/>
          <w:sz w:val="16"/>
        </w:rPr>
        <w:t>curia.europa.eu/</w:t>
      </w:r>
      <w:r>
        <w:rPr>
          <w:color w:val="231F20"/>
          <w:spacing w:val="40"/>
          <w:sz w:val="16"/>
        </w:rPr>
        <w:t> </w:t>
      </w:r>
      <w:r>
        <w:rPr>
          <w:color w:val="231F20"/>
          <w:sz w:val="16"/>
        </w:rPr>
        <w:t>juris/documents.jsf?num=C-472/20, para. 42.</w:t>
      </w:r>
    </w:p>
    <w:p>
      <w:pPr>
        <w:pStyle w:val="ListParagraph"/>
        <w:numPr>
          <w:ilvl w:val="0"/>
          <w:numId w:val="3"/>
        </w:numPr>
        <w:tabs>
          <w:tab w:pos="865" w:val="left" w:leader="none"/>
        </w:tabs>
        <w:spacing w:line="240" w:lineRule="auto" w:before="2" w:after="0"/>
        <w:ind w:left="865" w:right="0" w:hanging="353"/>
        <w:jc w:val="left"/>
        <w:rPr>
          <w:sz w:val="16"/>
        </w:rPr>
      </w:pPr>
      <w:r>
        <w:rPr>
          <w:color w:val="231F20"/>
          <w:sz w:val="16"/>
        </w:rPr>
        <w:t>Italics</w:t>
      </w:r>
      <w:r>
        <w:rPr>
          <w:color w:val="231F20"/>
          <w:spacing w:val="-2"/>
          <w:sz w:val="16"/>
        </w:rPr>
        <w:t> added.</w:t>
      </w:r>
    </w:p>
    <w:p>
      <w:pPr>
        <w:pStyle w:val="ListParagraph"/>
        <w:numPr>
          <w:ilvl w:val="0"/>
          <w:numId w:val="3"/>
        </w:numPr>
        <w:tabs>
          <w:tab w:pos="865" w:val="left" w:leader="none"/>
        </w:tabs>
        <w:spacing w:line="240" w:lineRule="auto" w:before="33" w:after="0"/>
        <w:ind w:left="865" w:right="0" w:hanging="353"/>
        <w:jc w:val="left"/>
        <w:rPr>
          <w:sz w:val="16"/>
        </w:rPr>
      </w:pPr>
      <w:r>
        <w:rPr>
          <w:color w:val="231F20"/>
          <w:sz w:val="16"/>
        </w:rPr>
        <w:t>F.</w:t>
      </w:r>
      <w:r>
        <w:rPr>
          <w:color w:val="231F20"/>
          <w:spacing w:val="2"/>
          <w:sz w:val="16"/>
        </w:rPr>
        <w:t> </w:t>
      </w:r>
      <w:r>
        <w:rPr>
          <w:color w:val="231F20"/>
          <w:sz w:val="16"/>
        </w:rPr>
        <w:t>E</w:t>
      </w:r>
      <w:r>
        <w:rPr>
          <w:color w:val="231F20"/>
          <w:sz w:val="11"/>
        </w:rPr>
        <w:t>SPOSITO</w:t>
      </w:r>
      <w:r>
        <w:rPr>
          <w:color w:val="231F20"/>
          <w:sz w:val="16"/>
        </w:rPr>
        <w:t>,</w:t>
      </w:r>
      <w:r>
        <w:rPr>
          <w:color w:val="231F20"/>
          <w:spacing w:val="3"/>
          <w:sz w:val="16"/>
        </w:rPr>
        <w:t> </w:t>
      </w:r>
      <w:r>
        <w:rPr>
          <w:rFonts w:ascii="Arial" w:hAnsi="Arial"/>
          <w:color w:val="231F20"/>
          <w:sz w:val="16"/>
        </w:rPr>
        <w:t>‘</w:t>
      </w:r>
      <w:r>
        <w:rPr>
          <w:color w:val="231F20"/>
          <w:sz w:val="16"/>
        </w:rPr>
        <w:t>Dziubak</w:t>
      </w:r>
      <w:r>
        <w:rPr>
          <w:color w:val="231F20"/>
          <w:spacing w:val="3"/>
          <w:sz w:val="16"/>
        </w:rPr>
        <w:t> </w:t>
      </w:r>
      <w:r>
        <w:rPr>
          <w:color w:val="231F20"/>
          <w:sz w:val="16"/>
        </w:rPr>
        <w:t>Is</w:t>
      </w:r>
      <w:r>
        <w:rPr>
          <w:color w:val="231F20"/>
          <w:spacing w:val="3"/>
          <w:sz w:val="16"/>
        </w:rPr>
        <w:t> </w:t>
      </w:r>
      <w:r>
        <w:rPr>
          <w:color w:val="231F20"/>
          <w:sz w:val="16"/>
        </w:rPr>
        <w:t>a</w:t>
      </w:r>
      <w:r>
        <w:rPr>
          <w:color w:val="231F20"/>
          <w:spacing w:val="4"/>
          <w:sz w:val="16"/>
        </w:rPr>
        <w:t> </w:t>
      </w:r>
      <w:r>
        <w:rPr>
          <w:color w:val="231F20"/>
          <w:sz w:val="16"/>
        </w:rPr>
        <w:t>Fundamentally</w:t>
      </w:r>
      <w:r>
        <w:rPr>
          <w:color w:val="231F20"/>
          <w:spacing w:val="3"/>
          <w:sz w:val="16"/>
        </w:rPr>
        <w:t> </w:t>
      </w:r>
      <w:r>
        <w:rPr>
          <w:color w:val="231F20"/>
          <w:sz w:val="16"/>
        </w:rPr>
        <w:t>Wrong</w:t>
      </w:r>
      <w:r>
        <w:rPr>
          <w:color w:val="231F20"/>
          <w:spacing w:val="3"/>
          <w:sz w:val="16"/>
        </w:rPr>
        <w:t> </w:t>
      </w:r>
      <w:r>
        <w:rPr>
          <w:color w:val="231F20"/>
          <w:sz w:val="16"/>
        </w:rPr>
        <w:t>Decision</w:t>
      </w:r>
      <w:r>
        <w:rPr>
          <w:rFonts w:ascii="Arial" w:hAnsi="Arial"/>
          <w:color w:val="231F20"/>
          <w:sz w:val="16"/>
        </w:rPr>
        <w:t>’</w:t>
      </w:r>
      <w:r>
        <w:rPr>
          <w:color w:val="231F20"/>
          <w:sz w:val="16"/>
        </w:rPr>
        <w:t>,</w:t>
      </w:r>
      <w:r>
        <w:rPr>
          <w:color w:val="231F20"/>
          <w:spacing w:val="3"/>
          <w:sz w:val="16"/>
        </w:rPr>
        <w:t> </w:t>
      </w:r>
      <w:r>
        <w:rPr>
          <w:color w:val="231F20"/>
          <w:sz w:val="16"/>
        </w:rPr>
        <w:t>p</w:t>
      </w:r>
      <w:r>
        <w:rPr>
          <w:color w:val="231F20"/>
          <w:spacing w:val="3"/>
          <w:sz w:val="16"/>
        </w:rPr>
        <w:t> </w:t>
      </w:r>
      <w:r>
        <w:rPr>
          <w:color w:val="231F20"/>
          <w:spacing w:val="-4"/>
          <w:sz w:val="16"/>
        </w:rPr>
        <w:t>543.</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9"/>
        <w:jc w:val="both"/>
      </w:pPr>
      <w:r>
        <w:rPr>
          <w:color w:val="231F20"/>
        </w:rPr>
        <w:t>application of the directive (Art. 1(2) UCTD).</w:t>
      </w:r>
      <w:r>
        <w:rPr>
          <w:color w:val="231F20"/>
          <w:vertAlign w:val="superscript"/>
        </w:rPr>
        <w:t>166</w:t>
      </w:r>
      <w:r>
        <w:rPr>
          <w:color w:val="231F20"/>
          <w:vertAlign w:val="baseline"/>
        </w:rPr>
        <w:t> However, in that context, </w:t>
      </w:r>
      <w:r>
        <w:rPr>
          <w:color w:val="231F20"/>
          <w:vertAlign w:val="baseline"/>
        </w:rPr>
        <w:t>the </w:t>
      </w:r>
      <w:r>
        <w:rPr>
          <w:color w:val="231F20"/>
          <w:spacing w:val="-2"/>
          <w:vertAlign w:val="baseline"/>
        </w:rPr>
        <w:t>restrictive</w:t>
      </w:r>
      <w:r>
        <w:rPr>
          <w:color w:val="231F20"/>
          <w:spacing w:val="-3"/>
          <w:vertAlign w:val="baseline"/>
        </w:rPr>
        <w:t> </w:t>
      </w:r>
      <w:r>
        <w:rPr>
          <w:color w:val="231F20"/>
          <w:spacing w:val="-2"/>
          <w:vertAlign w:val="baseline"/>
        </w:rPr>
        <w:t>approach was justified to enhance consumer protection by</w:t>
      </w:r>
      <w:r>
        <w:rPr>
          <w:color w:val="231F20"/>
          <w:spacing w:val="-3"/>
          <w:vertAlign w:val="baseline"/>
        </w:rPr>
        <w:t> </w:t>
      </w:r>
      <w:r>
        <w:rPr>
          <w:color w:val="231F20"/>
          <w:spacing w:val="-2"/>
          <w:vertAlign w:val="baseline"/>
        </w:rPr>
        <w:t>enlarging the </w:t>
      </w:r>
      <w:r>
        <w:rPr>
          <w:color w:val="231F20"/>
          <w:vertAlign w:val="baseline"/>
        </w:rPr>
        <w:t>scope</w:t>
      </w:r>
      <w:r>
        <w:rPr>
          <w:color w:val="231F20"/>
          <w:spacing w:val="-5"/>
          <w:vertAlign w:val="baseline"/>
        </w:rPr>
        <w:t> </w:t>
      </w:r>
      <w:r>
        <w:rPr>
          <w:color w:val="231F20"/>
          <w:vertAlign w:val="baseline"/>
        </w:rPr>
        <w:t>of</w:t>
      </w:r>
      <w:r>
        <w:rPr>
          <w:color w:val="231F20"/>
          <w:spacing w:val="-4"/>
          <w:vertAlign w:val="baseline"/>
        </w:rPr>
        <w:t> </w:t>
      </w:r>
      <w:r>
        <w:rPr>
          <w:color w:val="231F20"/>
          <w:vertAlign w:val="baseline"/>
        </w:rPr>
        <w:t>application</w:t>
      </w:r>
      <w:r>
        <w:rPr>
          <w:color w:val="231F20"/>
          <w:spacing w:val="-4"/>
          <w:vertAlign w:val="baseline"/>
        </w:rPr>
        <w:t> </w:t>
      </w:r>
      <w:r>
        <w:rPr>
          <w:color w:val="231F20"/>
          <w:vertAlign w:val="baseline"/>
        </w:rPr>
        <w:t>of the</w:t>
      </w:r>
      <w:r>
        <w:rPr>
          <w:color w:val="231F20"/>
          <w:spacing w:val="-5"/>
          <w:vertAlign w:val="baseline"/>
        </w:rPr>
        <w:t> </w:t>
      </w:r>
      <w:r>
        <w:rPr>
          <w:color w:val="231F20"/>
          <w:vertAlign w:val="baseline"/>
        </w:rPr>
        <w:t>UCTD</w:t>
      </w:r>
      <w:r>
        <w:rPr>
          <w:color w:val="231F20"/>
          <w:vertAlign w:val="superscript"/>
        </w:rPr>
        <w:t>167</w:t>
      </w:r>
      <w:r>
        <w:rPr>
          <w:color w:val="231F20"/>
          <w:spacing w:val="-4"/>
          <w:vertAlign w:val="baseline"/>
        </w:rPr>
        <w:t> </w:t>
      </w:r>
      <w:r>
        <w:rPr>
          <w:color w:val="231F20"/>
          <w:vertAlign w:val="baseline"/>
        </w:rPr>
        <w:t>in</w:t>
      </w:r>
      <w:r>
        <w:rPr>
          <w:color w:val="231F20"/>
          <w:spacing w:val="-4"/>
          <w:vertAlign w:val="baseline"/>
        </w:rPr>
        <w:t> </w:t>
      </w:r>
      <w:r>
        <w:rPr>
          <w:color w:val="231F20"/>
          <w:vertAlign w:val="baseline"/>
        </w:rPr>
        <w:t>a</w:t>
      </w:r>
      <w:r>
        <w:rPr>
          <w:color w:val="231F20"/>
          <w:spacing w:val="-5"/>
          <w:vertAlign w:val="baseline"/>
        </w:rPr>
        <w:t> </w:t>
      </w:r>
      <w:r>
        <w:rPr>
          <w:color w:val="231F20"/>
          <w:vertAlign w:val="baseline"/>
        </w:rPr>
        <w:t>way</w:t>
      </w:r>
      <w:r>
        <w:rPr>
          <w:color w:val="231F20"/>
          <w:spacing w:val="-4"/>
          <w:vertAlign w:val="baseline"/>
        </w:rPr>
        <w:t> </w:t>
      </w:r>
      <w:r>
        <w:rPr>
          <w:color w:val="231F20"/>
          <w:vertAlign w:val="baseline"/>
        </w:rPr>
        <w:t>that</w:t>
      </w:r>
      <w:r>
        <w:rPr>
          <w:color w:val="231F20"/>
          <w:spacing w:val="-5"/>
          <w:vertAlign w:val="baseline"/>
        </w:rPr>
        <w:t> </w:t>
      </w:r>
      <w:r>
        <w:rPr>
          <w:color w:val="231F20"/>
          <w:vertAlign w:val="baseline"/>
        </w:rPr>
        <w:t>fewer</w:t>
      </w:r>
      <w:r>
        <w:rPr>
          <w:color w:val="231F20"/>
          <w:spacing w:val="-5"/>
          <w:vertAlign w:val="baseline"/>
        </w:rPr>
        <w:t> </w:t>
      </w:r>
      <w:r>
        <w:rPr>
          <w:color w:val="231F20"/>
          <w:vertAlign w:val="baseline"/>
        </w:rPr>
        <w:t>terms</w:t>
      </w:r>
      <w:r>
        <w:rPr>
          <w:color w:val="231F20"/>
          <w:spacing w:val="-4"/>
          <w:vertAlign w:val="baseline"/>
        </w:rPr>
        <w:t> </w:t>
      </w:r>
      <w:r>
        <w:rPr>
          <w:color w:val="231F20"/>
          <w:vertAlign w:val="baseline"/>
        </w:rPr>
        <w:t>escape</w:t>
      </w:r>
      <w:r>
        <w:rPr>
          <w:color w:val="231F20"/>
          <w:spacing w:val="-4"/>
          <w:vertAlign w:val="baseline"/>
        </w:rPr>
        <w:t> </w:t>
      </w:r>
      <w:r>
        <w:rPr>
          <w:color w:val="231F20"/>
          <w:vertAlign w:val="baseline"/>
        </w:rPr>
        <w:t>from</w:t>
      </w:r>
      <w:r>
        <w:rPr>
          <w:color w:val="231F20"/>
          <w:spacing w:val="-5"/>
          <w:vertAlign w:val="baseline"/>
        </w:rPr>
        <w:t> </w:t>
      </w:r>
      <w:r>
        <w:rPr>
          <w:color w:val="231F20"/>
          <w:spacing w:val="-2"/>
          <w:vertAlign w:val="baseline"/>
        </w:rPr>
        <w:t>control.</w:t>
      </w:r>
    </w:p>
    <w:p>
      <w:pPr>
        <w:pStyle w:val="ListParagraph"/>
        <w:numPr>
          <w:ilvl w:val="0"/>
          <w:numId w:val="4"/>
        </w:numPr>
        <w:tabs>
          <w:tab w:pos="1428" w:val="left" w:leader="none"/>
        </w:tabs>
        <w:spacing w:line="288" w:lineRule="auto" w:before="120" w:after="0"/>
        <w:ind w:left="871" w:right="868" w:firstLine="0"/>
        <w:jc w:val="both"/>
        <w:rPr>
          <w:sz w:val="19"/>
        </w:rPr>
      </w:pPr>
      <w:r>
        <w:rPr>
          <w:color w:val="231F20"/>
          <w:sz w:val="19"/>
        </w:rPr>
        <w:t>With</w:t>
      </w:r>
      <w:r>
        <w:rPr>
          <w:color w:val="231F20"/>
          <w:spacing w:val="-8"/>
          <w:sz w:val="19"/>
        </w:rPr>
        <w:t> </w:t>
      </w:r>
      <w:r>
        <w:rPr>
          <w:color w:val="231F20"/>
          <w:sz w:val="19"/>
        </w:rPr>
        <w:t>the</w:t>
      </w:r>
      <w:r>
        <w:rPr>
          <w:color w:val="231F20"/>
          <w:spacing w:val="-7"/>
          <w:sz w:val="19"/>
        </w:rPr>
        <w:t> </w:t>
      </w:r>
      <w:r>
        <w:rPr>
          <w:color w:val="231F20"/>
          <w:sz w:val="19"/>
        </w:rPr>
        <w:t>same</w:t>
      </w:r>
      <w:r>
        <w:rPr>
          <w:color w:val="231F20"/>
          <w:spacing w:val="-7"/>
          <w:sz w:val="19"/>
        </w:rPr>
        <w:t> </w:t>
      </w:r>
      <w:r>
        <w:rPr>
          <w:color w:val="231F20"/>
          <w:sz w:val="19"/>
        </w:rPr>
        <w:t>objective</w:t>
      </w:r>
      <w:r>
        <w:rPr>
          <w:color w:val="231F20"/>
          <w:spacing w:val="-9"/>
          <w:sz w:val="19"/>
        </w:rPr>
        <w:t> </w:t>
      </w:r>
      <w:r>
        <w:rPr>
          <w:color w:val="231F20"/>
          <w:sz w:val="19"/>
        </w:rPr>
        <w:t>of</w:t>
      </w:r>
      <w:r>
        <w:rPr>
          <w:color w:val="231F20"/>
          <w:spacing w:val="-7"/>
          <w:sz w:val="19"/>
        </w:rPr>
        <w:t> </w:t>
      </w:r>
      <w:r>
        <w:rPr>
          <w:color w:val="231F20"/>
          <w:sz w:val="19"/>
        </w:rPr>
        <w:t>aiming</w:t>
      </w:r>
      <w:r>
        <w:rPr>
          <w:color w:val="231F20"/>
          <w:spacing w:val="-5"/>
          <w:sz w:val="19"/>
        </w:rPr>
        <w:t> </w:t>
      </w:r>
      <w:r>
        <w:rPr>
          <w:color w:val="231F20"/>
          <w:sz w:val="19"/>
        </w:rPr>
        <w:t>at</w:t>
      </w:r>
      <w:r>
        <w:rPr>
          <w:color w:val="231F20"/>
          <w:spacing w:val="-5"/>
          <w:sz w:val="19"/>
        </w:rPr>
        <w:t> </w:t>
      </w:r>
      <w:r>
        <w:rPr>
          <w:color w:val="231F20"/>
          <w:sz w:val="19"/>
        </w:rPr>
        <w:t>a</w:t>
      </w:r>
      <w:r>
        <w:rPr>
          <w:color w:val="231F20"/>
          <w:spacing w:val="-7"/>
          <w:sz w:val="19"/>
        </w:rPr>
        <w:t> </w:t>
      </w:r>
      <w:r>
        <w:rPr>
          <w:color w:val="231F20"/>
          <w:sz w:val="19"/>
        </w:rPr>
        <w:t>high</w:t>
      </w:r>
      <w:r>
        <w:rPr>
          <w:color w:val="231F20"/>
          <w:spacing w:val="-7"/>
          <w:sz w:val="19"/>
        </w:rPr>
        <w:t> </w:t>
      </w:r>
      <w:r>
        <w:rPr>
          <w:color w:val="231F20"/>
          <w:sz w:val="19"/>
        </w:rPr>
        <w:t>level</w:t>
      </w:r>
      <w:r>
        <w:rPr>
          <w:color w:val="231F20"/>
          <w:spacing w:val="-7"/>
          <w:sz w:val="19"/>
        </w:rPr>
        <w:t> </w:t>
      </w:r>
      <w:r>
        <w:rPr>
          <w:color w:val="231F20"/>
          <w:sz w:val="19"/>
        </w:rPr>
        <w:t>of</w:t>
      </w:r>
      <w:r>
        <w:rPr>
          <w:color w:val="231F20"/>
          <w:spacing w:val="-7"/>
          <w:sz w:val="19"/>
        </w:rPr>
        <w:t> </w:t>
      </w:r>
      <w:r>
        <w:rPr>
          <w:color w:val="231F20"/>
          <w:sz w:val="19"/>
        </w:rPr>
        <w:t>consumer</w:t>
      </w:r>
      <w:r>
        <w:rPr>
          <w:color w:val="231F20"/>
          <w:spacing w:val="-7"/>
          <w:sz w:val="19"/>
        </w:rPr>
        <w:t> </w:t>
      </w:r>
      <w:r>
        <w:rPr>
          <w:color w:val="231F20"/>
          <w:sz w:val="19"/>
        </w:rPr>
        <w:t>protection,</w:t>
      </w:r>
      <w:r>
        <w:rPr>
          <w:color w:val="231F20"/>
          <w:sz w:val="19"/>
          <w:vertAlign w:val="superscript"/>
        </w:rPr>
        <w:t>168</w:t>
      </w:r>
      <w:r>
        <w:rPr>
          <w:color w:val="231F20"/>
          <w:sz w:val="19"/>
          <w:vertAlign w:val="baseline"/>
        </w:rPr>
        <w:t> a perspective that is more open to national law could be adopted in respect of Article</w:t>
      </w:r>
      <w:r>
        <w:rPr>
          <w:color w:val="231F20"/>
          <w:spacing w:val="-4"/>
          <w:sz w:val="19"/>
          <w:vertAlign w:val="baseline"/>
        </w:rPr>
        <w:t> </w:t>
      </w:r>
      <w:r>
        <w:rPr>
          <w:color w:val="231F20"/>
          <w:sz w:val="19"/>
          <w:vertAlign w:val="baseline"/>
        </w:rPr>
        <w:t>6(1)</w:t>
      </w:r>
      <w:r>
        <w:rPr>
          <w:color w:val="231F20"/>
          <w:spacing w:val="-4"/>
          <w:sz w:val="19"/>
          <w:vertAlign w:val="baseline"/>
        </w:rPr>
        <w:t> </w:t>
      </w:r>
      <w:r>
        <w:rPr>
          <w:color w:val="231F20"/>
          <w:sz w:val="19"/>
          <w:vertAlign w:val="baseline"/>
        </w:rPr>
        <w:t>UCTD,</w:t>
      </w:r>
      <w:r>
        <w:rPr>
          <w:color w:val="231F20"/>
          <w:spacing w:val="-5"/>
          <w:sz w:val="19"/>
          <w:vertAlign w:val="baseline"/>
        </w:rPr>
        <w:t> </w:t>
      </w:r>
      <w:r>
        <w:rPr>
          <w:color w:val="231F20"/>
          <w:sz w:val="19"/>
          <w:vertAlign w:val="baseline"/>
        </w:rPr>
        <w:t>to</w:t>
      </w:r>
      <w:r>
        <w:rPr>
          <w:color w:val="231F20"/>
          <w:spacing w:val="-4"/>
          <w:sz w:val="19"/>
          <w:vertAlign w:val="baseline"/>
        </w:rPr>
        <w:t> </w:t>
      </w:r>
      <w:r>
        <w:rPr>
          <w:color w:val="231F20"/>
          <w:sz w:val="19"/>
          <w:vertAlign w:val="baseline"/>
        </w:rPr>
        <w:t>fill</w:t>
      </w:r>
      <w:r>
        <w:rPr>
          <w:color w:val="231F20"/>
          <w:spacing w:val="-4"/>
          <w:sz w:val="19"/>
          <w:vertAlign w:val="baseline"/>
        </w:rPr>
        <w:t> </w:t>
      </w:r>
      <w:r>
        <w:rPr>
          <w:color w:val="231F20"/>
          <w:sz w:val="19"/>
          <w:vertAlign w:val="baseline"/>
        </w:rPr>
        <w:t>in</w:t>
      </w:r>
      <w:r>
        <w:rPr>
          <w:color w:val="231F20"/>
          <w:spacing w:val="-5"/>
          <w:sz w:val="19"/>
          <w:vertAlign w:val="baseline"/>
        </w:rPr>
        <w:t> </w:t>
      </w:r>
      <w:r>
        <w:rPr>
          <w:color w:val="231F20"/>
          <w:sz w:val="19"/>
          <w:vertAlign w:val="baseline"/>
        </w:rPr>
        <w:t>lacunae</w:t>
      </w:r>
      <w:r>
        <w:rPr>
          <w:color w:val="231F20"/>
          <w:spacing w:val="-4"/>
          <w:sz w:val="19"/>
          <w:vertAlign w:val="baseline"/>
        </w:rPr>
        <w:t> </w:t>
      </w:r>
      <w:r>
        <w:rPr>
          <w:color w:val="231F20"/>
          <w:sz w:val="19"/>
          <w:vertAlign w:val="baseline"/>
        </w:rPr>
        <w:t>when</w:t>
      </w:r>
      <w:r>
        <w:rPr>
          <w:color w:val="231F20"/>
          <w:spacing w:val="-4"/>
          <w:sz w:val="19"/>
          <w:vertAlign w:val="baseline"/>
        </w:rPr>
        <w:t> </w:t>
      </w:r>
      <w:r>
        <w:rPr>
          <w:color w:val="231F20"/>
          <w:sz w:val="19"/>
          <w:vertAlign w:val="baseline"/>
        </w:rPr>
        <w:t>a</w:t>
      </w:r>
      <w:r>
        <w:rPr>
          <w:color w:val="231F20"/>
          <w:spacing w:val="-5"/>
          <w:sz w:val="19"/>
          <w:vertAlign w:val="baseline"/>
        </w:rPr>
        <w:t> </w:t>
      </w:r>
      <w:r>
        <w:rPr>
          <w:color w:val="231F20"/>
          <w:sz w:val="19"/>
          <w:vertAlign w:val="baseline"/>
        </w:rPr>
        <w:t>contract</w:t>
      </w:r>
      <w:r>
        <w:rPr>
          <w:color w:val="231F20"/>
          <w:spacing w:val="-4"/>
          <w:sz w:val="19"/>
          <w:vertAlign w:val="baseline"/>
        </w:rPr>
        <w:t> </w:t>
      </w:r>
      <w:r>
        <w:rPr>
          <w:color w:val="231F20"/>
          <w:sz w:val="19"/>
          <w:vertAlign w:val="baseline"/>
        </w:rPr>
        <w:t>cannot</w:t>
      </w:r>
      <w:r>
        <w:rPr>
          <w:color w:val="231F20"/>
          <w:spacing w:val="-4"/>
          <w:sz w:val="19"/>
          <w:vertAlign w:val="baseline"/>
        </w:rPr>
        <w:t> </w:t>
      </w:r>
      <w:r>
        <w:rPr>
          <w:color w:val="231F20"/>
          <w:sz w:val="19"/>
          <w:vertAlign w:val="baseline"/>
        </w:rPr>
        <w:t>continue</w:t>
      </w:r>
      <w:r>
        <w:rPr>
          <w:color w:val="231F20"/>
          <w:spacing w:val="-5"/>
          <w:sz w:val="19"/>
          <w:vertAlign w:val="baseline"/>
        </w:rPr>
        <w:t> </w:t>
      </w:r>
      <w:r>
        <w:rPr>
          <w:color w:val="231F20"/>
          <w:sz w:val="19"/>
          <w:vertAlign w:val="baseline"/>
        </w:rPr>
        <w:t>in</w:t>
      </w:r>
      <w:r>
        <w:rPr>
          <w:color w:val="231F20"/>
          <w:spacing w:val="-4"/>
          <w:sz w:val="19"/>
          <w:vertAlign w:val="baseline"/>
        </w:rPr>
        <w:t> </w:t>
      </w:r>
      <w:r>
        <w:rPr>
          <w:color w:val="231F20"/>
          <w:sz w:val="19"/>
          <w:vertAlign w:val="baseline"/>
        </w:rPr>
        <w:t>existence. The admission of more general rules would contribute to party equality. This is especially</w:t>
      </w:r>
      <w:r>
        <w:rPr>
          <w:color w:val="231F20"/>
          <w:spacing w:val="-10"/>
          <w:sz w:val="19"/>
          <w:vertAlign w:val="baseline"/>
        </w:rPr>
        <w:t> </w:t>
      </w:r>
      <w:r>
        <w:rPr>
          <w:color w:val="231F20"/>
          <w:sz w:val="19"/>
          <w:vertAlign w:val="baseline"/>
        </w:rPr>
        <w:t>important</w:t>
      </w:r>
      <w:r>
        <w:rPr>
          <w:color w:val="231F20"/>
          <w:spacing w:val="-10"/>
          <w:sz w:val="19"/>
          <w:vertAlign w:val="baseline"/>
        </w:rPr>
        <w:t> </w:t>
      </w:r>
      <w:r>
        <w:rPr>
          <w:color w:val="231F20"/>
          <w:sz w:val="19"/>
          <w:vertAlign w:val="baseline"/>
        </w:rPr>
        <w:t>when</w:t>
      </w:r>
      <w:r>
        <w:rPr>
          <w:color w:val="231F20"/>
          <w:spacing w:val="-11"/>
          <w:sz w:val="19"/>
          <w:vertAlign w:val="baseline"/>
        </w:rPr>
        <w:t> </w:t>
      </w:r>
      <w:r>
        <w:rPr>
          <w:color w:val="231F20"/>
          <w:sz w:val="19"/>
          <w:vertAlign w:val="baseline"/>
        </w:rPr>
        <w:t>there</w:t>
      </w:r>
      <w:r>
        <w:rPr>
          <w:color w:val="231F20"/>
          <w:spacing w:val="-9"/>
          <w:sz w:val="19"/>
          <w:vertAlign w:val="baseline"/>
        </w:rPr>
        <w:t> </w:t>
      </w:r>
      <w:r>
        <w:rPr>
          <w:color w:val="231F20"/>
          <w:sz w:val="19"/>
          <w:vertAlign w:val="baseline"/>
        </w:rPr>
        <w:t>are</w:t>
      </w:r>
      <w:r>
        <w:rPr>
          <w:color w:val="231F20"/>
          <w:spacing w:val="-10"/>
          <w:sz w:val="19"/>
          <w:vertAlign w:val="baseline"/>
        </w:rPr>
        <w:t> </w:t>
      </w:r>
      <w:r>
        <w:rPr>
          <w:color w:val="231F20"/>
          <w:sz w:val="19"/>
          <w:vertAlign w:val="baseline"/>
        </w:rPr>
        <w:t>no</w:t>
      </w:r>
      <w:r>
        <w:rPr>
          <w:color w:val="231F20"/>
          <w:spacing w:val="-11"/>
          <w:sz w:val="19"/>
          <w:vertAlign w:val="baseline"/>
        </w:rPr>
        <w:t> </w:t>
      </w:r>
      <w:r>
        <w:rPr>
          <w:color w:val="231F20"/>
          <w:sz w:val="19"/>
          <w:vertAlign w:val="baseline"/>
        </w:rPr>
        <w:t>specific</w:t>
      </w:r>
      <w:r>
        <w:rPr>
          <w:color w:val="231F20"/>
          <w:spacing w:val="-10"/>
          <w:sz w:val="19"/>
          <w:vertAlign w:val="baseline"/>
        </w:rPr>
        <w:t> </w:t>
      </w:r>
      <w:r>
        <w:rPr>
          <w:color w:val="231F20"/>
          <w:sz w:val="19"/>
          <w:vertAlign w:val="baseline"/>
        </w:rPr>
        <w:t>rules</w:t>
      </w:r>
      <w:r>
        <w:rPr>
          <w:color w:val="231F20"/>
          <w:spacing w:val="-11"/>
          <w:sz w:val="19"/>
          <w:vertAlign w:val="baseline"/>
        </w:rPr>
        <w:t> </w:t>
      </w:r>
      <w:r>
        <w:rPr>
          <w:color w:val="231F20"/>
          <w:sz w:val="19"/>
          <w:vertAlign w:val="baseline"/>
        </w:rPr>
        <w:t>for</w:t>
      </w:r>
      <w:r>
        <w:rPr>
          <w:color w:val="231F20"/>
          <w:spacing w:val="-11"/>
          <w:sz w:val="19"/>
          <w:vertAlign w:val="baseline"/>
        </w:rPr>
        <w:t> </w:t>
      </w:r>
      <w:r>
        <w:rPr>
          <w:color w:val="231F20"/>
          <w:sz w:val="19"/>
          <w:vertAlign w:val="baseline"/>
        </w:rPr>
        <w:t>certain</w:t>
      </w:r>
      <w:r>
        <w:rPr>
          <w:color w:val="231F20"/>
          <w:spacing w:val="-11"/>
          <w:sz w:val="19"/>
          <w:vertAlign w:val="baseline"/>
        </w:rPr>
        <w:t> </w:t>
      </w:r>
      <w:r>
        <w:rPr>
          <w:color w:val="231F20"/>
          <w:sz w:val="19"/>
          <w:vertAlign w:val="baseline"/>
        </w:rPr>
        <w:t>types</w:t>
      </w:r>
      <w:r>
        <w:rPr>
          <w:color w:val="231F20"/>
          <w:spacing w:val="-11"/>
          <w:sz w:val="19"/>
          <w:vertAlign w:val="baseline"/>
        </w:rPr>
        <w:t> </w:t>
      </w:r>
      <w:r>
        <w:rPr>
          <w:color w:val="231F20"/>
          <w:sz w:val="19"/>
          <w:vertAlign w:val="baseline"/>
        </w:rPr>
        <w:t>of</w:t>
      </w:r>
      <w:r>
        <w:rPr>
          <w:color w:val="231F20"/>
          <w:spacing w:val="-11"/>
          <w:sz w:val="19"/>
          <w:vertAlign w:val="baseline"/>
        </w:rPr>
        <w:t> </w:t>
      </w:r>
      <w:r>
        <w:rPr>
          <w:color w:val="231F20"/>
          <w:sz w:val="19"/>
          <w:vertAlign w:val="baseline"/>
        </w:rPr>
        <w:t>contracts, a situation that is not infrequent when dealing with main terms.</w:t>
      </w:r>
    </w:p>
    <w:p>
      <w:pPr>
        <w:pStyle w:val="ListParagraph"/>
        <w:numPr>
          <w:ilvl w:val="0"/>
          <w:numId w:val="4"/>
        </w:numPr>
        <w:tabs>
          <w:tab w:pos="1428" w:val="left" w:leader="none"/>
        </w:tabs>
        <w:spacing w:line="288" w:lineRule="auto" w:before="119" w:after="0"/>
        <w:ind w:left="871" w:right="867" w:firstLine="0"/>
        <w:jc w:val="both"/>
        <w:rPr>
          <w:sz w:val="19"/>
        </w:rPr>
      </w:pPr>
      <w:r>
        <w:rPr>
          <w:color w:val="231F20"/>
          <w:spacing w:val="-4"/>
          <w:sz w:val="19"/>
        </w:rPr>
        <w:t>As</w:t>
      </w:r>
      <w:r>
        <w:rPr>
          <w:color w:val="231F20"/>
          <w:spacing w:val="-8"/>
          <w:sz w:val="19"/>
        </w:rPr>
        <w:t> </w:t>
      </w:r>
      <w:r>
        <w:rPr>
          <w:color w:val="231F20"/>
          <w:spacing w:val="-4"/>
          <w:sz w:val="19"/>
        </w:rPr>
        <w:t>an</w:t>
      </w:r>
      <w:r>
        <w:rPr>
          <w:color w:val="231F20"/>
          <w:spacing w:val="-7"/>
          <w:sz w:val="19"/>
        </w:rPr>
        <w:t> </w:t>
      </w:r>
      <w:r>
        <w:rPr>
          <w:color w:val="231F20"/>
          <w:spacing w:val="-4"/>
          <w:sz w:val="19"/>
        </w:rPr>
        <w:t>example</w:t>
      </w:r>
      <w:r>
        <w:rPr>
          <w:color w:val="231F20"/>
          <w:spacing w:val="-8"/>
          <w:sz w:val="19"/>
        </w:rPr>
        <w:t> </w:t>
      </w:r>
      <w:r>
        <w:rPr>
          <w:color w:val="231F20"/>
          <w:spacing w:val="-4"/>
          <w:sz w:val="19"/>
        </w:rPr>
        <w:t>of</w:t>
      </w:r>
      <w:r>
        <w:rPr>
          <w:color w:val="231F20"/>
          <w:spacing w:val="-7"/>
          <w:sz w:val="19"/>
        </w:rPr>
        <w:t> </w:t>
      </w:r>
      <w:r>
        <w:rPr>
          <w:color w:val="231F20"/>
          <w:spacing w:val="-4"/>
          <w:sz w:val="19"/>
        </w:rPr>
        <w:t>what</w:t>
      </w:r>
      <w:r>
        <w:rPr>
          <w:color w:val="231F20"/>
          <w:spacing w:val="-8"/>
          <w:sz w:val="19"/>
        </w:rPr>
        <w:t> </w:t>
      </w:r>
      <w:r>
        <w:rPr>
          <w:color w:val="231F20"/>
          <w:spacing w:val="-4"/>
          <w:sz w:val="19"/>
        </w:rPr>
        <w:t>is</w:t>
      </w:r>
      <w:r>
        <w:rPr>
          <w:color w:val="231F20"/>
          <w:spacing w:val="-7"/>
          <w:sz w:val="19"/>
        </w:rPr>
        <w:t> </w:t>
      </w:r>
      <w:r>
        <w:rPr>
          <w:color w:val="231F20"/>
          <w:spacing w:val="-4"/>
          <w:sz w:val="19"/>
        </w:rPr>
        <w:t>proposed</w:t>
      </w:r>
      <w:r>
        <w:rPr>
          <w:color w:val="231F20"/>
          <w:spacing w:val="-8"/>
          <w:sz w:val="19"/>
        </w:rPr>
        <w:t> </w:t>
      </w:r>
      <w:r>
        <w:rPr>
          <w:color w:val="231F20"/>
          <w:spacing w:val="-4"/>
          <w:sz w:val="19"/>
        </w:rPr>
        <w:t>here,</w:t>
      </w:r>
      <w:r>
        <w:rPr>
          <w:color w:val="231F20"/>
          <w:spacing w:val="-7"/>
          <w:sz w:val="19"/>
        </w:rPr>
        <w:t> </w:t>
      </w:r>
      <w:r>
        <w:rPr>
          <w:color w:val="231F20"/>
          <w:spacing w:val="-4"/>
          <w:sz w:val="19"/>
        </w:rPr>
        <w:t>take</w:t>
      </w:r>
      <w:r>
        <w:rPr>
          <w:color w:val="231F20"/>
          <w:spacing w:val="-8"/>
          <w:sz w:val="19"/>
        </w:rPr>
        <w:t> </w:t>
      </w:r>
      <w:r>
        <w:rPr>
          <w:color w:val="231F20"/>
          <w:spacing w:val="-4"/>
          <w:sz w:val="19"/>
        </w:rPr>
        <w:t>the</w:t>
      </w:r>
      <w:r>
        <w:rPr>
          <w:color w:val="231F20"/>
          <w:spacing w:val="-7"/>
          <w:sz w:val="19"/>
        </w:rPr>
        <w:t> </w:t>
      </w:r>
      <w:r>
        <w:rPr>
          <w:color w:val="231F20"/>
          <w:spacing w:val="-4"/>
          <w:sz w:val="19"/>
        </w:rPr>
        <w:t>case</w:t>
      </w:r>
      <w:r>
        <w:rPr>
          <w:color w:val="231F20"/>
          <w:spacing w:val="-8"/>
          <w:sz w:val="19"/>
        </w:rPr>
        <w:t> </w:t>
      </w:r>
      <w:r>
        <w:rPr>
          <w:color w:val="231F20"/>
          <w:spacing w:val="-4"/>
          <w:sz w:val="19"/>
        </w:rPr>
        <w:t>of</w:t>
      </w:r>
      <w:r>
        <w:rPr>
          <w:color w:val="231F20"/>
          <w:spacing w:val="-7"/>
          <w:sz w:val="19"/>
        </w:rPr>
        <w:t> </w:t>
      </w:r>
      <w:r>
        <w:rPr>
          <w:color w:val="231F20"/>
          <w:spacing w:val="-4"/>
          <w:sz w:val="19"/>
        </w:rPr>
        <w:t>non-transparent</w:t>
      </w:r>
      <w:r>
        <w:rPr>
          <w:color w:val="231F20"/>
          <w:spacing w:val="-7"/>
          <w:sz w:val="19"/>
        </w:rPr>
        <w:t> </w:t>
      </w:r>
      <w:r>
        <w:rPr>
          <w:color w:val="231F20"/>
          <w:spacing w:val="-4"/>
          <w:sz w:val="19"/>
        </w:rPr>
        <w:t>main </w:t>
      </w:r>
      <w:r>
        <w:rPr>
          <w:color w:val="231F20"/>
          <w:spacing w:val="-10"/>
          <w:sz w:val="19"/>
        </w:rPr>
        <w:t>terms</w:t>
      </w:r>
      <w:r>
        <w:rPr>
          <w:color w:val="231F20"/>
          <w:sz w:val="19"/>
        </w:rPr>
        <w:t> </w:t>
      </w:r>
      <w:r>
        <w:rPr>
          <w:color w:val="231F20"/>
          <w:spacing w:val="-10"/>
          <w:sz w:val="19"/>
        </w:rPr>
        <w:t>(Art.</w:t>
      </w:r>
      <w:r>
        <w:rPr>
          <w:color w:val="231F20"/>
          <w:sz w:val="19"/>
        </w:rPr>
        <w:t> </w:t>
      </w:r>
      <w:r>
        <w:rPr>
          <w:color w:val="231F20"/>
          <w:spacing w:val="-10"/>
          <w:sz w:val="19"/>
        </w:rPr>
        <w:t>4(2)</w:t>
      </w:r>
      <w:r>
        <w:rPr>
          <w:color w:val="231F20"/>
          <w:sz w:val="19"/>
        </w:rPr>
        <w:t> </w:t>
      </w:r>
      <w:r>
        <w:rPr>
          <w:color w:val="231F20"/>
          <w:spacing w:val="-10"/>
          <w:sz w:val="19"/>
        </w:rPr>
        <w:t>UCTD).</w:t>
      </w:r>
      <w:r>
        <w:rPr>
          <w:color w:val="231F20"/>
          <w:sz w:val="19"/>
        </w:rPr>
        <w:t> </w:t>
      </w:r>
      <w:r>
        <w:rPr>
          <w:color w:val="231F20"/>
          <w:spacing w:val="-10"/>
          <w:sz w:val="19"/>
        </w:rPr>
        <w:t>If,</w:t>
      </w:r>
      <w:r>
        <w:rPr>
          <w:color w:val="231F20"/>
          <w:sz w:val="19"/>
        </w:rPr>
        <w:t> </w:t>
      </w:r>
      <w:r>
        <w:rPr>
          <w:color w:val="231F20"/>
          <w:spacing w:val="-10"/>
          <w:sz w:val="19"/>
        </w:rPr>
        <w:t>following</w:t>
      </w:r>
      <w:r>
        <w:rPr>
          <w:color w:val="231F20"/>
          <w:sz w:val="19"/>
        </w:rPr>
        <w:t> </w:t>
      </w:r>
      <w:r>
        <w:rPr>
          <w:color w:val="231F20"/>
          <w:spacing w:val="-10"/>
          <w:sz w:val="19"/>
        </w:rPr>
        <w:t>a</w:t>
      </w:r>
      <w:r>
        <w:rPr>
          <w:color w:val="231F20"/>
          <w:sz w:val="19"/>
        </w:rPr>
        <w:t> </w:t>
      </w:r>
      <w:r>
        <w:rPr>
          <w:color w:val="231F20"/>
          <w:spacing w:val="-10"/>
          <w:sz w:val="19"/>
        </w:rPr>
        <w:t>lack</w:t>
      </w:r>
      <w:r>
        <w:rPr>
          <w:color w:val="231F20"/>
          <w:spacing w:val="-2"/>
          <w:sz w:val="19"/>
        </w:rPr>
        <w:t> </w:t>
      </w:r>
      <w:r>
        <w:rPr>
          <w:color w:val="231F20"/>
          <w:spacing w:val="-10"/>
          <w:sz w:val="19"/>
        </w:rPr>
        <w:t>of</w:t>
      </w:r>
      <w:r>
        <w:rPr>
          <w:color w:val="231F20"/>
          <w:spacing w:val="8"/>
          <w:sz w:val="19"/>
        </w:rPr>
        <w:t> </w:t>
      </w:r>
      <w:r>
        <w:rPr>
          <w:color w:val="231F20"/>
          <w:spacing w:val="-10"/>
          <w:sz w:val="19"/>
        </w:rPr>
        <w:t>transparency</w:t>
      </w:r>
      <w:r>
        <w:rPr>
          <w:color w:val="231F20"/>
          <w:sz w:val="19"/>
        </w:rPr>
        <w:t> </w:t>
      </w:r>
      <w:r>
        <w:rPr>
          <w:color w:val="231F20"/>
          <w:spacing w:val="-10"/>
          <w:sz w:val="19"/>
        </w:rPr>
        <w:t>and</w:t>
      </w:r>
      <w:r>
        <w:rPr>
          <w:color w:val="231F20"/>
          <w:sz w:val="19"/>
        </w:rPr>
        <w:t> </w:t>
      </w:r>
      <w:r>
        <w:rPr>
          <w:color w:val="231F20"/>
          <w:spacing w:val="-10"/>
          <w:sz w:val="19"/>
        </w:rPr>
        <w:t>an</w:t>
      </w:r>
      <w:r>
        <w:rPr>
          <w:color w:val="231F20"/>
          <w:sz w:val="19"/>
        </w:rPr>
        <w:t> </w:t>
      </w:r>
      <w:r>
        <w:rPr>
          <w:color w:val="231F20"/>
          <w:spacing w:val="-10"/>
          <w:sz w:val="19"/>
        </w:rPr>
        <w:t>unfairness</w:t>
      </w:r>
      <w:r>
        <w:rPr>
          <w:color w:val="231F20"/>
          <w:sz w:val="19"/>
        </w:rPr>
        <w:t> </w:t>
      </w:r>
      <w:r>
        <w:rPr>
          <w:color w:val="231F20"/>
          <w:spacing w:val="-10"/>
          <w:sz w:val="19"/>
        </w:rPr>
        <w:t>assessment</w:t>
      </w:r>
      <w:r>
        <w:rPr>
          <w:color w:val="231F20"/>
          <w:sz w:val="19"/>
        </w:rPr>
        <w:t> </w:t>
      </w:r>
      <w:r>
        <w:rPr>
          <w:color w:val="231F20"/>
          <w:spacing w:val="-6"/>
          <w:sz w:val="19"/>
        </w:rPr>
        <w:t>(Arts</w:t>
      </w:r>
      <w:r>
        <w:rPr>
          <w:color w:val="231F20"/>
          <w:spacing w:val="-4"/>
          <w:sz w:val="19"/>
        </w:rPr>
        <w:t> </w:t>
      </w:r>
      <w:r>
        <w:rPr>
          <w:color w:val="231F20"/>
          <w:spacing w:val="-6"/>
          <w:sz w:val="19"/>
        </w:rPr>
        <w:t>4(2)</w:t>
      </w:r>
      <w:r>
        <w:rPr>
          <w:color w:val="231F20"/>
          <w:spacing w:val="-2"/>
          <w:sz w:val="19"/>
        </w:rPr>
        <w:t> </w:t>
      </w:r>
      <w:r>
        <w:rPr>
          <w:color w:val="231F20"/>
          <w:spacing w:val="-6"/>
          <w:sz w:val="19"/>
        </w:rPr>
        <w:t>and</w:t>
      </w:r>
      <w:r>
        <w:rPr>
          <w:color w:val="231F20"/>
          <w:spacing w:val="-3"/>
          <w:sz w:val="19"/>
        </w:rPr>
        <w:t> </w:t>
      </w:r>
      <w:r>
        <w:rPr>
          <w:color w:val="231F20"/>
          <w:spacing w:val="-6"/>
          <w:sz w:val="19"/>
        </w:rPr>
        <w:t>3(1)</w:t>
      </w:r>
      <w:r>
        <w:rPr>
          <w:color w:val="231F20"/>
          <w:spacing w:val="-4"/>
          <w:sz w:val="19"/>
        </w:rPr>
        <w:t> </w:t>
      </w:r>
      <w:r>
        <w:rPr>
          <w:color w:val="231F20"/>
          <w:spacing w:val="-6"/>
          <w:sz w:val="19"/>
        </w:rPr>
        <w:t>UCTD),</w:t>
      </w:r>
      <w:r>
        <w:rPr>
          <w:color w:val="231F20"/>
          <w:spacing w:val="-3"/>
          <w:sz w:val="19"/>
        </w:rPr>
        <w:t> </w:t>
      </w:r>
      <w:r>
        <w:rPr>
          <w:color w:val="231F20"/>
          <w:spacing w:val="-6"/>
          <w:sz w:val="19"/>
        </w:rPr>
        <w:t>the</w:t>
      </w:r>
      <w:r>
        <w:rPr>
          <w:color w:val="231F20"/>
          <w:spacing w:val="-3"/>
          <w:sz w:val="19"/>
        </w:rPr>
        <w:t> </w:t>
      </w:r>
      <w:r>
        <w:rPr>
          <w:color w:val="231F20"/>
          <w:spacing w:val="-6"/>
          <w:sz w:val="19"/>
        </w:rPr>
        <w:t>contract</w:t>
      </w:r>
      <w:r>
        <w:rPr>
          <w:color w:val="231F20"/>
          <w:spacing w:val="-3"/>
          <w:sz w:val="19"/>
        </w:rPr>
        <w:t> </w:t>
      </w:r>
      <w:r>
        <w:rPr>
          <w:color w:val="231F20"/>
          <w:spacing w:val="-6"/>
          <w:sz w:val="19"/>
        </w:rPr>
        <w:t>cannot</w:t>
      </w:r>
      <w:r>
        <w:rPr>
          <w:color w:val="231F20"/>
          <w:spacing w:val="-4"/>
          <w:sz w:val="19"/>
        </w:rPr>
        <w:t> </w:t>
      </w:r>
      <w:r>
        <w:rPr>
          <w:color w:val="231F20"/>
          <w:spacing w:val="-6"/>
          <w:sz w:val="19"/>
        </w:rPr>
        <w:t>continue</w:t>
      </w:r>
      <w:r>
        <w:rPr>
          <w:color w:val="231F20"/>
          <w:spacing w:val="-3"/>
          <w:sz w:val="19"/>
        </w:rPr>
        <w:t> </w:t>
      </w:r>
      <w:r>
        <w:rPr>
          <w:color w:val="231F20"/>
          <w:spacing w:val="-6"/>
          <w:sz w:val="19"/>
        </w:rPr>
        <w:t>in</w:t>
      </w:r>
      <w:r>
        <w:rPr>
          <w:color w:val="231F20"/>
          <w:spacing w:val="-3"/>
          <w:sz w:val="19"/>
        </w:rPr>
        <w:t> </w:t>
      </w:r>
      <w:r>
        <w:rPr>
          <w:color w:val="231F20"/>
          <w:spacing w:val="-6"/>
          <w:sz w:val="19"/>
        </w:rPr>
        <w:t>existence,</w:t>
      </w:r>
      <w:r>
        <w:rPr>
          <w:color w:val="231F20"/>
          <w:spacing w:val="-3"/>
          <w:sz w:val="19"/>
        </w:rPr>
        <w:t> </w:t>
      </w:r>
      <w:r>
        <w:rPr>
          <w:color w:val="231F20"/>
          <w:spacing w:val="-6"/>
          <w:sz w:val="19"/>
        </w:rPr>
        <w:t>courts</w:t>
      </w:r>
      <w:r>
        <w:rPr>
          <w:color w:val="231F20"/>
          <w:spacing w:val="-3"/>
          <w:sz w:val="19"/>
        </w:rPr>
        <w:t> </w:t>
      </w:r>
      <w:r>
        <w:rPr>
          <w:color w:val="231F20"/>
          <w:spacing w:val="-6"/>
          <w:sz w:val="19"/>
        </w:rPr>
        <w:t>may</w:t>
      </w:r>
      <w:r>
        <w:rPr>
          <w:color w:val="231F20"/>
          <w:spacing w:val="-4"/>
          <w:sz w:val="19"/>
        </w:rPr>
        <w:t> </w:t>
      </w:r>
      <w:r>
        <w:rPr>
          <w:color w:val="231F20"/>
          <w:spacing w:val="-6"/>
          <w:sz w:val="19"/>
        </w:rPr>
        <w:t>fill</w:t>
      </w:r>
      <w:r>
        <w:rPr>
          <w:color w:val="231F20"/>
          <w:spacing w:val="-3"/>
          <w:sz w:val="19"/>
        </w:rPr>
        <w:t> </w:t>
      </w:r>
      <w:r>
        <w:rPr>
          <w:color w:val="231F20"/>
          <w:spacing w:val="-6"/>
          <w:sz w:val="19"/>
        </w:rPr>
        <w:t>in</w:t>
      </w:r>
      <w:r>
        <w:rPr>
          <w:color w:val="231F20"/>
          <w:spacing w:val="-4"/>
          <w:sz w:val="19"/>
        </w:rPr>
        <w:t> the</w:t>
      </w:r>
      <w:r>
        <w:rPr>
          <w:color w:val="231F20"/>
          <w:spacing w:val="-5"/>
          <w:sz w:val="19"/>
        </w:rPr>
        <w:t> </w:t>
      </w:r>
      <w:r>
        <w:rPr>
          <w:color w:val="231F20"/>
          <w:spacing w:val="-4"/>
          <w:sz w:val="19"/>
        </w:rPr>
        <w:t>gap</w:t>
      </w:r>
      <w:r>
        <w:rPr>
          <w:color w:val="231F20"/>
          <w:spacing w:val="-6"/>
          <w:sz w:val="19"/>
        </w:rPr>
        <w:t> </w:t>
      </w:r>
      <w:r>
        <w:rPr>
          <w:color w:val="231F20"/>
          <w:spacing w:val="-4"/>
          <w:sz w:val="19"/>
        </w:rPr>
        <w:t>that</w:t>
      </w:r>
      <w:r>
        <w:rPr>
          <w:color w:val="231F20"/>
          <w:spacing w:val="-6"/>
          <w:sz w:val="19"/>
        </w:rPr>
        <w:t> </w:t>
      </w:r>
      <w:r>
        <w:rPr>
          <w:color w:val="231F20"/>
          <w:spacing w:val="-4"/>
          <w:sz w:val="19"/>
        </w:rPr>
        <w:t>the</w:t>
      </w:r>
      <w:r>
        <w:rPr>
          <w:color w:val="231F20"/>
          <w:spacing w:val="-5"/>
          <w:sz w:val="19"/>
        </w:rPr>
        <w:t> </w:t>
      </w:r>
      <w:r>
        <w:rPr>
          <w:color w:val="231F20"/>
          <w:spacing w:val="-4"/>
          <w:sz w:val="19"/>
        </w:rPr>
        <w:t>unfair</w:t>
      </w:r>
      <w:r>
        <w:rPr>
          <w:color w:val="231F20"/>
          <w:spacing w:val="-5"/>
          <w:sz w:val="19"/>
        </w:rPr>
        <w:t> </w:t>
      </w:r>
      <w:r>
        <w:rPr>
          <w:color w:val="231F20"/>
          <w:spacing w:val="-4"/>
          <w:sz w:val="19"/>
        </w:rPr>
        <w:t>terms</w:t>
      </w:r>
      <w:r>
        <w:rPr>
          <w:color w:val="231F20"/>
          <w:spacing w:val="-5"/>
          <w:sz w:val="19"/>
        </w:rPr>
        <w:t> </w:t>
      </w:r>
      <w:r>
        <w:rPr>
          <w:color w:val="231F20"/>
          <w:spacing w:val="-4"/>
          <w:sz w:val="19"/>
        </w:rPr>
        <w:t>leaves.</w:t>
      </w:r>
      <w:r>
        <w:rPr>
          <w:color w:val="231F20"/>
          <w:spacing w:val="-5"/>
          <w:sz w:val="19"/>
        </w:rPr>
        <w:t> </w:t>
      </w:r>
      <w:r>
        <w:rPr>
          <w:color w:val="231F20"/>
          <w:spacing w:val="-4"/>
          <w:sz w:val="19"/>
        </w:rPr>
        <w:t>In</w:t>
      </w:r>
      <w:r>
        <w:rPr>
          <w:color w:val="231F20"/>
          <w:spacing w:val="-5"/>
          <w:sz w:val="19"/>
        </w:rPr>
        <w:t> </w:t>
      </w:r>
      <w:r>
        <w:rPr>
          <w:color w:val="231F20"/>
          <w:spacing w:val="-4"/>
          <w:sz w:val="19"/>
        </w:rPr>
        <w:t>the</w:t>
      </w:r>
      <w:r>
        <w:rPr>
          <w:color w:val="231F20"/>
          <w:spacing w:val="-5"/>
          <w:sz w:val="19"/>
        </w:rPr>
        <w:t> </w:t>
      </w:r>
      <w:r>
        <w:rPr>
          <w:color w:val="231F20"/>
          <w:spacing w:val="-4"/>
          <w:sz w:val="19"/>
        </w:rPr>
        <w:t>absence</w:t>
      </w:r>
      <w:r>
        <w:rPr>
          <w:color w:val="231F20"/>
          <w:spacing w:val="-5"/>
          <w:sz w:val="19"/>
        </w:rPr>
        <w:t> </w:t>
      </w:r>
      <w:r>
        <w:rPr>
          <w:color w:val="231F20"/>
          <w:spacing w:val="-4"/>
          <w:sz w:val="19"/>
        </w:rPr>
        <w:t>of</w:t>
      </w:r>
      <w:r>
        <w:rPr>
          <w:color w:val="231F20"/>
          <w:spacing w:val="-5"/>
          <w:sz w:val="19"/>
        </w:rPr>
        <w:t> </w:t>
      </w:r>
      <w:r>
        <w:rPr>
          <w:color w:val="231F20"/>
          <w:spacing w:val="-4"/>
          <w:sz w:val="19"/>
        </w:rPr>
        <w:t>a</w:t>
      </w:r>
      <w:r>
        <w:rPr>
          <w:color w:val="231F20"/>
          <w:spacing w:val="-5"/>
          <w:sz w:val="19"/>
        </w:rPr>
        <w:t> </w:t>
      </w:r>
      <w:r>
        <w:rPr>
          <w:color w:val="231F20"/>
          <w:spacing w:val="-4"/>
          <w:sz w:val="19"/>
        </w:rPr>
        <w:t>rule</w:t>
      </w:r>
      <w:r>
        <w:rPr>
          <w:color w:val="231F20"/>
          <w:spacing w:val="-6"/>
          <w:sz w:val="19"/>
        </w:rPr>
        <w:t> </w:t>
      </w:r>
      <w:r>
        <w:rPr>
          <w:color w:val="231F20"/>
          <w:spacing w:val="-4"/>
          <w:sz w:val="19"/>
        </w:rPr>
        <w:t>specific</w:t>
      </w:r>
      <w:r>
        <w:rPr>
          <w:color w:val="231F20"/>
          <w:spacing w:val="-6"/>
          <w:sz w:val="19"/>
        </w:rPr>
        <w:t> </w:t>
      </w:r>
      <w:r>
        <w:rPr>
          <w:color w:val="231F20"/>
          <w:spacing w:val="-4"/>
          <w:sz w:val="19"/>
        </w:rPr>
        <w:t>to</w:t>
      </w:r>
      <w:r>
        <w:rPr>
          <w:color w:val="231F20"/>
          <w:spacing w:val="-5"/>
          <w:sz w:val="19"/>
        </w:rPr>
        <w:t> </w:t>
      </w:r>
      <w:r>
        <w:rPr>
          <w:color w:val="231F20"/>
          <w:spacing w:val="-4"/>
          <w:sz w:val="19"/>
        </w:rPr>
        <w:t>the</w:t>
      </w:r>
      <w:r>
        <w:rPr>
          <w:color w:val="231F20"/>
          <w:spacing w:val="-5"/>
          <w:sz w:val="19"/>
        </w:rPr>
        <w:t> </w:t>
      </w:r>
      <w:r>
        <w:rPr>
          <w:color w:val="231F20"/>
          <w:spacing w:val="-4"/>
          <w:sz w:val="19"/>
        </w:rPr>
        <w:t>contract at </w:t>
      </w:r>
      <w:r>
        <w:rPr>
          <w:color w:val="231F20"/>
          <w:spacing w:val="-6"/>
          <w:sz w:val="19"/>
        </w:rPr>
        <w:t>hand, which</w:t>
      </w:r>
      <w:r>
        <w:rPr>
          <w:color w:val="231F20"/>
          <w:spacing w:val="-5"/>
          <w:sz w:val="19"/>
        </w:rPr>
        <w:t> </w:t>
      </w:r>
      <w:r>
        <w:rPr>
          <w:color w:val="231F20"/>
          <w:spacing w:val="-6"/>
          <w:sz w:val="19"/>
        </w:rPr>
        <w:t>would</w:t>
      </w:r>
      <w:r>
        <w:rPr>
          <w:color w:val="231F20"/>
          <w:spacing w:val="-5"/>
          <w:sz w:val="19"/>
        </w:rPr>
        <w:t> </w:t>
      </w:r>
      <w:r>
        <w:rPr>
          <w:color w:val="231F20"/>
          <w:spacing w:val="-6"/>
          <w:sz w:val="19"/>
        </w:rPr>
        <w:t>not</w:t>
      </w:r>
      <w:r>
        <w:rPr>
          <w:color w:val="231F20"/>
          <w:spacing w:val="-4"/>
          <w:sz w:val="19"/>
        </w:rPr>
        <w:t> </w:t>
      </w:r>
      <w:r>
        <w:rPr>
          <w:color w:val="231F20"/>
          <w:spacing w:val="-6"/>
          <w:sz w:val="19"/>
        </w:rPr>
        <w:t>be uncommon,</w:t>
      </w:r>
      <w:r>
        <w:rPr>
          <w:color w:val="231F20"/>
          <w:spacing w:val="-5"/>
          <w:sz w:val="19"/>
        </w:rPr>
        <w:t> </w:t>
      </w:r>
      <w:r>
        <w:rPr>
          <w:color w:val="231F20"/>
          <w:spacing w:val="-6"/>
          <w:sz w:val="19"/>
        </w:rPr>
        <w:t>the</w:t>
      </w:r>
      <w:r>
        <w:rPr>
          <w:color w:val="231F20"/>
          <w:spacing w:val="-5"/>
          <w:sz w:val="19"/>
        </w:rPr>
        <w:t> </w:t>
      </w:r>
      <w:r>
        <w:rPr>
          <w:color w:val="231F20"/>
          <w:spacing w:val="-6"/>
          <w:sz w:val="19"/>
        </w:rPr>
        <w:t>gap</w:t>
      </w:r>
      <w:r>
        <w:rPr>
          <w:color w:val="231F20"/>
          <w:spacing w:val="-5"/>
          <w:sz w:val="19"/>
        </w:rPr>
        <w:t> </w:t>
      </w:r>
      <w:r>
        <w:rPr>
          <w:color w:val="231F20"/>
          <w:spacing w:val="-6"/>
          <w:sz w:val="19"/>
        </w:rPr>
        <w:t>could</w:t>
      </w:r>
      <w:r>
        <w:rPr>
          <w:color w:val="231F20"/>
          <w:spacing w:val="-4"/>
          <w:sz w:val="19"/>
        </w:rPr>
        <w:t> </w:t>
      </w:r>
      <w:r>
        <w:rPr>
          <w:color w:val="231F20"/>
          <w:spacing w:val="-6"/>
          <w:sz w:val="19"/>
        </w:rPr>
        <w:t>be</w:t>
      </w:r>
      <w:r>
        <w:rPr>
          <w:color w:val="231F20"/>
          <w:spacing w:val="-5"/>
          <w:sz w:val="19"/>
        </w:rPr>
        <w:t> </w:t>
      </w:r>
      <w:r>
        <w:rPr>
          <w:color w:val="231F20"/>
          <w:spacing w:val="-6"/>
          <w:sz w:val="19"/>
        </w:rPr>
        <w:t>filled</w:t>
      </w:r>
      <w:r>
        <w:rPr>
          <w:color w:val="231F20"/>
          <w:spacing w:val="-4"/>
          <w:sz w:val="19"/>
        </w:rPr>
        <w:t> </w:t>
      </w:r>
      <w:r>
        <w:rPr>
          <w:color w:val="231F20"/>
          <w:spacing w:val="-6"/>
          <w:sz w:val="19"/>
        </w:rPr>
        <w:t>in with</w:t>
      </w:r>
      <w:r>
        <w:rPr>
          <w:color w:val="231F20"/>
          <w:spacing w:val="-5"/>
          <w:sz w:val="19"/>
        </w:rPr>
        <w:t> </w:t>
      </w:r>
      <w:r>
        <w:rPr>
          <w:color w:val="231F20"/>
          <w:spacing w:val="-6"/>
          <w:sz w:val="19"/>
        </w:rPr>
        <w:t>good</w:t>
      </w:r>
      <w:r>
        <w:rPr>
          <w:color w:val="231F20"/>
          <w:spacing w:val="-5"/>
          <w:sz w:val="19"/>
        </w:rPr>
        <w:t> </w:t>
      </w:r>
      <w:r>
        <w:rPr>
          <w:color w:val="231F20"/>
          <w:spacing w:val="-6"/>
          <w:sz w:val="19"/>
        </w:rPr>
        <w:t>faith.</w:t>
      </w:r>
      <w:r>
        <w:rPr>
          <w:color w:val="231F20"/>
          <w:spacing w:val="-5"/>
          <w:sz w:val="19"/>
        </w:rPr>
        <w:t> </w:t>
      </w:r>
      <w:r>
        <w:rPr>
          <w:color w:val="231F20"/>
          <w:spacing w:val="-6"/>
          <w:sz w:val="19"/>
        </w:rPr>
        <w:t>Under</w:t>
      </w:r>
      <w:r>
        <w:rPr>
          <w:color w:val="231F20"/>
          <w:spacing w:val="-4"/>
          <w:sz w:val="19"/>
        </w:rPr>
        <w:t> this</w:t>
      </w:r>
      <w:r>
        <w:rPr>
          <w:color w:val="231F20"/>
          <w:spacing w:val="-8"/>
          <w:sz w:val="19"/>
        </w:rPr>
        <w:t> </w:t>
      </w:r>
      <w:r>
        <w:rPr>
          <w:color w:val="231F20"/>
          <w:spacing w:val="-4"/>
          <w:sz w:val="19"/>
        </w:rPr>
        <w:t>general</w:t>
      </w:r>
      <w:r>
        <w:rPr>
          <w:color w:val="231F20"/>
          <w:spacing w:val="-7"/>
          <w:sz w:val="19"/>
        </w:rPr>
        <w:t> </w:t>
      </w:r>
      <w:r>
        <w:rPr>
          <w:color w:val="231F20"/>
          <w:spacing w:val="-4"/>
          <w:sz w:val="19"/>
        </w:rPr>
        <w:t>provision,</w:t>
      </w:r>
      <w:r>
        <w:rPr>
          <w:color w:val="231F20"/>
          <w:spacing w:val="-8"/>
          <w:sz w:val="19"/>
        </w:rPr>
        <w:t> </w:t>
      </w:r>
      <w:r>
        <w:rPr>
          <w:color w:val="231F20"/>
          <w:spacing w:val="-4"/>
          <w:sz w:val="19"/>
        </w:rPr>
        <w:t>the</w:t>
      </w:r>
      <w:r>
        <w:rPr>
          <w:color w:val="231F20"/>
          <w:spacing w:val="-7"/>
          <w:sz w:val="19"/>
        </w:rPr>
        <w:t> </w:t>
      </w:r>
      <w:r>
        <w:rPr>
          <w:color w:val="231F20"/>
          <w:spacing w:val="-4"/>
          <w:sz w:val="19"/>
        </w:rPr>
        <w:t>parties</w:t>
      </w:r>
      <w:r>
        <w:rPr>
          <w:color w:val="231F20"/>
          <w:spacing w:val="-8"/>
          <w:sz w:val="19"/>
        </w:rPr>
        <w:t> </w:t>
      </w:r>
      <w:r>
        <w:rPr>
          <w:color w:val="231F20"/>
          <w:spacing w:val="-4"/>
          <w:sz w:val="19"/>
        </w:rPr>
        <w:t>would</w:t>
      </w:r>
      <w:r>
        <w:rPr>
          <w:color w:val="231F20"/>
          <w:spacing w:val="-7"/>
          <w:sz w:val="19"/>
        </w:rPr>
        <w:t> </w:t>
      </w:r>
      <w:r>
        <w:rPr>
          <w:color w:val="231F20"/>
          <w:spacing w:val="-4"/>
          <w:sz w:val="19"/>
        </w:rPr>
        <w:t>be</w:t>
      </w:r>
      <w:r>
        <w:rPr>
          <w:color w:val="231F20"/>
          <w:spacing w:val="-8"/>
          <w:sz w:val="19"/>
        </w:rPr>
        <w:t> </w:t>
      </w:r>
      <w:r>
        <w:rPr>
          <w:color w:val="231F20"/>
          <w:spacing w:val="-4"/>
          <w:sz w:val="19"/>
        </w:rPr>
        <w:t>bound</w:t>
      </w:r>
      <w:r>
        <w:rPr>
          <w:color w:val="231F20"/>
          <w:spacing w:val="-7"/>
          <w:sz w:val="19"/>
        </w:rPr>
        <w:t> </w:t>
      </w:r>
      <w:r>
        <w:rPr>
          <w:color w:val="231F20"/>
          <w:spacing w:val="-4"/>
          <w:sz w:val="19"/>
        </w:rPr>
        <w:t>according</w:t>
      </w:r>
      <w:r>
        <w:rPr>
          <w:color w:val="231F20"/>
          <w:spacing w:val="-8"/>
          <w:sz w:val="19"/>
        </w:rPr>
        <w:t> </w:t>
      </w:r>
      <w:r>
        <w:rPr>
          <w:color w:val="231F20"/>
          <w:spacing w:val="-4"/>
          <w:sz w:val="19"/>
        </w:rPr>
        <w:t>to</w:t>
      </w:r>
      <w:r>
        <w:rPr>
          <w:color w:val="231F20"/>
          <w:spacing w:val="-7"/>
          <w:sz w:val="19"/>
        </w:rPr>
        <w:t> </w:t>
      </w:r>
      <w:r>
        <w:rPr>
          <w:color w:val="231F20"/>
          <w:spacing w:val="-4"/>
          <w:sz w:val="19"/>
        </w:rPr>
        <w:t>the</w:t>
      </w:r>
      <w:r>
        <w:rPr>
          <w:color w:val="231F20"/>
          <w:spacing w:val="-8"/>
          <w:sz w:val="19"/>
        </w:rPr>
        <w:t> </w:t>
      </w:r>
      <w:r>
        <w:rPr>
          <w:color w:val="231F20"/>
          <w:spacing w:val="-4"/>
          <w:sz w:val="19"/>
        </w:rPr>
        <w:t>reasonable</w:t>
      </w:r>
      <w:r>
        <w:rPr>
          <w:color w:val="231F20"/>
          <w:spacing w:val="-7"/>
          <w:sz w:val="19"/>
        </w:rPr>
        <w:t> </w:t>
      </w:r>
      <w:r>
        <w:rPr>
          <w:color w:val="231F20"/>
          <w:spacing w:val="-4"/>
          <w:sz w:val="19"/>
        </w:rPr>
        <w:t>under- </w:t>
      </w:r>
      <w:r>
        <w:rPr>
          <w:color w:val="231F20"/>
          <w:spacing w:val="-8"/>
          <w:sz w:val="19"/>
        </w:rPr>
        <w:t>standing</w:t>
      </w:r>
      <w:r>
        <w:rPr>
          <w:color w:val="231F20"/>
          <w:spacing w:val="-3"/>
          <w:sz w:val="19"/>
        </w:rPr>
        <w:t> </w:t>
      </w:r>
      <w:r>
        <w:rPr>
          <w:color w:val="231F20"/>
          <w:spacing w:val="-8"/>
          <w:sz w:val="19"/>
        </w:rPr>
        <w:t>of</w:t>
      </w:r>
      <w:r>
        <w:rPr>
          <w:color w:val="231F20"/>
          <w:spacing w:val="-3"/>
          <w:sz w:val="19"/>
        </w:rPr>
        <w:t> </w:t>
      </w:r>
      <w:r>
        <w:rPr>
          <w:color w:val="231F20"/>
          <w:spacing w:val="-8"/>
          <w:sz w:val="19"/>
        </w:rPr>
        <w:t>an</w:t>
      </w:r>
      <w:r>
        <w:rPr>
          <w:color w:val="231F20"/>
          <w:spacing w:val="-2"/>
          <w:sz w:val="19"/>
        </w:rPr>
        <w:t> </w:t>
      </w:r>
      <w:r>
        <w:rPr>
          <w:color w:val="231F20"/>
          <w:spacing w:val="-8"/>
          <w:sz w:val="19"/>
        </w:rPr>
        <w:t>average</w:t>
      </w:r>
      <w:r>
        <w:rPr>
          <w:color w:val="231F20"/>
          <w:spacing w:val="-2"/>
          <w:sz w:val="19"/>
        </w:rPr>
        <w:t> </w:t>
      </w:r>
      <w:r>
        <w:rPr>
          <w:color w:val="231F20"/>
          <w:spacing w:val="-8"/>
          <w:sz w:val="19"/>
        </w:rPr>
        <w:t>consumer.</w:t>
      </w:r>
      <w:r>
        <w:rPr>
          <w:color w:val="231F20"/>
          <w:spacing w:val="-3"/>
          <w:sz w:val="19"/>
        </w:rPr>
        <w:t> </w:t>
      </w:r>
      <w:r>
        <w:rPr>
          <w:color w:val="231F20"/>
          <w:spacing w:val="-8"/>
          <w:sz w:val="19"/>
        </w:rPr>
        <w:t>This</w:t>
      </w:r>
      <w:r>
        <w:rPr>
          <w:color w:val="231F20"/>
          <w:spacing w:val="-3"/>
          <w:sz w:val="19"/>
        </w:rPr>
        <w:t> </w:t>
      </w:r>
      <w:r>
        <w:rPr>
          <w:color w:val="231F20"/>
          <w:spacing w:val="-8"/>
          <w:sz w:val="19"/>
        </w:rPr>
        <w:t>would</w:t>
      </w:r>
      <w:r>
        <w:rPr>
          <w:color w:val="231F20"/>
          <w:spacing w:val="-3"/>
          <w:sz w:val="19"/>
        </w:rPr>
        <w:t> </w:t>
      </w:r>
      <w:r>
        <w:rPr>
          <w:color w:val="231F20"/>
          <w:spacing w:val="-8"/>
          <w:sz w:val="19"/>
        </w:rPr>
        <w:t>correct</w:t>
      </w:r>
      <w:r>
        <w:rPr>
          <w:color w:val="231F20"/>
          <w:spacing w:val="-2"/>
          <w:sz w:val="19"/>
        </w:rPr>
        <w:t> </w:t>
      </w:r>
      <w:r>
        <w:rPr>
          <w:color w:val="231F20"/>
          <w:spacing w:val="-8"/>
          <w:sz w:val="19"/>
        </w:rPr>
        <w:t>the</w:t>
      </w:r>
      <w:r>
        <w:rPr>
          <w:color w:val="231F20"/>
          <w:spacing w:val="-2"/>
          <w:sz w:val="19"/>
        </w:rPr>
        <w:t> </w:t>
      </w:r>
      <w:r>
        <w:rPr>
          <w:color w:val="231F20"/>
          <w:spacing w:val="-8"/>
          <w:sz w:val="19"/>
        </w:rPr>
        <w:t>flaw</w:t>
      </w:r>
      <w:r>
        <w:rPr>
          <w:color w:val="231F20"/>
          <w:spacing w:val="-3"/>
          <w:sz w:val="19"/>
        </w:rPr>
        <w:t> </w:t>
      </w:r>
      <w:r>
        <w:rPr>
          <w:color w:val="231F20"/>
          <w:spacing w:val="-8"/>
          <w:sz w:val="19"/>
        </w:rPr>
        <w:t>in</w:t>
      </w:r>
      <w:r>
        <w:rPr>
          <w:color w:val="231F20"/>
          <w:spacing w:val="-2"/>
          <w:sz w:val="19"/>
        </w:rPr>
        <w:t> </w:t>
      </w:r>
      <w:r>
        <w:rPr>
          <w:color w:val="231F20"/>
          <w:spacing w:val="-8"/>
          <w:sz w:val="19"/>
        </w:rPr>
        <w:t>the</w:t>
      </w:r>
      <w:r>
        <w:rPr>
          <w:color w:val="231F20"/>
          <w:spacing w:val="-2"/>
          <w:sz w:val="19"/>
        </w:rPr>
        <w:t> </w:t>
      </w:r>
      <w:r>
        <w:rPr>
          <w:color w:val="231F20"/>
          <w:spacing w:val="-8"/>
          <w:sz w:val="19"/>
        </w:rPr>
        <w:t>market</w:t>
      </w:r>
      <w:r>
        <w:rPr>
          <w:color w:val="231F20"/>
          <w:spacing w:val="-3"/>
          <w:sz w:val="19"/>
        </w:rPr>
        <w:t> </w:t>
      </w:r>
      <w:r>
        <w:rPr>
          <w:color w:val="231F20"/>
          <w:spacing w:val="-8"/>
          <w:sz w:val="19"/>
        </w:rPr>
        <w:t>provoked</w:t>
      </w:r>
      <w:r>
        <w:rPr>
          <w:color w:val="231F20"/>
          <w:spacing w:val="-3"/>
          <w:sz w:val="19"/>
        </w:rPr>
        <w:t> </w:t>
      </w:r>
      <w:r>
        <w:rPr>
          <w:color w:val="231F20"/>
          <w:spacing w:val="-8"/>
          <w:sz w:val="19"/>
        </w:rPr>
        <w:t>by</w:t>
      </w:r>
      <w:r>
        <w:rPr>
          <w:color w:val="231F20"/>
          <w:sz w:val="19"/>
        </w:rPr>
        <w:t> </w:t>
      </w:r>
      <w:r>
        <w:rPr>
          <w:color w:val="231F20"/>
          <w:spacing w:val="-8"/>
          <w:sz w:val="19"/>
        </w:rPr>
        <w:t>the</w:t>
      </w:r>
      <w:r>
        <w:rPr>
          <w:color w:val="231F20"/>
          <w:spacing w:val="-2"/>
          <w:sz w:val="19"/>
        </w:rPr>
        <w:t> </w:t>
      </w:r>
      <w:r>
        <w:rPr>
          <w:color w:val="231F20"/>
          <w:spacing w:val="-8"/>
          <w:sz w:val="19"/>
        </w:rPr>
        <w:t>lack</w:t>
      </w:r>
      <w:r>
        <w:rPr>
          <w:color w:val="231F20"/>
          <w:spacing w:val="-4"/>
          <w:sz w:val="19"/>
        </w:rPr>
        <w:t> </w:t>
      </w:r>
      <w:r>
        <w:rPr>
          <w:color w:val="231F20"/>
          <w:spacing w:val="-8"/>
          <w:sz w:val="19"/>
        </w:rPr>
        <w:t>of</w:t>
      </w:r>
      <w:r>
        <w:rPr>
          <w:color w:val="231F20"/>
          <w:spacing w:val="4"/>
          <w:sz w:val="19"/>
        </w:rPr>
        <w:t> </w:t>
      </w:r>
      <w:r>
        <w:rPr>
          <w:color w:val="231F20"/>
          <w:spacing w:val="-8"/>
          <w:sz w:val="19"/>
        </w:rPr>
        <w:t>transparency,</w:t>
      </w:r>
      <w:r>
        <w:rPr>
          <w:color w:val="231F20"/>
          <w:spacing w:val="-2"/>
          <w:sz w:val="19"/>
        </w:rPr>
        <w:t> </w:t>
      </w:r>
      <w:r>
        <w:rPr>
          <w:color w:val="231F20"/>
          <w:spacing w:val="-8"/>
          <w:sz w:val="19"/>
        </w:rPr>
        <w:t>by</w:t>
      </w:r>
      <w:r>
        <w:rPr>
          <w:color w:val="231F20"/>
          <w:spacing w:val="-2"/>
          <w:sz w:val="19"/>
        </w:rPr>
        <w:t> </w:t>
      </w:r>
      <w:r>
        <w:rPr>
          <w:color w:val="231F20"/>
          <w:spacing w:val="-8"/>
          <w:sz w:val="19"/>
        </w:rPr>
        <w:t>giving</w:t>
      </w:r>
      <w:r>
        <w:rPr>
          <w:color w:val="231F20"/>
          <w:spacing w:val="-2"/>
          <w:sz w:val="19"/>
        </w:rPr>
        <w:t> </w:t>
      </w:r>
      <w:r>
        <w:rPr>
          <w:color w:val="231F20"/>
          <w:spacing w:val="-8"/>
          <w:sz w:val="19"/>
        </w:rPr>
        <w:t>the</w:t>
      </w:r>
      <w:r>
        <w:rPr>
          <w:color w:val="231F20"/>
          <w:spacing w:val="-2"/>
          <w:sz w:val="19"/>
        </w:rPr>
        <w:t> </w:t>
      </w:r>
      <w:r>
        <w:rPr>
          <w:color w:val="231F20"/>
          <w:spacing w:val="-8"/>
          <w:sz w:val="19"/>
        </w:rPr>
        <w:t>consumer</w:t>
      </w:r>
      <w:r>
        <w:rPr>
          <w:color w:val="231F20"/>
          <w:spacing w:val="-2"/>
          <w:sz w:val="19"/>
        </w:rPr>
        <w:t> </w:t>
      </w:r>
      <w:r>
        <w:rPr>
          <w:color w:val="231F20"/>
          <w:spacing w:val="-8"/>
          <w:sz w:val="19"/>
        </w:rPr>
        <w:t>the</w:t>
      </w:r>
      <w:r>
        <w:rPr>
          <w:color w:val="231F20"/>
          <w:spacing w:val="-2"/>
          <w:sz w:val="19"/>
        </w:rPr>
        <w:t> </w:t>
      </w:r>
      <w:r>
        <w:rPr>
          <w:color w:val="231F20"/>
          <w:spacing w:val="-8"/>
          <w:sz w:val="19"/>
        </w:rPr>
        <w:t>opportunity</w:t>
      </w:r>
      <w:r>
        <w:rPr>
          <w:color w:val="231F20"/>
          <w:spacing w:val="-2"/>
          <w:sz w:val="19"/>
        </w:rPr>
        <w:t> </w:t>
      </w:r>
      <w:r>
        <w:rPr>
          <w:color w:val="231F20"/>
          <w:spacing w:val="-8"/>
          <w:sz w:val="19"/>
        </w:rPr>
        <w:t>she</w:t>
      </w:r>
      <w:r>
        <w:rPr>
          <w:color w:val="231F20"/>
          <w:spacing w:val="-2"/>
          <w:sz w:val="19"/>
        </w:rPr>
        <w:t> </w:t>
      </w:r>
      <w:r>
        <w:rPr>
          <w:color w:val="231F20"/>
          <w:spacing w:val="-8"/>
          <w:sz w:val="19"/>
        </w:rPr>
        <w:t>should</w:t>
      </w:r>
      <w:r>
        <w:rPr>
          <w:color w:val="231F20"/>
          <w:spacing w:val="-2"/>
          <w:sz w:val="19"/>
        </w:rPr>
        <w:t> </w:t>
      </w:r>
      <w:r>
        <w:rPr>
          <w:color w:val="231F20"/>
          <w:spacing w:val="-8"/>
          <w:sz w:val="19"/>
        </w:rPr>
        <w:t>have</w:t>
      </w:r>
      <w:r>
        <w:rPr>
          <w:color w:val="231F20"/>
          <w:spacing w:val="-2"/>
          <w:sz w:val="19"/>
        </w:rPr>
        <w:t> </w:t>
      </w:r>
      <w:r>
        <w:rPr>
          <w:color w:val="231F20"/>
          <w:spacing w:val="-8"/>
          <w:sz w:val="19"/>
        </w:rPr>
        <w:t>had</w:t>
      </w:r>
      <w:r>
        <w:rPr>
          <w:color w:val="231F20"/>
          <w:spacing w:val="-3"/>
          <w:sz w:val="19"/>
        </w:rPr>
        <w:t> </w:t>
      </w:r>
      <w:r>
        <w:rPr>
          <w:color w:val="231F20"/>
          <w:spacing w:val="-8"/>
          <w:sz w:val="19"/>
        </w:rPr>
        <w:t>to</w:t>
      </w:r>
      <w:r>
        <w:rPr>
          <w:color w:val="231F20"/>
          <w:sz w:val="19"/>
        </w:rPr>
        <w:t> </w:t>
      </w:r>
      <w:r>
        <w:rPr>
          <w:color w:val="231F20"/>
          <w:spacing w:val="-10"/>
          <w:sz w:val="19"/>
        </w:rPr>
        <w:t>make</w:t>
      </w:r>
      <w:r>
        <w:rPr>
          <w:color w:val="231F20"/>
          <w:sz w:val="19"/>
        </w:rPr>
        <w:t> </w:t>
      </w:r>
      <w:r>
        <w:rPr>
          <w:color w:val="231F20"/>
          <w:spacing w:val="-10"/>
          <w:sz w:val="19"/>
        </w:rPr>
        <w:t>a</w:t>
      </w:r>
      <w:r>
        <w:rPr>
          <w:color w:val="231F20"/>
          <w:spacing w:val="6"/>
          <w:sz w:val="19"/>
        </w:rPr>
        <w:t> </w:t>
      </w:r>
      <w:r>
        <w:rPr>
          <w:color w:val="231F20"/>
          <w:spacing w:val="-10"/>
          <w:sz w:val="19"/>
        </w:rPr>
        <w:t>free</w:t>
      </w:r>
      <w:r>
        <w:rPr>
          <w:color w:val="231F20"/>
          <w:sz w:val="19"/>
        </w:rPr>
        <w:t> </w:t>
      </w:r>
      <w:r>
        <w:rPr>
          <w:color w:val="231F20"/>
          <w:spacing w:val="-10"/>
          <w:sz w:val="19"/>
        </w:rPr>
        <w:t>and</w:t>
      </w:r>
      <w:r>
        <w:rPr>
          <w:color w:val="231F20"/>
          <w:sz w:val="19"/>
        </w:rPr>
        <w:t> </w:t>
      </w:r>
      <w:r>
        <w:rPr>
          <w:color w:val="231F20"/>
          <w:spacing w:val="-10"/>
          <w:sz w:val="19"/>
        </w:rPr>
        <w:t>informed</w:t>
      </w:r>
      <w:r>
        <w:rPr>
          <w:color w:val="231F20"/>
          <w:sz w:val="19"/>
        </w:rPr>
        <w:t> </w:t>
      </w:r>
      <w:r>
        <w:rPr>
          <w:color w:val="231F20"/>
          <w:spacing w:val="-10"/>
          <w:sz w:val="19"/>
        </w:rPr>
        <w:t>decision.</w:t>
      </w:r>
      <w:r>
        <w:rPr>
          <w:color w:val="231F20"/>
          <w:spacing w:val="-10"/>
          <w:sz w:val="19"/>
          <w:vertAlign w:val="superscript"/>
        </w:rPr>
        <w:t>169</w:t>
      </w:r>
      <w:r>
        <w:rPr>
          <w:color w:val="231F20"/>
          <w:sz w:val="19"/>
          <w:vertAlign w:val="baseline"/>
        </w:rPr>
        <w:t> </w:t>
      </w:r>
      <w:r>
        <w:rPr>
          <w:color w:val="231F20"/>
          <w:spacing w:val="-10"/>
          <w:sz w:val="19"/>
          <w:vertAlign w:val="baseline"/>
        </w:rPr>
        <w:t>The</w:t>
      </w:r>
      <w:r>
        <w:rPr>
          <w:color w:val="231F20"/>
          <w:sz w:val="19"/>
          <w:vertAlign w:val="baseline"/>
        </w:rPr>
        <w:t> </w:t>
      </w:r>
      <w:r>
        <w:rPr>
          <w:color w:val="231F20"/>
          <w:spacing w:val="-10"/>
          <w:sz w:val="19"/>
          <w:vertAlign w:val="baseline"/>
        </w:rPr>
        <w:t>solution,</w:t>
      </w:r>
      <w:r>
        <w:rPr>
          <w:color w:val="231F20"/>
          <w:sz w:val="19"/>
          <w:vertAlign w:val="baseline"/>
        </w:rPr>
        <w:t> </w:t>
      </w:r>
      <w:r>
        <w:rPr>
          <w:color w:val="231F20"/>
          <w:spacing w:val="-10"/>
          <w:sz w:val="19"/>
          <w:vertAlign w:val="baseline"/>
        </w:rPr>
        <w:t>whereby</w:t>
      </w:r>
      <w:r>
        <w:rPr>
          <w:color w:val="231F20"/>
          <w:sz w:val="19"/>
          <w:vertAlign w:val="baseline"/>
        </w:rPr>
        <w:t> </w:t>
      </w:r>
      <w:r>
        <w:rPr>
          <w:color w:val="231F20"/>
          <w:spacing w:val="-10"/>
          <w:sz w:val="19"/>
          <w:vertAlign w:val="baseline"/>
        </w:rPr>
        <w:t>the</w:t>
      </w:r>
      <w:r>
        <w:rPr>
          <w:color w:val="231F20"/>
          <w:sz w:val="19"/>
          <w:vertAlign w:val="baseline"/>
        </w:rPr>
        <w:t> </w:t>
      </w:r>
      <w:r>
        <w:rPr>
          <w:color w:val="231F20"/>
          <w:spacing w:val="-10"/>
          <w:sz w:val="19"/>
          <w:vertAlign w:val="baseline"/>
        </w:rPr>
        <w:t>business</w:t>
      </w:r>
      <w:r>
        <w:rPr>
          <w:color w:val="231F20"/>
          <w:sz w:val="19"/>
          <w:vertAlign w:val="baseline"/>
        </w:rPr>
        <w:t> </w:t>
      </w:r>
      <w:r>
        <w:rPr>
          <w:color w:val="231F20"/>
          <w:spacing w:val="-10"/>
          <w:sz w:val="19"/>
          <w:vertAlign w:val="baseline"/>
        </w:rPr>
        <w:t>is</w:t>
      </w:r>
      <w:r>
        <w:rPr>
          <w:color w:val="231F20"/>
          <w:sz w:val="19"/>
          <w:vertAlign w:val="baseline"/>
        </w:rPr>
        <w:t> </w:t>
      </w:r>
      <w:r>
        <w:rPr>
          <w:color w:val="231F20"/>
          <w:spacing w:val="-10"/>
          <w:sz w:val="19"/>
          <w:vertAlign w:val="baseline"/>
        </w:rPr>
        <w:t>bound</w:t>
      </w:r>
      <w:r>
        <w:rPr>
          <w:color w:val="231F20"/>
          <w:sz w:val="19"/>
          <w:vertAlign w:val="baseline"/>
        </w:rPr>
        <w:t> </w:t>
      </w:r>
      <w:r>
        <w:rPr>
          <w:color w:val="231F20"/>
          <w:spacing w:val="-10"/>
          <w:sz w:val="19"/>
          <w:vertAlign w:val="baseline"/>
        </w:rPr>
        <w:t>by</w:t>
      </w:r>
      <w:r>
        <w:rPr>
          <w:color w:val="231F20"/>
          <w:sz w:val="19"/>
          <w:vertAlign w:val="baseline"/>
        </w:rPr>
        <w:t> </w:t>
      </w:r>
      <w:r>
        <w:rPr>
          <w:color w:val="231F20"/>
          <w:spacing w:val="-10"/>
          <w:sz w:val="19"/>
          <w:vertAlign w:val="baseline"/>
        </w:rPr>
        <w:t>the</w:t>
      </w:r>
      <w:r>
        <w:rPr>
          <w:color w:val="231F20"/>
          <w:sz w:val="19"/>
          <w:vertAlign w:val="baseline"/>
        </w:rPr>
        <w:t> </w:t>
      </w:r>
      <w:r>
        <w:rPr>
          <w:color w:val="231F20"/>
          <w:spacing w:val="-6"/>
          <w:sz w:val="19"/>
          <w:vertAlign w:val="baseline"/>
        </w:rPr>
        <w:t>reality</w:t>
      </w:r>
      <w:r>
        <w:rPr>
          <w:color w:val="231F20"/>
          <w:spacing w:val="-3"/>
          <w:sz w:val="19"/>
          <w:vertAlign w:val="baseline"/>
        </w:rPr>
        <w:t> </w:t>
      </w:r>
      <w:r>
        <w:rPr>
          <w:color w:val="231F20"/>
          <w:spacing w:val="-6"/>
          <w:sz w:val="19"/>
          <w:vertAlign w:val="baseline"/>
        </w:rPr>
        <w:t>it</w:t>
      </w:r>
      <w:r>
        <w:rPr>
          <w:color w:val="231F20"/>
          <w:spacing w:val="-4"/>
          <w:sz w:val="19"/>
          <w:vertAlign w:val="baseline"/>
        </w:rPr>
        <w:t> </w:t>
      </w:r>
      <w:r>
        <w:rPr>
          <w:color w:val="231F20"/>
          <w:spacing w:val="-6"/>
          <w:sz w:val="19"/>
          <w:vertAlign w:val="baseline"/>
        </w:rPr>
        <w:t>presents</w:t>
      </w:r>
      <w:r>
        <w:rPr>
          <w:color w:val="231F20"/>
          <w:spacing w:val="-3"/>
          <w:sz w:val="19"/>
          <w:vertAlign w:val="baseline"/>
        </w:rPr>
        <w:t> </w:t>
      </w:r>
      <w:r>
        <w:rPr>
          <w:color w:val="231F20"/>
          <w:spacing w:val="-6"/>
          <w:sz w:val="19"/>
          <w:vertAlign w:val="baseline"/>
        </w:rPr>
        <w:t>to</w:t>
      </w:r>
      <w:r>
        <w:rPr>
          <w:color w:val="231F20"/>
          <w:spacing w:val="-3"/>
          <w:sz w:val="19"/>
          <w:vertAlign w:val="baseline"/>
        </w:rPr>
        <w:t> </w:t>
      </w:r>
      <w:r>
        <w:rPr>
          <w:color w:val="231F20"/>
          <w:spacing w:val="-6"/>
          <w:sz w:val="19"/>
          <w:vertAlign w:val="baseline"/>
        </w:rPr>
        <w:t>the</w:t>
      </w:r>
      <w:r>
        <w:rPr>
          <w:color w:val="231F20"/>
          <w:spacing w:val="-3"/>
          <w:sz w:val="19"/>
          <w:vertAlign w:val="baseline"/>
        </w:rPr>
        <w:t> </w:t>
      </w:r>
      <w:r>
        <w:rPr>
          <w:color w:val="231F20"/>
          <w:spacing w:val="-6"/>
          <w:sz w:val="19"/>
          <w:vertAlign w:val="baseline"/>
        </w:rPr>
        <w:t>consumer</w:t>
      </w:r>
      <w:r>
        <w:rPr>
          <w:color w:val="231F20"/>
          <w:spacing w:val="-3"/>
          <w:sz w:val="19"/>
          <w:vertAlign w:val="baseline"/>
        </w:rPr>
        <w:t> </w:t>
      </w:r>
      <w:r>
        <w:rPr>
          <w:color w:val="231F20"/>
          <w:spacing w:val="-6"/>
          <w:sz w:val="19"/>
          <w:vertAlign w:val="baseline"/>
        </w:rPr>
        <w:t>and</w:t>
      </w:r>
      <w:r>
        <w:rPr>
          <w:color w:val="231F20"/>
          <w:spacing w:val="-3"/>
          <w:sz w:val="19"/>
          <w:vertAlign w:val="baseline"/>
        </w:rPr>
        <w:t> </w:t>
      </w:r>
      <w:r>
        <w:rPr>
          <w:color w:val="231F20"/>
          <w:spacing w:val="-6"/>
          <w:sz w:val="19"/>
          <w:vertAlign w:val="baseline"/>
        </w:rPr>
        <w:t>upon</w:t>
      </w:r>
      <w:r>
        <w:rPr>
          <w:color w:val="231F20"/>
          <w:spacing w:val="-4"/>
          <w:sz w:val="19"/>
          <w:vertAlign w:val="baseline"/>
        </w:rPr>
        <w:t> </w:t>
      </w:r>
      <w:r>
        <w:rPr>
          <w:color w:val="231F20"/>
          <w:spacing w:val="-6"/>
          <w:sz w:val="19"/>
          <w:vertAlign w:val="baseline"/>
        </w:rPr>
        <w:t>which</w:t>
      </w:r>
      <w:r>
        <w:rPr>
          <w:color w:val="231F20"/>
          <w:spacing w:val="-4"/>
          <w:sz w:val="19"/>
          <w:vertAlign w:val="baseline"/>
        </w:rPr>
        <w:t> </w:t>
      </w:r>
      <w:r>
        <w:rPr>
          <w:color w:val="231F20"/>
          <w:spacing w:val="-6"/>
          <w:sz w:val="19"/>
          <w:vertAlign w:val="baseline"/>
        </w:rPr>
        <w:t>she</w:t>
      </w:r>
      <w:r>
        <w:rPr>
          <w:color w:val="231F20"/>
          <w:spacing w:val="-4"/>
          <w:sz w:val="19"/>
          <w:vertAlign w:val="baseline"/>
        </w:rPr>
        <w:t> </w:t>
      </w:r>
      <w:r>
        <w:rPr>
          <w:color w:val="231F20"/>
          <w:spacing w:val="-6"/>
          <w:sz w:val="19"/>
          <w:vertAlign w:val="baseline"/>
        </w:rPr>
        <w:t>acts,</w:t>
      </w:r>
      <w:r>
        <w:rPr>
          <w:color w:val="231F20"/>
          <w:spacing w:val="-3"/>
          <w:sz w:val="19"/>
          <w:vertAlign w:val="baseline"/>
        </w:rPr>
        <w:t> </w:t>
      </w:r>
      <w:r>
        <w:rPr>
          <w:color w:val="231F20"/>
          <w:spacing w:val="-6"/>
          <w:sz w:val="19"/>
          <w:vertAlign w:val="baseline"/>
        </w:rPr>
        <w:t>exists</w:t>
      </w:r>
      <w:r>
        <w:rPr>
          <w:color w:val="231F20"/>
          <w:spacing w:val="-3"/>
          <w:sz w:val="19"/>
          <w:vertAlign w:val="baseline"/>
        </w:rPr>
        <w:t> </w:t>
      </w:r>
      <w:r>
        <w:rPr>
          <w:color w:val="231F20"/>
          <w:spacing w:val="-6"/>
          <w:sz w:val="19"/>
          <w:vertAlign w:val="baseline"/>
        </w:rPr>
        <w:t>in</w:t>
      </w:r>
      <w:r>
        <w:rPr>
          <w:color w:val="231F20"/>
          <w:spacing w:val="-4"/>
          <w:sz w:val="19"/>
          <w:vertAlign w:val="baseline"/>
        </w:rPr>
        <w:t> </w:t>
      </w:r>
      <w:r>
        <w:rPr>
          <w:color w:val="231F20"/>
          <w:spacing w:val="-6"/>
          <w:sz w:val="19"/>
          <w:vertAlign w:val="baseline"/>
        </w:rPr>
        <w:t>national</w:t>
      </w:r>
      <w:r>
        <w:rPr>
          <w:color w:val="231F20"/>
          <w:spacing w:val="-4"/>
          <w:sz w:val="19"/>
          <w:vertAlign w:val="baseline"/>
        </w:rPr>
        <w:t> </w:t>
      </w:r>
      <w:r>
        <w:rPr>
          <w:color w:val="231F20"/>
          <w:spacing w:val="-6"/>
          <w:sz w:val="19"/>
          <w:vertAlign w:val="baseline"/>
        </w:rPr>
        <w:t>law,</w:t>
      </w:r>
      <w:r>
        <w:rPr>
          <w:color w:val="231F20"/>
          <w:spacing w:val="-6"/>
          <w:sz w:val="19"/>
          <w:vertAlign w:val="superscript"/>
        </w:rPr>
        <w:t>170</w:t>
      </w:r>
      <w:r>
        <w:rPr>
          <w:color w:val="231F20"/>
          <w:spacing w:val="-4"/>
          <w:sz w:val="19"/>
          <w:vertAlign w:val="baseline"/>
        </w:rPr>
        <w:t> </w:t>
      </w:r>
      <w:r>
        <w:rPr>
          <w:color w:val="231F20"/>
          <w:spacing w:val="-6"/>
          <w:sz w:val="19"/>
          <w:vertAlign w:val="baseline"/>
        </w:rPr>
        <w:t>in</w:t>
      </w:r>
      <w:r>
        <w:rPr>
          <w:color w:val="231F20"/>
          <w:sz w:val="19"/>
          <w:vertAlign w:val="baseline"/>
        </w:rPr>
        <w:t> EU</w:t>
      </w:r>
      <w:r>
        <w:rPr>
          <w:color w:val="231F20"/>
          <w:spacing w:val="-12"/>
          <w:sz w:val="19"/>
          <w:vertAlign w:val="baseline"/>
        </w:rPr>
        <w:t> </w:t>
      </w:r>
      <w:r>
        <w:rPr>
          <w:color w:val="231F20"/>
          <w:sz w:val="19"/>
          <w:vertAlign w:val="baseline"/>
        </w:rPr>
        <w:t>law,</w:t>
      </w:r>
      <w:r>
        <w:rPr>
          <w:color w:val="231F20"/>
          <w:sz w:val="19"/>
          <w:vertAlign w:val="superscript"/>
        </w:rPr>
        <w:t>171</w:t>
      </w:r>
      <w:r>
        <w:rPr>
          <w:color w:val="231F20"/>
          <w:spacing w:val="-11"/>
          <w:sz w:val="19"/>
          <w:vertAlign w:val="baseline"/>
        </w:rPr>
        <w:t> </w:t>
      </w:r>
      <w:r>
        <w:rPr>
          <w:color w:val="231F20"/>
          <w:sz w:val="19"/>
          <w:vertAlign w:val="baseline"/>
        </w:rPr>
        <w:t>and</w:t>
      </w:r>
      <w:r>
        <w:rPr>
          <w:color w:val="231F20"/>
          <w:spacing w:val="-12"/>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the</w:t>
      </w:r>
      <w:r>
        <w:rPr>
          <w:color w:val="231F20"/>
          <w:spacing w:val="-12"/>
          <w:sz w:val="19"/>
          <w:vertAlign w:val="baseline"/>
        </w:rPr>
        <w:t> </w:t>
      </w:r>
      <w:r>
        <w:rPr>
          <w:color w:val="231F20"/>
          <w:sz w:val="19"/>
          <w:vertAlign w:val="baseline"/>
        </w:rPr>
        <w:t>soft</w:t>
      </w:r>
      <w:r>
        <w:rPr>
          <w:color w:val="231F20"/>
          <w:spacing w:val="-11"/>
          <w:sz w:val="19"/>
          <w:vertAlign w:val="baseline"/>
        </w:rPr>
        <w:t> </w:t>
      </w:r>
      <w:r>
        <w:rPr>
          <w:color w:val="231F20"/>
          <w:sz w:val="19"/>
          <w:vertAlign w:val="baseline"/>
        </w:rPr>
        <w:t>law</w:t>
      </w:r>
      <w:r>
        <w:rPr>
          <w:color w:val="231F20"/>
          <w:spacing w:val="-12"/>
          <w:sz w:val="19"/>
          <w:vertAlign w:val="baseline"/>
        </w:rPr>
        <w:t> </w:t>
      </w:r>
      <w:r>
        <w:rPr>
          <w:color w:val="231F20"/>
          <w:sz w:val="19"/>
          <w:vertAlign w:val="baseline"/>
        </w:rPr>
        <w:t>proposals</w:t>
      </w:r>
      <w:r>
        <w:rPr>
          <w:color w:val="231F20"/>
          <w:spacing w:val="-11"/>
          <w:sz w:val="19"/>
          <w:vertAlign w:val="baseline"/>
        </w:rPr>
        <w:t> </w:t>
      </w:r>
      <w:r>
        <w:rPr>
          <w:color w:val="231F20"/>
          <w:sz w:val="19"/>
          <w:vertAlign w:val="baseline"/>
        </w:rPr>
        <w:t>to</w:t>
      </w:r>
      <w:r>
        <w:rPr>
          <w:color w:val="231F20"/>
          <w:spacing w:val="-12"/>
          <w:sz w:val="19"/>
          <w:vertAlign w:val="baseline"/>
        </w:rPr>
        <w:t> </w:t>
      </w:r>
      <w:r>
        <w:rPr>
          <w:color w:val="231F20"/>
          <w:sz w:val="19"/>
          <w:vertAlign w:val="baseline"/>
        </w:rPr>
        <w:t>harmonize</w:t>
      </w:r>
      <w:r>
        <w:rPr>
          <w:color w:val="231F20"/>
          <w:spacing w:val="-11"/>
          <w:sz w:val="19"/>
          <w:vertAlign w:val="baseline"/>
        </w:rPr>
        <w:t> </w:t>
      </w:r>
      <w:r>
        <w:rPr>
          <w:color w:val="231F20"/>
          <w:sz w:val="19"/>
          <w:vertAlign w:val="baseline"/>
        </w:rPr>
        <w:t>European</w:t>
      </w:r>
      <w:r>
        <w:rPr>
          <w:color w:val="231F20"/>
          <w:spacing w:val="-12"/>
          <w:sz w:val="19"/>
          <w:vertAlign w:val="baseline"/>
        </w:rPr>
        <w:t> </w:t>
      </w:r>
      <w:r>
        <w:rPr>
          <w:color w:val="231F20"/>
          <w:sz w:val="19"/>
          <w:vertAlign w:val="baseline"/>
        </w:rPr>
        <w:t>contract</w:t>
      </w:r>
      <w:r>
        <w:rPr>
          <w:color w:val="231F20"/>
          <w:spacing w:val="-11"/>
          <w:sz w:val="19"/>
          <w:vertAlign w:val="baseline"/>
        </w:rPr>
        <w:t> </w:t>
      </w:r>
      <w:r>
        <w:rPr>
          <w:color w:val="231F20"/>
          <w:sz w:val="19"/>
          <w:vertAlign w:val="baseline"/>
        </w:rPr>
        <w:t>law.</w:t>
      </w:r>
      <w:r>
        <w:rPr>
          <w:color w:val="231F20"/>
          <w:sz w:val="19"/>
          <w:vertAlign w:val="superscript"/>
        </w:rPr>
        <w:t>172</w:t>
      </w:r>
    </w:p>
    <w:p>
      <w:pPr>
        <w:pStyle w:val="BodyText"/>
        <w:spacing w:before="211"/>
        <w:rPr>
          <w:sz w:val="20"/>
        </w:rPr>
      </w:pPr>
      <w:r>
        <w:rPr/>
        <mc:AlternateContent>
          <mc:Choice Requires="wps">
            <w:drawing>
              <wp:anchor distT="0" distB="0" distL="0" distR="0" allowOverlap="1" layoutInCell="1" locked="0" behindDoc="1" simplePos="0" relativeHeight="487602688">
                <wp:simplePos x="0" y="0"/>
                <wp:positionH relativeFrom="page">
                  <wp:posOffset>1979993</wp:posOffset>
                </wp:positionH>
                <wp:positionV relativeFrom="paragraph">
                  <wp:posOffset>294080</wp:posOffset>
                </wp:positionV>
                <wp:extent cx="1656080" cy="4445"/>
                <wp:effectExtent l="0" t="0" r="0" b="0"/>
                <wp:wrapTopAndBottom/>
                <wp:docPr id="32" name="Graphic 32"/>
                <wp:cNvGraphicFramePr>
                  <a:graphicFrameLocks/>
                </wp:cNvGraphicFramePr>
                <a:graphic>
                  <a:graphicData uri="http://schemas.microsoft.com/office/word/2010/wordprocessingShape">
                    <wps:wsp>
                      <wps:cNvPr id="32" name="Graphic 32"/>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3.155924pt;width:130.394pt;height:.34015pt;mso-position-horizontal-relative:page;mso-position-vertical-relative:paragraph;z-index:-15713792;mso-wrap-distance-left:0;mso-wrap-distance-right:0" id="docshape32"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85" w:lineRule="auto" w:before="0" w:after="0"/>
        <w:ind w:left="866" w:right="867" w:hanging="354"/>
        <w:jc w:val="both"/>
        <w:rPr>
          <w:sz w:val="16"/>
        </w:rPr>
      </w:pPr>
      <w:r>
        <w:rPr>
          <w:color w:val="231F20"/>
          <w:spacing w:val="-2"/>
          <w:sz w:val="16"/>
        </w:rPr>
        <w:t>ECJ 6 Jul. 2023, ECLI:EU:C:2023:555, </w:t>
      </w:r>
      <w:r>
        <w:rPr>
          <w:i/>
          <w:color w:val="231F20"/>
          <w:spacing w:val="-2"/>
          <w:sz w:val="16"/>
        </w:rPr>
        <w:t>First Bank</w:t>
      </w:r>
      <w:r>
        <w:rPr>
          <w:color w:val="231F20"/>
          <w:spacing w:val="-2"/>
          <w:sz w:val="16"/>
        </w:rPr>
        <w:t>, curia.europa.eu/juris/liste.jsf?num=C-593/22,</w:t>
      </w:r>
      <w:r>
        <w:rPr>
          <w:color w:val="231F20"/>
          <w:spacing w:val="40"/>
          <w:sz w:val="16"/>
        </w:rPr>
        <w:t> </w:t>
      </w:r>
      <w:r>
        <w:rPr>
          <w:color w:val="231F20"/>
          <w:sz w:val="16"/>
        </w:rPr>
        <w:t>para.</w:t>
      </w:r>
      <w:r>
        <w:rPr>
          <w:color w:val="231F20"/>
          <w:spacing w:val="-9"/>
          <w:sz w:val="16"/>
        </w:rPr>
        <w:t> </w:t>
      </w:r>
      <w:r>
        <w:rPr>
          <w:color w:val="231F20"/>
          <w:sz w:val="16"/>
        </w:rPr>
        <w:t>20;</w:t>
      </w:r>
      <w:r>
        <w:rPr>
          <w:color w:val="231F20"/>
          <w:spacing w:val="-8"/>
          <w:sz w:val="16"/>
        </w:rPr>
        <w:t> </w:t>
      </w:r>
      <w:r>
        <w:rPr>
          <w:color w:val="231F20"/>
          <w:sz w:val="16"/>
        </w:rPr>
        <w:t>ECJ</w:t>
      </w:r>
      <w:r>
        <w:rPr>
          <w:color w:val="231F20"/>
          <w:spacing w:val="-9"/>
          <w:sz w:val="16"/>
        </w:rPr>
        <w:t> </w:t>
      </w:r>
      <w:r>
        <w:rPr>
          <w:color w:val="231F20"/>
          <w:sz w:val="16"/>
        </w:rPr>
        <w:t>3</w:t>
      </w:r>
      <w:r>
        <w:rPr>
          <w:color w:val="231F20"/>
          <w:spacing w:val="-9"/>
          <w:sz w:val="16"/>
        </w:rPr>
        <w:t> </w:t>
      </w:r>
      <w:r>
        <w:rPr>
          <w:color w:val="231F20"/>
          <w:sz w:val="16"/>
        </w:rPr>
        <w:t>Apr.</w:t>
      </w:r>
      <w:r>
        <w:rPr>
          <w:color w:val="231F20"/>
          <w:spacing w:val="-8"/>
          <w:sz w:val="16"/>
        </w:rPr>
        <w:t> </w:t>
      </w:r>
      <w:r>
        <w:rPr>
          <w:color w:val="231F20"/>
          <w:sz w:val="16"/>
        </w:rPr>
        <w:t>2019,</w:t>
      </w:r>
      <w:r>
        <w:rPr>
          <w:color w:val="231F20"/>
          <w:spacing w:val="-9"/>
          <w:sz w:val="16"/>
        </w:rPr>
        <w:t> </w:t>
      </w:r>
      <w:r>
        <w:rPr>
          <w:color w:val="231F20"/>
          <w:sz w:val="16"/>
        </w:rPr>
        <w:t>ECLI:EU:C:2019:282,</w:t>
      </w:r>
      <w:r>
        <w:rPr>
          <w:color w:val="231F20"/>
          <w:spacing w:val="-8"/>
          <w:sz w:val="16"/>
        </w:rPr>
        <w:t> </w:t>
      </w:r>
      <w:r>
        <w:rPr>
          <w:i/>
          <w:color w:val="231F20"/>
          <w:sz w:val="16"/>
        </w:rPr>
        <w:t>Aqua</w:t>
      </w:r>
      <w:r>
        <w:rPr>
          <w:i/>
          <w:color w:val="231F20"/>
          <w:spacing w:val="-8"/>
          <w:sz w:val="16"/>
        </w:rPr>
        <w:t> </w:t>
      </w:r>
      <w:r>
        <w:rPr>
          <w:i/>
          <w:color w:val="231F20"/>
          <w:sz w:val="16"/>
        </w:rPr>
        <w:t>Med</w:t>
      </w:r>
      <w:r>
        <w:rPr>
          <w:i/>
          <w:color w:val="231F20"/>
          <w:spacing w:val="-9"/>
          <w:sz w:val="16"/>
        </w:rPr>
        <w:t> </w:t>
      </w:r>
      <w:r>
        <w:rPr>
          <w:i/>
          <w:color w:val="231F20"/>
          <w:sz w:val="16"/>
        </w:rPr>
        <w:t>sp.</w:t>
      </w:r>
      <w:r>
        <w:rPr>
          <w:i/>
          <w:color w:val="231F20"/>
          <w:spacing w:val="-8"/>
          <w:sz w:val="16"/>
        </w:rPr>
        <w:t> </w:t>
      </w:r>
      <w:r>
        <w:rPr>
          <w:i/>
          <w:color w:val="231F20"/>
          <w:sz w:val="16"/>
        </w:rPr>
        <w:t>z</w:t>
      </w:r>
      <w:r>
        <w:rPr>
          <w:i/>
          <w:color w:val="231F20"/>
          <w:spacing w:val="-8"/>
          <w:sz w:val="16"/>
        </w:rPr>
        <w:t> </w:t>
      </w:r>
      <w:r>
        <w:rPr>
          <w:i/>
          <w:color w:val="231F20"/>
          <w:sz w:val="16"/>
        </w:rPr>
        <w:t>o.o.</w:t>
      </w:r>
      <w:r>
        <w:rPr>
          <w:color w:val="231F20"/>
          <w:sz w:val="16"/>
        </w:rPr>
        <w:t>v</w:t>
      </w:r>
      <w:r>
        <w:rPr>
          <w:color w:val="231F20"/>
          <w:spacing w:val="-8"/>
          <w:sz w:val="16"/>
        </w:rPr>
        <w:t> </w:t>
      </w:r>
      <w:r>
        <w:rPr>
          <w:i/>
          <w:color w:val="231F20"/>
          <w:sz w:val="16"/>
        </w:rPr>
        <w:t>Irena</w:t>
      </w:r>
      <w:r>
        <w:rPr>
          <w:i/>
          <w:color w:val="231F20"/>
          <w:spacing w:val="-8"/>
          <w:sz w:val="16"/>
        </w:rPr>
        <w:t> </w:t>
      </w:r>
      <w:r>
        <w:rPr>
          <w:i/>
          <w:color w:val="231F20"/>
          <w:sz w:val="16"/>
        </w:rPr>
        <w:t>Skóra</w:t>
      </w:r>
      <w:r>
        <w:rPr>
          <w:color w:val="231F20"/>
          <w:sz w:val="16"/>
        </w:rPr>
        <w:t>,</w:t>
      </w:r>
      <w:r>
        <w:rPr>
          <w:color w:val="231F20"/>
          <w:spacing w:val="-8"/>
          <w:sz w:val="16"/>
        </w:rPr>
        <w:t> </w:t>
      </w:r>
      <w:r>
        <w:rPr>
          <w:color w:val="231F20"/>
          <w:sz w:val="16"/>
        </w:rPr>
        <w:t>curia.europa.</w:t>
      </w:r>
      <w:r>
        <w:rPr>
          <w:color w:val="231F20"/>
          <w:spacing w:val="40"/>
          <w:sz w:val="16"/>
        </w:rPr>
        <w:t> </w:t>
      </w:r>
      <w:r>
        <w:rPr>
          <w:color w:val="231F20"/>
          <w:sz w:val="16"/>
        </w:rPr>
        <w:t>eu/juris/liste.jsf?num=C-266/18, para. 34. T. J</w:t>
      </w:r>
      <w:r>
        <w:rPr>
          <w:color w:val="231F20"/>
          <w:sz w:val="11"/>
        </w:rPr>
        <w:t>OSIPOVI</w:t>
      </w:r>
      <w:r>
        <w:rPr>
          <w:rFonts w:ascii="Trebuchet MS" w:hAnsi="Trebuchet MS"/>
          <w:color w:val="231F20"/>
          <w:sz w:val="11"/>
        </w:rPr>
        <w:t>Ć</w:t>
      </w:r>
      <w:r>
        <w:rPr>
          <w:color w:val="231F20"/>
          <w:sz w:val="16"/>
        </w:rPr>
        <w:t>, </w:t>
      </w:r>
      <w:r>
        <w:rPr>
          <w:rFonts w:ascii="Arial" w:hAnsi="Arial"/>
          <w:color w:val="231F20"/>
          <w:sz w:val="16"/>
        </w:rPr>
        <w:t>‘</w:t>
      </w:r>
      <w:r>
        <w:rPr>
          <w:color w:val="231F20"/>
          <w:sz w:val="16"/>
        </w:rPr>
        <w:t>Scope of Application of the </w:t>
      </w:r>
      <w:r>
        <w:rPr>
          <w:color w:val="231F20"/>
          <w:sz w:val="16"/>
        </w:rPr>
        <w:t>Unfair</w:t>
      </w:r>
      <w:r>
        <w:rPr>
          <w:color w:val="231F20"/>
          <w:spacing w:val="40"/>
          <w:sz w:val="16"/>
        </w:rPr>
        <w:t> </w:t>
      </w:r>
      <w:r>
        <w:rPr>
          <w:color w:val="231F20"/>
          <w:sz w:val="16"/>
        </w:rPr>
        <w:t>Contract Terms Directive: Is it Time for a New Compromise?</w:t>
      </w:r>
      <w:r>
        <w:rPr>
          <w:rFonts w:ascii="Arial" w:hAnsi="Arial"/>
          <w:color w:val="231F20"/>
          <w:sz w:val="16"/>
        </w:rPr>
        <w:t>’ </w:t>
      </w:r>
      <w:r>
        <w:rPr>
          <w:color w:val="231F20"/>
          <w:sz w:val="16"/>
        </w:rPr>
        <w:t>in this issue.</w:t>
      </w:r>
    </w:p>
    <w:p>
      <w:pPr>
        <w:pStyle w:val="ListParagraph"/>
        <w:numPr>
          <w:ilvl w:val="0"/>
          <w:numId w:val="3"/>
        </w:numPr>
        <w:tabs>
          <w:tab w:pos="865" w:val="left" w:leader="none"/>
        </w:tabs>
        <w:spacing w:line="240" w:lineRule="auto" w:before="2" w:after="0"/>
        <w:ind w:left="865" w:right="0" w:hanging="353"/>
        <w:jc w:val="both"/>
        <w:rPr>
          <w:sz w:val="16"/>
        </w:rPr>
      </w:pPr>
      <w:r>
        <w:rPr>
          <w:color w:val="231F20"/>
          <w:sz w:val="16"/>
        </w:rPr>
        <w:t>ECJ</w:t>
      </w:r>
      <w:r>
        <w:rPr>
          <w:color w:val="231F20"/>
          <w:spacing w:val="-5"/>
          <w:sz w:val="16"/>
        </w:rPr>
        <w:t> </w:t>
      </w:r>
      <w:r>
        <w:rPr>
          <w:color w:val="231F20"/>
          <w:sz w:val="16"/>
        </w:rPr>
        <w:t>6</w:t>
      </w:r>
      <w:r>
        <w:rPr>
          <w:color w:val="231F20"/>
          <w:spacing w:val="-5"/>
          <w:sz w:val="16"/>
        </w:rPr>
        <w:t> </w:t>
      </w:r>
      <w:r>
        <w:rPr>
          <w:color w:val="231F20"/>
          <w:sz w:val="16"/>
        </w:rPr>
        <w:t>Jul.</w:t>
      </w:r>
      <w:r>
        <w:rPr>
          <w:color w:val="231F20"/>
          <w:spacing w:val="-4"/>
          <w:sz w:val="16"/>
        </w:rPr>
        <w:t> </w:t>
      </w:r>
      <w:r>
        <w:rPr>
          <w:color w:val="231F20"/>
          <w:sz w:val="16"/>
        </w:rPr>
        <w:t>2023,</w:t>
      </w:r>
      <w:r>
        <w:rPr>
          <w:color w:val="231F20"/>
          <w:spacing w:val="-5"/>
          <w:sz w:val="16"/>
        </w:rPr>
        <w:t> </w:t>
      </w:r>
      <w:r>
        <w:rPr>
          <w:color w:val="231F20"/>
          <w:sz w:val="16"/>
        </w:rPr>
        <w:t>ECLI:EU:C:2023:555,</w:t>
      </w:r>
      <w:r>
        <w:rPr>
          <w:color w:val="231F20"/>
          <w:spacing w:val="-4"/>
          <w:sz w:val="16"/>
        </w:rPr>
        <w:t> </w:t>
      </w:r>
      <w:r>
        <w:rPr>
          <w:i/>
          <w:color w:val="231F20"/>
          <w:sz w:val="16"/>
        </w:rPr>
        <w:t>First</w:t>
      </w:r>
      <w:r>
        <w:rPr>
          <w:i/>
          <w:color w:val="231F20"/>
          <w:spacing w:val="-5"/>
          <w:sz w:val="16"/>
        </w:rPr>
        <w:t> </w:t>
      </w:r>
      <w:r>
        <w:rPr>
          <w:i/>
          <w:color w:val="231F20"/>
          <w:sz w:val="16"/>
        </w:rPr>
        <w:t>Bank</w:t>
      </w:r>
      <w:r>
        <w:rPr>
          <w:color w:val="231F20"/>
          <w:sz w:val="16"/>
        </w:rPr>
        <w:t>,</w:t>
      </w:r>
      <w:r>
        <w:rPr>
          <w:color w:val="231F20"/>
          <w:spacing w:val="-4"/>
          <w:sz w:val="16"/>
        </w:rPr>
        <w:t> </w:t>
      </w:r>
      <w:r>
        <w:rPr>
          <w:color w:val="231F20"/>
          <w:sz w:val="16"/>
        </w:rPr>
        <w:t>para.</w:t>
      </w:r>
      <w:r>
        <w:rPr>
          <w:color w:val="231F20"/>
          <w:spacing w:val="-4"/>
          <w:sz w:val="16"/>
        </w:rPr>
        <w:t> </w:t>
      </w:r>
      <w:r>
        <w:rPr>
          <w:color w:val="231F20"/>
          <w:spacing w:val="-5"/>
          <w:sz w:val="16"/>
        </w:rPr>
        <w:t>20.</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On</w:t>
      </w:r>
      <w:r>
        <w:rPr>
          <w:color w:val="231F20"/>
          <w:spacing w:val="-1"/>
          <w:sz w:val="16"/>
        </w:rPr>
        <w:t> </w:t>
      </w:r>
      <w:r>
        <w:rPr>
          <w:color w:val="231F20"/>
          <w:sz w:val="16"/>
        </w:rPr>
        <w:t>the</w:t>
      </w:r>
      <w:r>
        <w:rPr>
          <w:color w:val="231F20"/>
          <w:spacing w:val="1"/>
          <w:sz w:val="16"/>
        </w:rPr>
        <w:t> </w:t>
      </w:r>
      <w:r>
        <w:rPr>
          <w:color w:val="231F20"/>
          <w:sz w:val="16"/>
        </w:rPr>
        <w:t>UCTD</w:t>
      </w:r>
      <w:r>
        <w:rPr>
          <w:color w:val="231F20"/>
          <w:spacing w:val="1"/>
          <w:sz w:val="16"/>
        </w:rPr>
        <w:t> </w:t>
      </w:r>
      <w:r>
        <w:rPr>
          <w:color w:val="231F20"/>
          <w:sz w:val="16"/>
        </w:rPr>
        <w:t>and the</w:t>
      </w:r>
      <w:r>
        <w:rPr>
          <w:color w:val="231F20"/>
          <w:spacing w:val="1"/>
          <w:sz w:val="16"/>
        </w:rPr>
        <w:t> </w:t>
      </w:r>
      <w:r>
        <w:rPr>
          <w:color w:val="231F20"/>
          <w:sz w:val="16"/>
        </w:rPr>
        <w:t>aim of consumer protection, see ECJ</w:t>
      </w:r>
      <w:r>
        <w:rPr>
          <w:color w:val="231F20"/>
          <w:spacing w:val="1"/>
          <w:sz w:val="16"/>
        </w:rPr>
        <w:t> </w:t>
      </w:r>
      <w:r>
        <w:rPr>
          <w:color w:val="231F20"/>
          <w:sz w:val="16"/>
        </w:rPr>
        <w:t>25</w:t>
      </w:r>
      <w:r>
        <w:rPr>
          <w:color w:val="231F20"/>
          <w:spacing w:val="1"/>
          <w:sz w:val="16"/>
        </w:rPr>
        <w:t> </w:t>
      </w:r>
      <w:r>
        <w:rPr>
          <w:color w:val="231F20"/>
          <w:sz w:val="16"/>
        </w:rPr>
        <w:t>Nov. 2020,</w:t>
      </w:r>
      <w:r>
        <w:rPr>
          <w:color w:val="231F20"/>
          <w:spacing w:val="1"/>
          <w:sz w:val="16"/>
        </w:rPr>
        <w:t> </w:t>
      </w:r>
      <w:r>
        <w:rPr>
          <w:color w:val="231F20"/>
          <w:spacing w:val="-2"/>
          <w:sz w:val="16"/>
        </w:rPr>
        <w:t>ECLI:EU:C:2020:954,</w:t>
      </w:r>
    </w:p>
    <w:p>
      <w:pPr>
        <w:spacing w:before="39"/>
        <w:ind w:left="866" w:right="0" w:firstLine="0"/>
        <w:jc w:val="both"/>
        <w:rPr>
          <w:sz w:val="16"/>
        </w:rPr>
      </w:pPr>
      <w:r>
        <w:rPr>
          <w:i/>
          <w:color w:val="231F20"/>
          <w:sz w:val="16"/>
        </w:rPr>
        <w:t>Banca</w:t>
      </w:r>
      <w:r>
        <w:rPr>
          <w:i/>
          <w:color w:val="231F20"/>
          <w:spacing w:val="1"/>
          <w:sz w:val="16"/>
        </w:rPr>
        <w:t> </w:t>
      </w:r>
      <w:r>
        <w:rPr>
          <w:i/>
          <w:color w:val="231F20"/>
          <w:sz w:val="16"/>
        </w:rPr>
        <w:t>B.</w:t>
      </w:r>
      <w:r>
        <w:rPr>
          <w:color w:val="231F20"/>
          <w:sz w:val="16"/>
        </w:rPr>
        <w:t>,</w:t>
      </w:r>
      <w:r>
        <w:rPr>
          <w:color w:val="231F20"/>
          <w:spacing w:val="2"/>
          <w:sz w:val="16"/>
        </w:rPr>
        <w:t> </w:t>
      </w:r>
      <w:r>
        <w:rPr>
          <w:color w:val="231F20"/>
          <w:sz w:val="16"/>
        </w:rPr>
        <w:t>para.</w:t>
      </w:r>
      <w:r>
        <w:rPr>
          <w:color w:val="231F20"/>
          <w:spacing w:val="1"/>
          <w:sz w:val="16"/>
        </w:rPr>
        <w:t> </w:t>
      </w:r>
      <w:r>
        <w:rPr>
          <w:color w:val="231F20"/>
          <w:spacing w:val="-5"/>
          <w:sz w:val="16"/>
        </w:rPr>
        <w:t>37.</w:t>
      </w:r>
    </w:p>
    <w:p>
      <w:pPr>
        <w:pStyle w:val="ListParagraph"/>
        <w:numPr>
          <w:ilvl w:val="0"/>
          <w:numId w:val="3"/>
        </w:numPr>
        <w:tabs>
          <w:tab w:pos="865" w:val="left" w:leader="none"/>
        </w:tabs>
        <w:spacing w:line="240" w:lineRule="auto" w:before="33" w:after="0"/>
        <w:ind w:left="865" w:right="0" w:hanging="353"/>
        <w:jc w:val="both"/>
        <w:rPr>
          <w:sz w:val="16"/>
        </w:rPr>
      </w:pPr>
      <w:r>
        <w:rPr>
          <w:color w:val="231F20"/>
          <w:sz w:val="16"/>
        </w:rPr>
        <w:t>On</w:t>
      </w:r>
      <w:r>
        <w:rPr>
          <w:color w:val="231F20"/>
          <w:spacing w:val="3"/>
          <w:sz w:val="16"/>
        </w:rPr>
        <w:t> </w:t>
      </w:r>
      <w:r>
        <w:rPr>
          <w:color w:val="231F20"/>
          <w:sz w:val="16"/>
        </w:rPr>
        <w:t>market</w:t>
      </w:r>
      <w:r>
        <w:rPr>
          <w:color w:val="231F20"/>
          <w:spacing w:val="2"/>
          <w:sz w:val="16"/>
        </w:rPr>
        <w:t> </w:t>
      </w:r>
      <w:r>
        <w:rPr>
          <w:color w:val="231F20"/>
          <w:sz w:val="16"/>
        </w:rPr>
        <w:t>correction,</w:t>
      </w:r>
      <w:r>
        <w:rPr>
          <w:color w:val="231F20"/>
          <w:spacing w:val="4"/>
          <w:sz w:val="16"/>
        </w:rPr>
        <w:t> </w:t>
      </w:r>
      <w:r>
        <w:rPr>
          <w:color w:val="231F20"/>
          <w:sz w:val="16"/>
        </w:rPr>
        <w:t>S.</w:t>
      </w:r>
      <w:r>
        <w:rPr>
          <w:color w:val="231F20"/>
          <w:spacing w:val="4"/>
          <w:sz w:val="16"/>
        </w:rPr>
        <w:t> </w:t>
      </w:r>
      <w:r>
        <w:rPr>
          <w:color w:val="231F20"/>
          <w:sz w:val="16"/>
        </w:rPr>
        <w:t>G</w:t>
      </w:r>
      <w:r>
        <w:rPr>
          <w:color w:val="231F20"/>
          <w:sz w:val="11"/>
        </w:rPr>
        <w:t>RUNDMANN</w:t>
      </w:r>
      <w:r>
        <w:rPr>
          <w:color w:val="231F20"/>
          <w:spacing w:val="16"/>
          <w:sz w:val="11"/>
        </w:rPr>
        <w:t> </w:t>
      </w:r>
      <w:r>
        <w:rPr>
          <w:color w:val="231F20"/>
          <w:sz w:val="16"/>
        </w:rPr>
        <w:t>&amp;</w:t>
      </w:r>
      <w:r>
        <w:rPr>
          <w:color w:val="231F20"/>
          <w:spacing w:val="4"/>
          <w:sz w:val="16"/>
        </w:rPr>
        <w:t> </w:t>
      </w:r>
      <w:r>
        <w:rPr>
          <w:color w:val="231F20"/>
          <w:sz w:val="16"/>
        </w:rPr>
        <w:t>N.</w:t>
      </w:r>
      <w:r>
        <w:rPr>
          <w:color w:val="231F20"/>
          <w:spacing w:val="1"/>
          <w:sz w:val="16"/>
        </w:rPr>
        <w:t> </w:t>
      </w:r>
      <w:r>
        <w:rPr>
          <w:color w:val="231F20"/>
          <w:sz w:val="16"/>
        </w:rPr>
        <w:t>B</w:t>
      </w:r>
      <w:r>
        <w:rPr>
          <w:color w:val="231F20"/>
          <w:sz w:val="11"/>
        </w:rPr>
        <w:t>ADENHOOP</w:t>
      </w:r>
      <w:r>
        <w:rPr>
          <w:color w:val="231F20"/>
          <w:sz w:val="16"/>
        </w:rPr>
        <w:t>,</w:t>
      </w:r>
      <w:r>
        <w:rPr>
          <w:color w:val="231F20"/>
          <w:spacing w:val="4"/>
          <w:sz w:val="16"/>
        </w:rPr>
        <w:t> </w:t>
      </w:r>
      <w:r>
        <w:rPr>
          <w:rFonts w:ascii="Arial" w:hAnsi="Arial"/>
          <w:color w:val="231F20"/>
          <w:sz w:val="16"/>
        </w:rPr>
        <w:t>‘</w:t>
      </w:r>
      <w:r>
        <w:rPr>
          <w:color w:val="231F20"/>
          <w:sz w:val="16"/>
        </w:rPr>
        <w:t>Foreign</w:t>
      </w:r>
      <w:r>
        <w:rPr>
          <w:color w:val="231F20"/>
          <w:spacing w:val="4"/>
          <w:sz w:val="16"/>
        </w:rPr>
        <w:t> </w:t>
      </w:r>
      <w:r>
        <w:rPr>
          <w:color w:val="231F20"/>
          <w:sz w:val="16"/>
        </w:rPr>
        <w:t>Currency</w:t>
      </w:r>
      <w:r>
        <w:rPr>
          <w:color w:val="231F20"/>
          <w:spacing w:val="4"/>
          <w:sz w:val="16"/>
        </w:rPr>
        <w:t> </w:t>
      </w:r>
      <w:r>
        <w:rPr>
          <w:color w:val="231F20"/>
          <w:sz w:val="16"/>
        </w:rPr>
        <w:t>Loans</w:t>
      </w:r>
      <w:r>
        <w:rPr>
          <w:rFonts w:ascii="Arial" w:hAnsi="Arial"/>
          <w:color w:val="231F20"/>
          <w:sz w:val="16"/>
        </w:rPr>
        <w:t>’</w:t>
      </w:r>
      <w:r>
        <w:rPr>
          <w:color w:val="231F20"/>
          <w:sz w:val="16"/>
        </w:rPr>
        <w:t>,</w:t>
      </w:r>
      <w:r>
        <w:rPr>
          <w:color w:val="231F20"/>
          <w:spacing w:val="3"/>
          <w:sz w:val="16"/>
        </w:rPr>
        <w:t> </w:t>
      </w:r>
      <w:r>
        <w:rPr>
          <w:color w:val="231F20"/>
          <w:sz w:val="16"/>
        </w:rPr>
        <w:t>p</w:t>
      </w:r>
      <w:r>
        <w:rPr>
          <w:color w:val="231F20"/>
          <w:spacing w:val="3"/>
          <w:sz w:val="16"/>
        </w:rPr>
        <w:t> </w:t>
      </w:r>
      <w:r>
        <w:rPr>
          <w:color w:val="231F20"/>
          <w:spacing w:val="-5"/>
          <w:sz w:val="16"/>
        </w:rPr>
        <w:t>25.</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For</w:t>
      </w:r>
      <w:r>
        <w:rPr>
          <w:color w:val="231F20"/>
          <w:spacing w:val="3"/>
          <w:sz w:val="16"/>
        </w:rPr>
        <w:t> </w:t>
      </w:r>
      <w:r>
        <w:rPr>
          <w:color w:val="231F20"/>
          <w:sz w:val="16"/>
        </w:rPr>
        <w:t>example,</w:t>
      </w:r>
      <w:r>
        <w:rPr>
          <w:color w:val="231F20"/>
          <w:spacing w:val="4"/>
          <w:sz w:val="16"/>
        </w:rPr>
        <w:t> </w:t>
      </w:r>
      <w:r>
        <w:rPr>
          <w:color w:val="231F20"/>
          <w:sz w:val="16"/>
        </w:rPr>
        <w:t>Art.</w:t>
      </w:r>
      <w:r>
        <w:rPr>
          <w:color w:val="231F20"/>
          <w:spacing w:val="4"/>
          <w:sz w:val="16"/>
        </w:rPr>
        <w:t> </w:t>
      </w:r>
      <w:r>
        <w:rPr>
          <w:color w:val="231F20"/>
          <w:sz w:val="16"/>
        </w:rPr>
        <w:t>61</w:t>
      </w:r>
      <w:r>
        <w:rPr>
          <w:color w:val="231F20"/>
          <w:spacing w:val="4"/>
          <w:sz w:val="16"/>
        </w:rPr>
        <w:t> </w:t>
      </w:r>
      <w:r>
        <w:rPr>
          <w:color w:val="231F20"/>
          <w:sz w:val="16"/>
        </w:rPr>
        <w:t>of</w:t>
      </w:r>
      <w:r>
        <w:rPr>
          <w:color w:val="231F20"/>
          <w:spacing w:val="5"/>
          <w:sz w:val="16"/>
        </w:rPr>
        <w:t> </w:t>
      </w:r>
      <w:r>
        <w:rPr>
          <w:color w:val="231F20"/>
          <w:sz w:val="16"/>
        </w:rPr>
        <w:t>Real</w:t>
      </w:r>
      <w:r>
        <w:rPr>
          <w:color w:val="231F20"/>
          <w:spacing w:val="4"/>
          <w:sz w:val="16"/>
        </w:rPr>
        <w:t> </w:t>
      </w:r>
      <w:r>
        <w:rPr>
          <w:color w:val="231F20"/>
          <w:sz w:val="16"/>
        </w:rPr>
        <w:t>Decreto</w:t>
      </w:r>
      <w:r>
        <w:rPr>
          <w:color w:val="231F20"/>
          <w:spacing w:val="4"/>
          <w:sz w:val="16"/>
        </w:rPr>
        <w:t> </w:t>
      </w:r>
      <w:r>
        <w:rPr>
          <w:color w:val="231F20"/>
          <w:sz w:val="16"/>
        </w:rPr>
        <w:t>Legislativo</w:t>
      </w:r>
      <w:r>
        <w:rPr>
          <w:color w:val="231F20"/>
          <w:spacing w:val="3"/>
          <w:sz w:val="16"/>
        </w:rPr>
        <w:t> </w:t>
      </w:r>
      <w:r>
        <w:rPr>
          <w:color w:val="231F20"/>
          <w:spacing w:val="-2"/>
          <w:sz w:val="16"/>
        </w:rPr>
        <w:t>1/2007.</w:t>
      </w:r>
    </w:p>
    <w:p>
      <w:pPr>
        <w:pStyle w:val="ListParagraph"/>
        <w:numPr>
          <w:ilvl w:val="0"/>
          <w:numId w:val="3"/>
        </w:numPr>
        <w:tabs>
          <w:tab w:pos="866" w:val="left" w:leader="none"/>
        </w:tabs>
        <w:spacing w:line="290" w:lineRule="auto" w:before="37" w:after="0"/>
        <w:ind w:left="866" w:right="868" w:hanging="354"/>
        <w:jc w:val="both"/>
        <w:rPr>
          <w:sz w:val="16"/>
        </w:rPr>
      </w:pPr>
      <w:r>
        <w:rPr>
          <w:color w:val="231F20"/>
          <w:sz w:val="16"/>
        </w:rPr>
        <w:t>Article</w:t>
      </w:r>
      <w:r>
        <w:rPr>
          <w:color w:val="231F20"/>
          <w:spacing w:val="-4"/>
          <w:sz w:val="16"/>
        </w:rPr>
        <w:t> </w:t>
      </w:r>
      <w:r>
        <w:rPr>
          <w:color w:val="231F20"/>
          <w:sz w:val="16"/>
        </w:rPr>
        <w:t>7(1)(d)</w:t>
      </w:r>
      <w:r>
        <w:rPr>
          <w:color w:val="231F20"/>
          <w:spacing w:val="-3"/>
          <w:sz w:val="16"/>
        </w:rPr>
        <w:t> </w:t>
      </w:r>
      <w:r>
        <w:rPr>
          <w:color w:val="231F20"/>
          <w:sz w:val="16"/>
        </w:rPr>
        <w:t>Directive</w:t>
      </w:r>
      <w:r>
        <w:rPr>
          <w:color w:val="231F20"/>
          <w:spacing w:val="-5"/>
          <w:sz w:val="16"/>
        </w:rPr>
        <w:t> </w:t>
      </w:r>
      <w:r>
        <w:rPr>
          <w:color w:val="231F20"/>
          <w:sz w:val="16"/>
        </w:rPr>
        <w:t>(EU)</w:t>
      </w:r>
      <w:r>
        <w:rPr>
          <w:color w:val="231F20"/>
          <w:spacing w:val="-3"/>
          <w:sz w:val="16"/>
        </w:rPr>
        <w:t> </w:t>
      </w:r>
      <w:r>
        <w:rPr>
          <w:color w:val="231F20"/>
          <w:sz w:val="16"/>
        </w:rPr>
        <w:t>2019/771</w:t>
      </w:r>
      <w:r>
        <w:rPr>
          <w:color w:val="231F20"/>
          <w:spacing w:val="-3"/>
          <w:sz w:val="16"/>
        </w:rPr>
        <w:t> </w:t>
      </w:r>
      <w:r>
        <w:rPr>
          <w:color w:val="231F20"/>
          <w:sz w:val="16"/>
        </w:rPr>
        <w:t>of</w:t>
      </w:r>
      <w:r>
        <w:rPr>
          <w:color w:val="231F20"/>
          <w:spacing w:val="-1"/>
          <w:sz w:val="16"/>
        </w:rPr>
        <w:t> </w:t>
      </w:r>
      <w:r>
        <w:rPr>
          <w:color w:val="231F20"/>
          <w:sz w:val="16"/>
        </w:rPr>
        <w:t>the</w:t>
      </w:r>
      <w:r>
        <w:rPr>
          <w:color w:val="231F20"/>
          <w:spacing w:val="-3"/>
          <w:sz w:val="16"/>
        </w:rPr>
        <w:t> </w:t>
      </w:r>
      <w:r>
        <w:rPr>
          <w:color w:val="231F20"/>
          <w:sz w:val="16"/>
        </w:rPr>
        <w:t>European</w:t>
      </w:r>
      <w:r>
        <w:rPr>
          <w:color w:val="231F20"/>
          <w:spacing w:val="-3"/>
          <w:sz w:val="16"/>
        </w:rPr>
        <w:t> </w:t>
      </w:r>
      <w:r>
        <w:rPr>
          <w:color w:val="231F20"/>
          <w:sz w:val="16"/>
        </w:rPr>
        <w:t>Parliament</w:t>
      </w:r>
      <w:r>
        <w:rPr>
          <w:color w:val="231F20"/>
          <w:spacing w:val="-1"/>
          <w:sz w:val="16"/>
        </w:rPr>
        <w:t> </w:t>
      </w:r>
      <w:r>
        <w:rPr>
          <w:color w:val="231F20"/>
          <w:sz w:val="16"/>
        </w:rPr>
        <w:t>and</w:t>
      </w:r>
      <w:r>
        <w:rPr>
          <w:color w:val="231F20"/>
          <w:spacing w:val="-3"/>
          <w:sz w:val="16"/>
        </w:rPr>
        <w:t> </w:t>
      </w:r>
      <w:r>
        <w:rPr>
          <w:color w:val="231F20"/>
          <w:sz w:val="16"/>
        </w:rPr>
        <w:t>of</w:t>
      </w:r>
      <w:r>
        <w:rPr>
          <w:color w:val="231F20"/>
          <w:spacing w:val="-1"/>
          <w:sz w:val="16"/>
        </w:rPr>
        <w:t> </w:t>
      </w:r>
      <w:r>
        <w:rPr>
          <w:color w:val="231F20"/>
          <w:sz w:val="16"/>
        </w:rPr>
        <w:t>the</w:t>
      </w:r>
      <w:r>
        <w:rPr>
          <w:color w:val="231F20"/>
          <w:spacing w:val="-3"/>
          <w:sz w:val="16"/>
        </w:rPr>
        <w:t> </w:t>
      </w:r>
      <w:r>
        <w:rPr>
          <w:color w:val="231F20"/>
          <w:sz w:val="16"/>
        </w:rPr>
        <w:t>Council</w:t>
      </w:r>
      <w:r>
        <w:rPr>
          <w:color w:val="231F20"/>
          <w:spacing w:val="-4"/>
          <w:sz w:val="16"/>
        </w:rPr>
        <w:t> </w:t>
      </w:r>
      <w:r>
        <w:rPr>
          <w:color w:val="231F20"/>
          <w:sz w:val="16"/>
        </w:rPr>
        <w:t>of</w:t>
      </w:r>
      <w:r>
        <w:rPr>
          <w:color w:val="231F20"/>
          <w:spacing w:val="-3"/>
          <w:sz w:val="16"/>
        </w:rPr>
        <w:t> </w:t>
      </w:r>
      <w:r>
        <w:rPr>
          <w:color w:val="231F20"/>
          <w:sz w:val="16"/>
        </w:rPr>
        <w:t>20</w:t>
      </w:r>
      <w:r>
        <w:rPr>
          <w:color w:val="231F20"/>
          <w:spacing w:val="-3"/>
          <w:sz w:val="16"/>
        </w:rPr>
        <w:t> </w:t>
      </w:r>
      <w:r>
        <w:rPr>
          <w:color w:val="231F20"/>
          <w:sz w:val="16"/>
        </w:rPr>
        <w:t>May</w:t>
      </w:r>
      <w:r>
        <w:rPr>
          <w:color w:val="231F20"/>
          <w:spacing w:val="40"/>
          <w:sz w:val="16"/>
        </w:rPr>
        <w:t> </w:t>
      </w:r>
      <w:r>
        <w:rPr>
          <w:color w:val="231F20"/>
          <w:sz w:val="16"/>
        </w:rPr>
        <w:t>2019 on certain aspects concerning contracts for the sale of goods, amending Regulation (EU)</w:t>
      </w:r>
      <w:r>
        <w:rPr>
          <w:color w:val="231F20"/>
          <w:spacing w:val="40"/>
          <w:sz w:val="16"/>
        </w:rPr>
        <w:t> </w:t>
      </w:r>
      <w:r>
        <w:rPr>
          <w:color w:val="231F20"/>
          <w:sz w:val="16"/>
        </w:rPr>
        <w:t>2017/2394</w:t>
      </w:r>
      <w:r>
        <w:rPr>
          <w:color w:val="231F20"/>
          <w:spacing w:val="-5"/>
          <w:sz w:val="16"/>
        </w:rPr>
        <w:t> </w:t>
      </w:r>
      <w:r>
        <w:rPr>
          <w:color w:val="231F20"/>
          <w:sz w:val="16"/>
        </w:rPr>
        <w:t>and</w:t>
      </w:r>
      <w:r>
        <w:rPr>
          <w:color w:val="231F20"/>
          <w:spacing w:val="-5"/>
          <w:sz w:val="16"/>
        </w:rPr>
        <w:t> </w:t>
      </w:r>
      <w:r>
        <w:rPr>
          <w:color w:val="231F20"/>
          <w:sz w:val="16"/>
        </w:rPr>
        <w:t>Directive</w:t>
      </w:r>
      <w:r>
        <w:rPr>
          <w:color w:val="231F20"/>
          <w:spacing w:val="-5"/>
          <w:sz w:val="16"/>
        </w:rPr>
        <w:t> </w:t>
      </w:r>
      <w:r>
        <w:rPr>
          <w:color w:val="231F20"/>
          <w:sz w:val="16"/>
        </w:rPr>
        <w:t>2009/22/EC,</w:t>
      </w:r>
      <w:r>
        <w:rPr>
          <w:color w:val="231F20"/>
          <w:spacing w:val="-5"/>
          <w:sz w:val="16"/>
        </w:rPr>
        <w:t> </w:t>
      </w:r>
      <w:r>
        <w:rPr>
          <w:color w:val="231F20"/>
          <w:sz w:val="16"/>
        </w:rPr>
        <w:t>and</w:t>
      </w:r>
      <w:r>
        <w:rPr>
          <w:color w:val="231F20"/>
          <w:spacing w:val="-5"/>
          <w:sz w:val="16"/>
        </w:rPr>
        <w:t> </w:t>
      </w:r>
      <w:r>
        <w:rPr>
          <w:color w:val="231F20"/>
          <w:sz w:val="16"/>
        </w:rPr>
        <w:t>repealing</w:t>
      </w:r>
      <w:r>
        <w:rPr>
          <w:color w:val="231F20"/>
          <w:spacing w:val="-4"/>
          <w:sz w:val="16"/>
        </w:rPr>
        <w:t> </w:t>
      </w:r>
      <w:r>
        <w:rPr>
          <w:color w:val="231F20"/>
          <w:sz w:val="16"/>
        </w:rPr>
        <w:t>Directive</w:t>
      </w:r>
      <w:r>
        <w:rPr>
          <w:color w:val="231F20"/>
          <w:spacing w:val="-5"/>
          <w:sz w:val="16"/>
        </w:rPr>
        <w:t> </w:t>
      </w:r>
      <w:r>
        <w:rPr>
          <w:color w:val="231F20"/>
          <w:sz w:val="16"/>
        </w:rPr>
        <w:t>1999/44/EC,</w:t>
      </w:r>
      <w:r>
        <w:rPr>
          <w:color w:val="231F20"/>
          <w:spacing w:val="-5"/>
          <w:sz w:val="16"/>
        </w:rPr>
        <w:t> </w:t>
      </w:r>
      <w:r>
        <w:rPr>
          <w:color w:val="231F20"/>
          <w:sz w:val="16"/>
        </w:rPr>
        <w:t>data.europa.eu/eli/</w:t>
      </w:r>
      <w:r>
        <w:rPr>
          <w:color w:val="231F20"/>
          <w:spacing w:val="40"/>
          <w:sz w:val="16"/>
        </w:rPr>
        <w:t> </w:t>
      </w:r>
      <w:r>
        <w:rPr>
          <w:color w:val="231F20"/>
          <w:sz w:val="16"/>
        </w:rPr>
        <w:t>dir/2019/771/oj; Art. 8(1)(b) Directive (EU) 2019/770 of the European Parliament and of the</w:t>
      </w:r>
      <w:r>
        <w:rPr>
          <w:color w:val="231F20"/>
          <w:spacing w:val="40"/>
          <w:sz w:val="16"/>
        </w:rPr>
        <w:t> </w:t>
      </w:r>
      <w:r>
        <w:rPr>
          <w:color w:val="231F20"/>
          <w:sz w:val="16"/>
        </w:rPr>
        <w:t>Council of 20 May 2019 on certain aspects concerning contracts for the supply of digital content</w:t>
      </w:r>
      <w:r>
        <w:rPr>
          <w:color w:val="231F20"/>
          <w:spacing w:val="40"/>
          <w:sz w:val="16"/>
        </w:rPr>
        <w:t> </w:t>
      </w:r>
      <w:r>
        <w:rPr>
          <w:color w:val="231F20"/>
          <w:sz w:val="16"/>
        </w:rPr>
        <w:t>and</w:t>
      </w:r>
      <w:r>
        <w:rPr>
          <w:color w:val="231F20"/>
          <w:spacing w:val="-5"/>
          <w:sz w:val="16"/>
        </w:rPr>
        <w:t> </w:t>
      </w:r>
      <w:r>
        <w:rPr>
          <w:color w:val="231F20"/>
          <w:sz w:val="16"/>
        </w:rPr>
        <w:t>digital</w:t>
      </w:r>
      <w:r>
        <w:rPr>
          <w:color w:val="231F20"/>
          <w:spacing w:val="-5"/>
          <w:sz w:val="16"/>
        </w:rPr>
        <w:t> </w:t>
      </w:r>
      <w:r>
        <w:rPr>
          <w:color w:val="231F20"/>
          <w:sz w:val="16"/>
        </w:rPr>
        <w:t>services,</w:t>
      </w:r>
      <w:r>
        <w:rPr>
          <w:color w:val="231F20"/>
          <w:spacing w:val="-5"/>
          <w:sz w:val="16"/>
        </w:rPr>
        <w:t> </w:t>
      </w:r>
      <w:r>
        <w:rPr>
          <w:color w:val="231F20"/>
          <w:sz w:val="16"/>
        </w:rPr>
        <w:t>data.europa.eu/eli/dir/2019/770/oj;</w:t>
      </w:r>
      <w:r>
        <w:rPr>
          <w:color w:val="231F20"/>
          <w:spacing w:val="-5"/>
          <w:sz w:val="16"/>
        </w:rPr>
        <w:t> </w:t>
      </w:r>
      <w:r>
        <w:rPr>
          <w:color w:val="231F20"/>
          <w:sz w:val="16"/>
        </w:rPr>
        <w:t>Art.</w:t>
      </w:r>
      <w:r>
        <w:rPr>
          <w:color w:val="231F20"/>
          <w:spacing w:val="-5"/>
          <w:sz w:val="16"/>
        </w:rPr>
        <w:t> </w:t>
      </w:r>
      <w:r>
        <w:rPr>
          <w:color w:val="231F20"/>
          <w:sz w:val="16"/>
        </w:rPr>
        <w:t>5(2)</w:t>
      </w:r>
      <w:r>
        <w:rPr>
          <w:color w:val="231F20"/>
          <w:spacing w:val="-5"/>
          <w:sz w:val="16"/>
        </w:rPr>
        <w:t> </w:t>
      </w:r>
      <w:r>
        <w:rPr>
          <w:color w:val="231F20"/>
          <w:sz w:val="16"/>
        </w:rPr>
        <w:t>Directive</w:t>
      </w:r>
      <w:r>
        <w:rPr>
          <w:color w:val="231F20"/>
          <w:spacing w:val="-6"/>
          <w:sz w:val="16"/>
        </w:rPr>
        <w:t> </w:t>
      </w:r>
      <w:r>
        <w:rPr>
          <w:color w:val="231F20"/>
          <w:sz w:val="16"/>
        </w:rPr>
        <w:t>2008/122/EC</w:t>
      </w:r>
      <w:r>
        <w:rPr>
          <w:color w:val="231F20"/>
          <w:spacing w:val="-5"/>
          <w:sz w:val="16"/>
        </w:rPr>
        <w:t> </w:t>
      </w:r>
      <w:r>
        <w:rPr>
          <w:color w:val="231F20"/>
          <w:sz w:val="16"/>
        </w:rPr>
        <w:t>of</w:t>
      </w:r>
      <w:r>
        <w:rPr>
          <w:color w:val="231F20"/>
          <w:spacing w:val="-2"/>
          <w:sz w:val="16"/>
        </w:rPr>
        <w:t> </w:t>
      </w:r>
      <w:r>
        <w:rPr>
          <w:color w:val="231F20"/>
          <w:sz w:val="16"/>
        </w:rPr>
        <w:t>the</w:t>
      </w:r>
      <w:r>
        <w:rPr>
          <w:color w:val="231F20"/>
          <w:spacing w:val="40"/>
          <w:sz w:val="16"/>
        </w:rPr>
        <w:t> </w:t>
      </w:r>
      <w:r>
        <w:rPr>
          <w:color w:val="231F20"/>
          <w:sz w:val="16"/>
        </w:rPr>
        <w:t>European</w:t>
      </w:r>
      <w:r>
        <w:rPr>
          <w:color w:val="231F20"/>
          <w:spacing w:val="-10"/>
          <w:sz w:val="16"/>
        </w:rPr>
        <w:t> </w:t>
      </w:r>
      <w:r>
        <w:rPr>
          <w:color w:val="231F20"/>
          <w:sz w:val="16"/>
        </w:rPr>
        <w:t>Parliament</w:t>
      </w:r>
      <w:r>
        <w:rPr>
          <w:color w:val="231F20"/>
          <w:spacing w:val="-10"/>
          <w:sz w:val="16"/>
        </w:rPr>
        <w:t> </w:t>
      </w:r>
      <w:r>
        <w:rPr>
          <w:color w:val="231F20"/>
          <w:sz w:val="16"/>
        </w:rPr>
        <w:t>and</w:t>
      </w:r>
      <w:r>
        <w:rPr>
          <w:color w:val="231F20"/>
          <w:spacing w:val="-9"/>
          <w:sz w:val="16"/>
        </w:rPr>
        <w:t> </w:t>
      </w:r>
      <w:r>
        <w:rPr>
          <w:color w:val="231F20"/>
          <w:sz w:val="16"/>
        </w:rPr>
        <w:t>of</w:t>
      </w:r>
      <w:r>
        <w:rPr>
          <w:color w:val="231F20"/>
          <w:spacing w:val="-10"/>
          <w:sz w:val="16"/>
        </w:rPr>
        <w:t> </w:t>
      </w:r>
      <w:r>
        <w:rPr>
          <w:color w:val="231F20"/>
          <w:sz w:val="16"/>
        </w:rPr>
        <w:t>the</w:t>
      </w:r>
      <w:r>
        <w:rPr>
          <w:color w:val="231F20"/>
          <w:spacing w:val="-10"/>
          <w:sz w:val="16"/>
        </w:rPr>
        <w:t> </w:t>
      </w:r>
      <w:r>
        <w:rPr>
          <w:color w:val="231F20"/>
          <w:sz w:val="16"/>
        </w:rPr>
        <w:t>Council</w:t>
      </w:r>
      <w:r>
        <w:rPr>
          <w:color w:val="231F20"/>
          <w:spacing w:val="-9"/>
          <w:sz w:val="16"/>
        </w:rPr>
        <w:t> </w:t>
      </w:r>
      <w:r>
        <w:rPr>
          <w:color w:val="231F20"/>
          <w:sz w:val="16"/>
        </w:rPr>
        <w:t>of</w:t>
      </w:r>
      <w:r>
        <w:rPr>
          <w:color w:val="231F20"/>
          <w:spacing w:val="-10"/>
          <w:sz w:val="16"/>
        </w:rPr>
        <w:t> </w:t>
      </w:r>
      <w:r>
        <w:rPr>
          <w:color w:val="231F20"/>
          <w:sz w:val="16"/>
        </w:rPr>
        <w:t>14</w:t>
      </w:r>
      <w:r>
        <w:rPr>
          <w:color w:val="231F20"/>
          <w:spacing w:val="-10"/>
          <w:sz w:val="16"/>
        </w:rPr>
        <w:t> </w:t>
      </w:r>
      <w:r>
        <w:rPr>
          <w:color w:val="231F20"/>
          <w:sz w:val="16"/>
        </w:rPr>
        <w:t>Jan.</w:t>
      </w:r>
      <w:r>
        <w:rPr>
          <w:color w:val="231F20"/>
          <w:spacing w:val="-9"/>
          <w:sz w:val="16"/>
        </w:rPr>
        <w:t> </w:t>
      </w:r>
      <w:r>
        <w:rPr>
          <w:color w:val="231F20"/>
          <w:sz w:val="16"/>
        </w:rPr>
        <w:t>2009</w:t>
      </w:r>
      <w:r>
        <w:rPr>
          <w:color w:val="231F20"/>
          <w:spacing w:val="-10"/>
          <w:sz w:val="16"/>
        </w:rPr>
        <w:t> </w:t>
      </w:r>
      <w:r>
        <w:rPr>
          <w:color w:val="231F20"/>
          <w:sz w:val="16"/>
        </w:rPr>
        <w:t>on</w:t>
      </w:r>
      <w:r>
        <w:rPr>
          <w:color w:val="231F20"/>
          <w:spacing w:val="-10"/>
          <w:sz w:val="16"/>
        </w:rPr>
        <w:t> </w:t>
      </w:r>
      <w:r>
        <w:rPr>
          <w:color w:val="231F20"/>
          <w:sz w:val="16"/>
        </w:rPr>
        <w:t>the</w:t>
      </w:r>
      <w:r>
        <w:rPr>
          <w:color w:val="231F20"/>
          <w:spacing w:val="-9"/>
          <w:sz w:val="16"/>
        </w:rPr>
        <w:t> </w:t>
      </w:r>
      <w:r>
        <w:rPr>
          <w:color w:val="231F20"/>
          <w:sz w:val="16"/>
        </w:rPr>
        <w:t>protection</w:t>
      </w:r>
      <w:r>
        <w:rPr>
          <w:color w:val="231F20"/>
          <w:spacing w:val="-10"/>
          <w:sz w:val="16"/>
        </w:rPr>
        <w:t> </w:t>
      </w:r>
      <w:r>
        <w:rPr>
          <w:color w:val="231F20"/>
          <w:sz w:val="16"/>
        </w:rPr>
        <w:t>of</w:t>
      </w:r>
      <w:r>
        <w:rPr>
          <w:color w:val="231F20"/>
          <w:spacing w:val="-10"/>
          <w:sz w:val="16"/>
        </w:rPr>
        <w:t> </w:t>
      </w:r>
      <w:r>
        <w:rPr>
          <w:color w:val="231F20"/>
          <w:sz w:val="16"/>
        </w:rPr>
        <w:t>consumers</w:t>
      </w:r>
      <w:r>
        <w:rPr>
          <w:color w:val="231F20"/>
          <w:spacing w:val="-9"/>
          <w:sz w:val="16"/>
        </w:rPr>
        <w:t> </w:t>
      </w:r>
      <w:r>
        <w:rPr>
          <w:color w:val="231F20"/>
          <w:sz w:val="16"/>
        </w:rPr>
        <w:t>in</w:t>
      </w:r>
      <w:r>
        <w:rPr>
          <w:color w:val="231F20"/>
          <w:spacing w:val="-10"/>
          <w:sz w:val="16"/>
        </w:rPr>
        <w:t> </w:t>
      </w:r>
      <w:r>
        <w:rPr>
          <w:color w:val="231F20"/>
          <w:sz w:val="16"/>
        </w:rPr>
        <w:t>respect</w:t>
      </w:r>
      <w:r>
        <w:rPr>
          <w:color w:val="231F20"/>
          <w:spacing w:val="40"/>
          <w:sz w:val="16"/>
        </w:rPr>
        <w:t> </w:t>
      </w:r>
      <w:r>
        <w:rPr>
          <w:color w:val="231F20"/>
          <w:sz w:val="16"/>
        </w:rPr>
        <w:t>of certain aspects of timeshare, long-term holiday product, resale and exchange contracts, data.</w:t>
      </w:r>
      <w:r>
        <w:rPr>
          <w:color w:val="231F20"/>
          <w:spacing w:val="40"/>
          <w:sz w:val="16"/>
        </w:rPr>
        <w:t> </w:t>
      </w:r>
      <w:r>
        <w:rPr>
          <w:color w:val="231F20"/>
          <w:spacing w:val="-2"/>
          <w:sz w:val="16"/>
        </w:rPr>
        <w:t>europa.eu/eli/dir/2008/122/oj.</w:t>
      </w:r>
    </w:p>
    <w:p>
      <w:pPr>
        <w:pStyle w:val="ListParagraph"/>
        <w:numPr>
          <w:ilvl w:val="0"/>
          <w:numId w:val="3"/>
        </w:numPr>
        <w:tabs>
          <w:tab w:pos="866" w:val="left" w:leader="none"/>
        </w:tabs>
        <w:spacing w:line="288" w:lineRule="auto" w:before="0" w:after="0"/>
        <w:ind w:left="866" w:right="867" w:hanging="354"/>
        <w:jc w:val="both"/>
        <w:rPr>
          <w:sz w:val="16"/>
        </w:rPr>
      </w:pPr>
      <w:r>
        <w:rPr>
          <w:color w:val="231F20"/>
          <w:sz w:val="16"/>
        </w:rPr>
        <w:t>Article 6:101 of the Principles of European Contract Law (PECL) and Art. II.-9:102 of the Draft</w:t>
      </w:r>
      <w:r>
        <w:rPr>
          <w:color w:val="231F20"/>
          <w:spacing w:val="40"/>
          <w:sz w:val="16"/>
        </w:rPr>
        <w:t> </w:t>
      </w:r>
      <w:r>
        <w:rPr>
          <w:color w:val="231F20"/>
          <w:spacing w:val="-2"/>
          <w:sz w:val="16"/>
        </w:rPr>
        <w:t>Common</w:t>
      </w:r>
      <w:r>
        <w:rPr>
          <w:color w:val="231F20"/>
          <w:spacing w:val="-5"/>
          <w:sz w:val="16"/>
        </w:rPr>
        <w:t> </w:t>
      </w:r>
      <w:r>
        <w:rPr>
          <w:color w:val="231F20"/>
          <w:spacing w:val="-2"/>
          <w:sz w:val="16"/>
        </w:rPr>
        <w:t>Frame</w:t>
      </w:r>
      <w:r>
        <w:rPr>
          <w:color w:val="231F20"/>
          <w:spacing w:val="-6"/>
          <w:sz w:val="16"/>
        </w:rPr>
        <w:t> </w:t>
      </w:r>
      <w:r>
        <w:rPr>
          <w:color w:val="231F20"/>
          <w:spacing w:val="-2"/>
          <w:sz w:val="16"/>
        </w:rPr>
        <w:t>of</w:t>
      </w:r>
      <w:r>
        <w:rPr>
          <w:color w:val="231F20"/>
          <w:spacing w:val="-5"/>
          <w:sz w:val="16"/>
        </w:rPr>
        <w:t> </w:t>
      </w:r>
      <w:r>
        <w:rPr>
          <w:color w:val="231F20"/>
          <w:spacing w:val="-2"/>
          <w:sz w:val="16"/>
        </w:rPr>
        <w:t>Reference.</w:t>
      </w:r>
      <w:r>
        <w:rPr>
          <w:color w:val="231F20"/>
          <w:spacing w:val="-5"/>
          <w:sz w:val="16"/>
        </w:rPr>
        <w:t> </w:t>
      </w:r>
      <w:r>
        <w:rPr>
          <w:color w:val="231F20"/>
          <w:spacing w:val="-2"/>
          <w:sz w:val="16"/>
        </w:rPr>
        <w:t>See</w:t>
      </w:r>
      <w:r>
        <w:rPr>
          <w:color w:val="231F20"/>
          <w:spacing w:val="-5"/>
          <w:sz w:val="16"/>
        </w:rPr>
        <w:t> </w:t>
      </w:r>
      <w:r>
        <w:rPr>
          <w:color w:val="231F20"/>
          <w:spacing w:val="-2"/>
          <w:sz w:val="16"/>
        </w:rPr>
        <w:t>O.</w:t>
      </w:r>
      <w:r>
        <w:rPr>
          <w:color w:val="231F20"/>
          <w:spacing w:val="-4"/>
          <w:sz w:val="16"/>
        </w:rPr>
        <w:t> </w:t>
      </w:r>
      <w:r>
        <w:rPr>
          <w:color w:val="231F20"/>
          <w:spacing w:val="-2"/>
          <w:sz w:val="16"/>
        </w:rPr>
        <w:t>Lando</w:t>
      </w:r>
      <w:r>
        <w:rPr>
          <w:color w:val="231F20"/>
          <w:spacing w:val="-5"/>
          <w:sz w:val="16"/>
        </w:rPr>
        <w:t> </w:t>
      </w:r>
      <w:r>
        <w:rPr>
          <w:color w:val="231F20"/>
          <w:spacing w:val="-2"/>
          <w:sz w:val="16"/>
        </w:rPr>
        <w:t>&amp;</w:t>
      </w:r>
      <w:r>
        <w:rPr>
          <w:color w:val="231F20"/>
          <w:spacing w:val="-4"/>
          <w:sz w:val="16"/>
        </w:rPr>
        <w:t> </w:t>
      </w:r>
      <w:r>
        <w:rPr>
          <w:color w:val="231F20"/>
          <w:spacing w:val="-2"/>
          <w:sz w:val="16"/>
        </w:rPr>
        <w:t>H.</w:t>
      </w:r>
      <w:r>
        <w:rPr>
          <w:color w:val="231F20"/>
          <w:spacing w:val="-4"/>
          <w:sz w:val="16"/>
        </w:rPr>
        <w:t> </w:t>
      </w:r>
      <w:r>
        <w:rPr>
          <w:color w:val="231F20"/>
          <w:spacing w:val="-2"/>
          <w:sz w:val="16"/>
        </w:rPr>
        <w:t>Beale</w:t>
      </w:r>
      <w:r>
        <w:rPr>
          <w:color w:val="231F20"/>
          <w:spacing w:val="-5"/>
          <w:sz w:val="16"/>
        </w:rPr>
        <w:t> </w:t>
      </w:r>
      <w:r>
        <w:rPr>
          <w:color w:val="231F20"/>
          <w:spacing w:val="-2"/>
          <w:sz w:val="16"/>
        </w:rPr>
        <w:t>(ed.),</w:t>
      </w:r>
      <w:r>
        <w:rPr>
          <w:color w:val="231F20"/>
          <w:spacing w:val="-5"/>
          <w:sz w:val="16"/>
        </w:rPr>
        <w:t> </w:t>
      </w:r>
      <w:r>
        <w:rPr>
          <w:i/>
          <w:color w:val="231F20"/>
          <w:spacing w:val="-2"/>
          <w:sz w:val="16"/>
        </w:rPr>
        <w:t>Principles</w:t>
      </w:r>
      <w:r>
        <w:rPr>
          <w:i/>
          <w:color w:val="231F20"/>
          <w:spacing w:val="-4"/>
          <w:sz w:val="16"/>
        </w:rPr>
        <w:t> </w:t>
      </w:r>
      <w:r>
        <w:rPr>
          <w:i/>
          <w:color w:val="231F20"/>
          <w:spacing w:val="-2"/>
          <w:sz w:val="16"/>
        </w:rPr>
        <w:t>of</w:t>
      </w:r>
      <w:r>
        <w:rPr>
          <w:i/>
          <w:color w:val="231F20"/>
          <w:spacing w:val="-4"/>
          <w:sz w:val="16"/>
        </w:rPr>
        <w:t> </w:t>
      </w:r>
      <w:r>
        <w:rPr>
          <w:i/>
          <w:color w:val="231F20"/>
          <w:spacing w:val="-2"/>
          <w:sz w:val="16"/>
        </w:rPr>
        <w:t>European</w:t>
      </w:r>
      <w:r>
        <w:rPr>
          <w:i/>
          <w:color w:val="231F20"/>
          <w:spacing w:val="-5"/>
          <w:sz w:val="16"/>
        </w:rPr>
        <w:t> </w:t>
      </w:r>
      <w:r>
        <w:rPr>
          <w:i/>
          <w:color w:val="231F20"/>
          <w:spacing w:val="-2"/>
          <w:sz w:val="16"/>
        </w:rPr>
        <w:t>Contract</w:t>
      </w:r>
      <w:r>
        <w:rPr>
          <w:i/>
          <w:color w:val="231F20"/>
          <w:spacing w:val="-4"/>
          <w:sz w:val="16"/>
        </w:rPr>
        <w:t> </w:t>
      </w:r>
      <w:r>
        <w:rPr>
          <w:i/>
          <w:color w:val="231F20"/>
          <w:spacing w:val="-2"/>
          <w:sz w:val="16"/>
        </w:rPr>
        <w:t>Law</w:t>
      </w:r>
      <w:r>
        <w:rPr>
          <w:i/>
          <w:color w:val="231F20"/>
          <w:spacing w:val="40"/>
          <w:sz w:val="16"/>
        </w:rPr>
        <w:t> </w:t>
      </w:r>
      <w:r>
        <w:rPr>
          <w:color w:val="231F20"/>
          <w:sz w:val="16"/>
        </w:rPr>
        <w:t>(The Hague: Kluwer 2000), pp 299</w:t>
      </w:r>
      <w:r>
        <w:rPr>
          <w:rFonts w:ascii="Arial" w:hAnsi="Arial"/>
          <w:color w:val="231F20"/>
          <w:sz w:val="16"/>
        </w:rPr>
        <w:t>–</w:t>
      </w:r>
      <w:r>
        <w:rPr>
          <w:color w:val="231F20"/>
          <w:sz w:val="16"/>
        </w:rPr>
        <w:t>302; C. von Bar &amp; H. Schulte-Nölke (ed.), </w:t>
      </w:r>
      <w:r>
        <w:rPr>
          <w:i/>
          <w:color w:val="231F20"/>
          <w:sz w:val="16"/>
        </w:rPr>
        <w:t>Principles,</w:t>
      </w:r>
      <w:r>
        <w:rPr>
          <w:i/>
          <w:color w:val="231F20"/>
          <w:spacing w:val="40"/>
          <w:sz w:val="16"/>
        </w:rPr>
        <w:t> </w:t>
      </w:r>
      <w:r>
        <w:rPr>
          <w:i/>
          <w:color w:val="231F20"/>
          <w:sz w:val="16"/>
        </w:rPr>
        <w:t>Definitions and Model Rules of European Private Law. Draft Common Frame of Reference</w:t>
      </w:r>
      <w:r>
        <w:rPr>
          <w:i/>
          <w:color w:val="231F20"/>
          <w:spacing w:val="40"/>
          <w:sz w:val="16"/>
        </w:rPr>
        <w:t> </w:t>
      </w:r>
      <w:r>
        <w:rPr>
          <w:color w:val="231F20"/>
          <w:sz w:val="16"/>
        </w:rPr>
        <w:t>(DCFR. Outline ed., München: Sellier 2009), pp 219</w:t>
      </w:r>
      <w:r>
        <w:rPr>
          <w:rFonts w:ascii="Arial" w:hAnsi="Arial"/>
          <w:color w:val="231F20"/>
          <w:sz w:val="16"/>
        </w:rPr>
        <w:t>–</w:t>
      </w:r>
      <w:r>
        <w:rPr>
          <w:color w:val="231F20"/>
          <w:sz w:val="16"/>
        </w:rPr>
        <w:t>220.</w:t>
      </w:r>
    </w:p>
    <w:p>
      <w:pPr>
        <w:spacing w:after="0" w:line="288" w:lineRule="auto"/>
        <w:jc w:val="both"/>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428" w:val="left" w:leader="none"/>
        </w:tabs>
        <w:spacing w:line="288" w:lineRule="auto" w:before="0" w:after="0"/>
        <w:ind w:left="871" w:right="869" w:firstLine="0"/>
        <w:jc w:val="both"/>
        <w:rPr>
          <w:sz w:val="19"/>
        </w:rPr>
      </w:pPr>
      <w:r>
        <w:rPr>
          <w:color w:val="231F20"/>
          <w:spacing w:val="-2"/>
          <w:sz w:val="19"/>
        </w:rPr>
        <w:t>This</w:t>
      </w:r>
      <w:r>
        <w:rPr>
          <w:color w:val="231F20"/>
          <w:spacing w:val="-6"/>
          <w:sz w:val="19"/>
        </w:rPr>
        <w:t> </w:t>
      </w:r>
      <w:r>
        <w:rPr>
          <w:color w:val="231F20"/>
          <w:spacing w:val="-2"/>
          <w:sz w:val="19"/>
        </w:rPr>
        <w:t>outcome</w:t>
      </w:r>
      <w:r>
        <w:rPr>
          <w:color w:val="231F20"/>
          <w:spacing w:val="-7"/>
          <w:sz w:val="19"/>
        </w:rPr>
        <w:t> </w:t>
      </w:r>
      <w:r>
        <w:rPr>
          <w:color w:val="231F20"/>
          <w:spacing w:val="-2"/>
          <w:sz w:val="19"/>
        </w:rPr>
        <w:t>is</w:t>
      </w:r>
      <w:r>
        <w:rPr>
          <w:color w:val="231F20"/>
          <w:spacing w:val="-7"/>
          <w:sz w:val="19"/>
        </w:rPr>
        <w:t> </w:t>
      </w:r>
      <w:r>
        <w:rPr>
          <w:color w:val="231F20"/>
          <w:spacing w:val="-2"/>
          <w:sz w:val="19"/>
        </w:rPr>
        <w:t>supported</w:t>
      </w:r>
      <w:r>
        <w:rPr>
          <w:color w:val="231F20"/>
          <w:spacing w:val="-7"/>
          <w:sz w:val="19"/>
        </w:rPr>
        <w:t> </w:t>
      </w:r>
      <w:r>
        <w:rPr>
          <w:color w:val="231F20"/>
          <w:spacing w:val="-2"/>
          <w:sz w:val="19"/>
        </w:rPr>
        <w:t>by</w:t>
      </w:r>
      <w:r>
        <w:rPr>
          <w:color w:val="231F20"/>
          <w:spacing w:val="-7"/>
          <w:sz w:val="19"/>
        </w:rPr>
        <w:t> </w:t>
      </w:r>
      <w:r>
        <w:rPr>
          <w:color w:val="231F20"/>
          <w:spacing w:val="-2"/>
          <w:sz w:val="19"/>
        </w:rPr>
        <w:t>the</w:t>
      </w:r>
      <w:r>
        <w:rPr>
          <w:color w:val="231F20"/>
          <w:spacing w:val="-7"/>
          <w:sz w:val="19"/>
        </w:rPr>
        <w:t> </w:t>
      </w:r>
      <w:r>
        <w:rPr>
          <w:color w:val="231F20"/>
          <w:spacing w:val="-2"/>
          <w:sz w:val="19"/>
        </w:rPr>
        <w:t>requirements</w:t>
      </w:r>
      <w:r>
        <w:rPr>
          <w:color w:val="231F20"/>
          <w:spacing w:val="-7"/>
          <w:sz w:val="19"/>
        </w:rPr>
        <w:t> </w:t>
      </w:r>
      <w:r>
        <w:rPr>
          <w:color w:val="231F20"/>
          <w:spacing w:val="-2"/>
          <w:sz w:val="19"/>
        </w:rPr>
        <w:t>of</w:t>
      </w:r>
      <w:r>
        <w:rPr>
          <w:color w:val="231F20"/>
          <w:spacing w:val="-7"/>
          <w:sz w:val="19"/>
        </w:rPr>
        <w:t> </w:t>
      </w:r>
      <w:r>
        <w:rPr>
          <w:color w:val="231F20"/>
          <w:spacing w:val="-2"/>
          <w:sz w:val="19"/>
        </w:rPr>
        <w:t>good</w:t>
      </w:r>
      <w:r>
        <w:rPr>
          <w:color w:val="231F20"/>
          <w:spacing w:val="-6"/>
          <w:sz w:val="19"/>
        </w:rPr>
        <w:t> </w:t>
      </w:r>
      <w:r>
        <w:rPr>
          <w:color w:val="231F20"/>
          <w:spacing w:val="-2"/>
          <w:sz w:val="19"/>
        </w:rPr>
        <w:t>faith</w:t>
      </w:r>
      <w:r>
        <w:rPr>
          <w:color w:val="231F20"/>
          <w:spacing w:val="-6"/>
          <w:sz w:val="19"/>
        </w:rPr>
        <w:t> </w:t>
      </w:r>
      <w:r>
        <w:rPr>
          <w:color w:val="231F20"/>
          <w:spacing w:val="-2"/>
          <w:sz w:val="19"/>
        </w:rPr>
        <w:t>and</w:t>
      </w:r>
      <w:r>
        <w:rPr>
          <w:color w:val="231F20"/>
          <w:spacing w:val="-8"/>
          <w:sz w:val="19"/>
        </w:rPr>
        <w:t> </w:t>
      </w:r>
      <w:r>
        <w:rPr>
          <w:color w:val="231F20"/>
          <w:spacing w:val="-2"/>
          <w:sz w:val="19"/>
        </w:rPr>
        <w:t>fair</w:t>
      </w:r>
      <w:r>
        <w:rPr>
          <w:color w:val="231F20"/>
          <w:spacing w:val="-6"/>
          <w:sz w:val="19"/>
        </w:rPr>
        <w:t> </w:t>
      </w:r>
      <w:r>
        <w:rPr>
          <w:color w:val="231F20"/>
          <w:spacing w:val="-2"/>
          <w:sz w:val="19"/>
        </w:rPr>
        <w:t>dealing </w:t>
      </w:r>
      <w:r>
        <w:rPr>
          <w:color w:val="231F20"/>
          <w:sz w:val="19"/>
        </w:rPr>
        <w:t>that</w:t>
      </w:r>
      <w:r>
        <w:rPr>
          <w:color w:val="231F20"/>
          <w:spacing w:val="-7"/>
          <w:sz w:val="19"/>
        </w:rPr>
        <w:t> </w:t>
      </w:r>
      <w:r>
        <w:rPr>
          <w:color w:val="231F20"/>
          <w:sz w:val="19"/>
        </w:rPr>
        <w:t>underpin</w:t>
      </w:r>
      <w:r>
        <w:rPr>
          <w:color w:val="231F20"/>
          <w:spacing w:val="-7"/>
          <w:sz w:val="19"/>
        </w:rPr>
        <w:t> </w:t>
      </w:r>
      <w:r>
        <w:rPr>
          <w:color w:val="231F20"/>
          <w:sz w:val="19"/>
        </w:rPr>
        <w:t>the</w:t>
      </w:r>
      <w:r>
        <w:rPr>
          <w:color w:val="231F20"/>
          <w:spacing w:val="-7"/>
          <w:sz w:val="19"/>
        </w:rPr>
        <w:t> </w:t>
      </w:r>
      <w:r>
        <w:rPr>
          <w:color w:val="231F20"/>
          <w:sz w:val="19"/>
        </w:rPr>
        <w:t>UCTD.</w:t>
      </w:r>
      <w:r>
        <w:rPr>
          <w:color w:val="231F20"/>
          <w:sz w:val="19"/>
          <w:vertAlign w:val="superscript"/>
        </w:rPr>
        <w:t>173</w:t>
      </w:r>
      <w:r>
        <w:rPr>
          <w:color w:val="231F20"/>
          <w:spacing w:val="-8"/>
          <w:sz w:val="19"/>
          <w:vertAlign w:val="baseline"/>
        </w:rPr>
        <w:t> </w:t>
      </w:r>
      <w:r>
        <w:rPr>
          <w:color w:val="231F20"/>
          <w:sz w:val="19"/>
          <w:vertAlign w:val="baseline"/>
        </w:rPr>
        <w:t>Good</w:t>
      </w:r>
      <w:r>
        <w:rPr>
          <w:color w:val="231F20"/>
          <w:spacing w:val="-7"/>
          <w:sz w:val="19"/>
          <w:vertAlign w:val="baseline"/>
        </w:rPr>
        <w:t> </w:t>
      </w:r>
      <w:r>
        <w:rPr>
          <w:color w:val="231F20"/>
          <w:sz w:val="19"/>
          <w:vertAlign w:val="baseline"/>
        </w:rPr>
        <w:t>faith</w:t>
      </w:r>
      <w:r>
        <w:rPr>
          <w:color w:val="231F20"/>
          <w:spacing w:val="-7"/>
          <w:sz w:val="19"/>
          <w:vertAlign w:val="baseline"/>
        </w:rPr>
        <w:t> </w:t>
      </w:r>
      <w:r>
        <w:rPr>
          <w:color w:val="231F20"/>
          <w:sz w:val="19"/>
          <w:vertAlign w:val="baseline"/>
        </w:rPr>
        <w:t>would</w:t>
      </w:r>
      <w:r>
        <w:rPr>
          <w:color w:val="231F20"/>
          <w:spacing w:val="-7"/>
          <w:sz w:val="19"/>
          <w:vertAlign w:val="baseline"/>
        </w:rPr>
        <w:t> </w:t>
      </w:r>
      <w:r>
        <w:rPr>
          <w:color w:val="231F20"/>
          <w:sz w:val="19"/>
          <w:vertAlign w:val="baseline"/>
        </w:rPr>
        <w:t>not</w:t>
      </w:r>
      <w:r>
        <w:rPr>
          <w:color w:val="231F20"/>
          <w:spacing w:val="-8"/>
          <w:sz w:val="19"/>
          <w:vertAlign w:val="baseline"/>
        </w:rPr>
        <w:t> </w:t>
      </w:r>
      <w:r>
        <w:rPr>
          <w:color w:val="231F20"/>
          <w:sz w:val="19"/>
          <w:vertAlign w:val="baseline"/>
        </w:rPr>
        <w:t>only</w:t>
      </w:r>
      <w:r>
        <w:rPr>
          <w:color w:val="231F20"/>
          <w:spacing w:val="-7"/>
          <w:sz w:val="19"/>
          <w:vertAlign w:val="baseline"/>
        </w:rPr>
        <w:t> </w:t>
      </w:r>
      <w:r>
        <w:rPr>
          <w:color w:val="231F20"/>
          <w:sz w:val="19"/>
          <w:vertAlign w:val="baseline"/>
        </w:rPr>
        <w:t>be</w:t>
      </w:r>
      <w:r>
        <w:rPr>
          <w:color w:val="231F20"/>
          <w:spacing w:val="-7"/>
          <w:sz w:val="19"/>
          <w:vertAlign w:val="baseline"/>
        </w:rPr>
        <w:t> </w:t>
      </w:r>
      <w:r>
        <w:rPr>
          <w:color w:val="231F20"/>
          <w:sz w:val="19"/>
          <w:vertAlign w:val="baseline"/>
        </w:rPr>
        <w:t>a</w:t>
      </w:r>
      <w:r>
        <w:rPr>
          <w:color w:val="231F20"/>
          <w:spacing w:val="-7"/>
          <w:sz w:val="19"/>
          <w:vertAlign w:val="baseline"/>
        </w:rPr>
        <w:t> </w:t>
      </w:r>
      <w:r>
        <w:rPr>
          <w:color w:val="231F20"/>
          <w:sz w:val="19"/>
          <w:vertAlign w:val="baseline"/>
        </w:rPr>
        <w:t>limit</w:t>
      </w:r>
      <w:r>
        <w:rPr>
          <w:color w:val="231F20"/>
          <w:spacing w:val="-7"/>
          <w:sz w:val="19"/>
          <w:vertAlign w:val="baseline"/>
        </w:rPr>
        <w:t> </w:t>
      </w:r>
      <w:r>
        <w:rPr>
          <w:color w:val="231F20"/>
          <w:sz w:val="19"/>
          <w:vertAlign w:val="baseline"/>
        </w:rPr>
        <w:t>to</w:t>
      </w:r>
      <w:r>
        <w:rPr>
          <w:color w:val="231F20"/>
          <w:spacing w:val="-7"/>
          <w:sz w:val="19"/>
          <w:vertAlign w:val="baseline"/>
        </w:rPr>
        <w:t> </w:t>
      </w:r>
      <w:r>
        <w:rPr>
          <w:color w:val="231F20"/>
          <w:sz w:val="19"/>
          <w:vertAlign w:val="baseline"/>
        </w:rPr>
        <w:t>contract</w:t>
      </w:r>
      <w:r>
        <w:rPr>
          <w:color w:val="231F20"/>
          <w:spacing w:val="-7"/>
          <w:sz w:val="19"/>
          <w:vertAlign w:val="baseline"/>
        </w:rPr>
        <w:t> </w:t>
      </w:r>
      <w:r>
        <w:rPr>
          <w:color w:val="231F20"/>
          <w:sz w:val="19"/>
          <w:vertAlign w:val="baseline"/>
        </w:rPr>
        <w:t>terms, but</w:t>
      </w:r>
      <w:r>
        <w:rPr>
          <w:color w:val="231F20"/>
          <w:spacing w:val="-12"/>
          <w:sz w:val="19"/>
          <w:vertAlign w:val="baseline"/>
        </w:rPr>
        <w:t> </w:t>
      </w:r>
      <w:r>
        <w:rPr>
          <w:color w:val="231F20"/>
          <w:sz w:val="19"/>
          <w:vertAlign w:val="baseline"/>
        </w:rPr>
        <w:t>also</w:t>
      </w:r>
      <w:r>
        <w:rPr>
          <w:color w:val="231F20"/>
          <w:spacing w:val="-11"/>
          <w:sz w:val="19"/>
          <w:vertAlign w:val="baseline"/>
        </w:rPr>
        <w:t> </w:t>
      </w:r>
      <w:r>
        <w:rPr>
          <w:color w:val="231F20"/>
          <w:sz w:val="19"/>
          <w:vertAlign w:val="baseline"/>
        </w:rPr>
        <w:t>a</w:t>
      </w:r>
      <w:r>
        <w:rPr>
          <w:color w:val="231F20"/>
          <w:spacing w:val="-12"/>
          <w:sz w:val="19"/>
          <w:vertAlign w:val="baseline"/>
        </w:rPr>
        <w:t> </w:t>
      </w:r>
      <w:r>
        <w:rPr>
          <w:color w:val="231F20"/>
          <w:sz w:val="19"/>
          <w:vertAlign w:val="baseline"/>
        </w:rPr>
        <w:t>source</w:t>
      </w:r>
      <w:r>
        <w:rPr>
          <w:color w:val="231F20"/>
          <w:spacing w:val="-11"/>
          <w:sz w:val="19"/>
          <w:vertAlign w:val="baseline"/>
        </w:rPr>
        <w:t> </w:t>
      </w:r>
      <w:r>
        <w:rPr>
          <w:color w:val="231F20"/>
          <w:sz w:val="19"/>
          <w:vertAlign w:val="baseline"/>
        </w:rPr>
        <w:t>of</w:t>
      </w:r>
      <w:r>
        <w:rPr>
          <w:color w:val="231F20"/>
          <w:spacing w:val="-12"/>
          <w:sz w:val="19"/>
          <w:vertAlign w:val="baseline"/>
        </w:rPr>
        <w:t> </w:t>
      </w:r>
      <w:r>
        <w:rPr>
          <w:color w:val="231F20"/>
          <w:sz w:val="19"/>
          <w:vertAlign w:val="baseline"/>
        </w:rPr>
        <w:t>them</w:t>
      </w:r>
      <w:r>
        <w:rPr>
          <w:color w:val="231F20"/>
          <w:spacing w:val="-11"/>
          <w:sz w:val="19"/>
          <w:vertAlign w:val="baseline"/>
        </w:rPr>
        <w:t> </w:t>
      </w:r>
      <w:r>
        <w:rPr>
          <w:color w:val="231F20"/>
          <w:sz w:val="19"/>
          <w:vertAlign w:val="baseline"/>
        </w:rPr>
        <w:t>when</w:t>
      </w:r>
      <w:r>
        <w:rPr>
          <w:color w:val="231F20"/>
          <w:spacing w:val="-12"/>
          <w:sz w:val="19"/>
          <w:vertAlign w:val="baseline"/>
        </w:rPr>
        <w:t> </w:t>
      </w:r>
      <w:r>
        <w:rPr>
          <w:color w:val="231F20"/>
          <w:sz w:val="19"/>
          <w:vertAlign w:val="baseline"/>
        </w:rPr>
        <w:t>needed</w:t>
      </w:r>
      <w:r>
        <w:rPr>
          <w:color w:val="231F20"/>
          <w:spacing w:val="-11"/>
          <w:sz w:val="19"/>
          <w:vertAlign w:val="baseline"/>
        </w:rPr>
        <w:t> </w:t>
      </w:r>
      <w:r>
        <w:rPr>
          <w:color w:val="231F20"/>
          <w:sz w:val="19"/>
          <w:vertAlign w:val="baseline"/>
        </w:rPr>
        <w:t>to</w:t>
      </w:r>
      <w:r>
        <w:rPr>
          <w:color w:val="231F20"/>
          <w:spacing w:val="-12"/>
          <w:sz w:val="19"/>
          <w:vertAlign w:val="baseline"/>
        </w:rPr>
        <w:t> </w:t>
      </w:r>
      <w:r>
        <w:rPr>
          <w:color w:val="231F20"/>
          <w:sz w:val="19"/>
          <w:vertAlign w:val="baseline"/>
        </w:rPr>
        <w:t>fill</w:t>
      </w:r>
      <w:r>
        <w:rPr>
          <w:color w:val="231F20"/>
          <w:spacing w:val="-11"/>
          <w:sz w:val="19"/>
          <w:vertAlign w:val="baseline"/>
        </w:rPr>
        <w:t> </w:t>
      </w:r>
      <w:r>
        <w:rPr>
          <w:color w:val="231F20"/>
          <w:sz w:val="19"/>
          <w:vertAlign w:val="baseline"/>
        </w:rPr>
        <w:t>in</w:t>
      </w:r>
      <w:r>
        <w:rPr>
          <w:color w:val="231F20"/>
          <w:spacing w:val="-12"/>
          <w:sz w:val="19"/>
          <w:vertAlign w:val="baseline"/>
        </w:rPr>
        <w:t> </w:t>
      </w:r>
      <w:r>
        <w:rPr>
          <w:color w:val="231F20"/>
          <w:sz w:val="19"/>
          <w:vertAlign w:val="baseline"/>
        </w:rPr>
        <w:t>a</w:t>
      </w:r>
      <w:r>
        <w:rPr>
          <w:color w:val="231F20"/>
          <w:spacing w:val="-11"/>
          <w:sz w:val="19"/>
          <w:vertAlign w:val="baseline"/>
        </w:rPr>
        <w:t> </w:t>
      </w:r>
      <w:r>
        <w:rPr>
          <w:color w:val="231F20"/>
          <w:sz w:val="19"/>
          <w:vertAlign w:val="baseline"/>
        </w:rPr>
        <w:t>gap</w:t>
      </w:r>
      <w:r>
        <w:rPr>
          <w:color w:val="231F20"/>
          <w:spacing w:val="-11"/>
          <w:sz w:val="19"/>
          <w:vertAlign w:val="baseline"/>
        </w:rPr>
        <w:t> </w:t>
      </w:r>
      <w:r>
        <w:rPr>
          <w:color w:val="231F20"/>
          <w:sz w:val="19"/>
          <w:vertAlign w:val="baseline"/>
        </w:rPr>
        <w:t>to</w:t>
      </w:r>
      <w:r>
        <w:rPr>
          <w:color w:val="231F20"/>
          <w:spacing w:val="-12"/>
          <w:sz w:val="19"/>
          <w:vertAlign w:val="baseline"/>
        </w:rPr>
        <w:t> </w:t>
      </w:r>
      <w:r>
        <w:rPr>
          <w:color w:val="231F20"/>
          <w:sz w:val="19"/>
          <w:vertAlign w:val="baseline"/>
        </w:rPr>
        <w:t>restore</w:t>
      </w:r>
      <w:r>
        <w:rPr>
          <w:color w:val="231F20"/>
          <w:spacing w:val="-11"/>
          <w:sz w:val="19"/>
          <w:vertAlign w:val="baseline"/>
        </w:rPr>
        <w:t> </w:t>
      </w:r>
      <w:r>
        <w:rPr>
          <w:color w:val="231F20"/>
          <w:sz w:val="19"/>
          <w:vertAlign w:val="baseline"/>
        </w:rPr>
        <w:t>an</w:t>
      </w:r>
      <w:r>
        <w:rPr>
          <w:color w:val="231F20"/>
          <w:spacing w:val="-12"/>
          <w:sz w:val="19"/>
          <w:vertAlign w:val="baseline"/>
        </w:rPr>
        <w:t> </w:t>
      </w:r>
      <w:r>
        <w:rPr>
          <w:color w:val="231F20"/>
          <w:sz w:val="19"/>
          <w:vertAlign w:val="baseline"/>
        </w:rPr>
        <w:t>effective</w:t>
      </w:r>
      <w:r>
        <w:rPr>
          <w:color w:val="231F20"/>
          <w:spacing w:val="-11"/>
          <w:sz w:val="19"/>
          <w:vertAlign w:val="baseline"/>
        </w:rPr>
        <w:t> </w:t>
      </w:r>
      <w:r>
        <w:rPr>
          <w:color w:val="231F20"/>
          <w:sz w:val="19"/>
          <w:vertAlign w:val="baseline"/>
        </w:rPr>
        <w:t>balance in a contract. Implying good faith to integrate the contract would re-establish equality between the parties, thus achieving the only aim of Article 6(1) UCTD that can be attained after contract revision.</w:t>
      </w:r>
    </w:p>
    <w:p>
      <w:pPr>
        <w:pStyle w:val="ListParagraph"/>
        <w:numPr>
          <w:ilvl w:val="0"/>
          <w:numId w:val="4"/>
        </w:numPr>
        <w:tabs>
          <w:tab w:pos="1428" w:val="left" w:leader="none"/>
        </w:tabs>
        <w:spacing w:line="288" w:lineRule="auto" w:before="115" w:after="0"/>
        <w:ind w:left="871" w:right="869" w:firstLine="0"/>
        <w:jc w:val="both"/>
        <w:rPr>
          <w:sz w:val="19"/>
        </w:rPr>
      </w:pPr>
      <w:r>
        <w:rPr>
          <w:color w:val="231F20"/>
          <w:sz w:val="19"/>
        </w:rPr>
        <w:t>More precisely, according to Recital 16 of the UCTD, </w:t>
      </w:r>
      <w:r>
        <w:rPr>
          <w:rFonts w:ascii="Arial" w:hAnsi="Arial"/>
          <w:color w:val="231F20"/>
          <w:sz w:val="19"/>
        </w:rPr>
        <w:t>‘</w:t>
      </w:r>
      <w:r>
        <w:rPr>
          <w:color w:val="231F20"/>
          <w:sz w:val="19"/>
        </w:rPr>
        <w:t>the requirement of good faith may be satisfied by the seller or supplier where he deals fairly and equitably with the other party whose legitimate interests he has to take into account</w:t>
      </w:r>
      <w:r>
        <w:rPr>
          <w:rFonts w:ascii="Arial" w:hAnsi="Arial"/>
          <w:color w:val="231F20"/>
          <w:sz w:val="19"/>
        </w:rPr>
        <w:t>’</w:t>
      </w:r>
      <w:r>
        <w:rPr>
          <w:color w:val="231F20"/>
          <w:sz w:val="19"/>
        </w:rPr>
        <w:t>.</w:t>
      </w:r>
      <w:r>
        <w:rPr>
          <w:color w:val="231F20"/>
          <w:spacing w:val="-4"/>
          <w:sz w:val="19"/>
        </w:rPr>
        <w:t> </w:t>
      </w:r>
      <w:r>
        <w:rPr>
          <w:color w:val="231F20"/>
          <w:sz w:val="19"/>
        </w:rPr>
        <w:t>Good</w:t>
      </w:r>
      <w:r>
        <w:rPr>
          <w:color w:val="231F20"/>
          <w:spacing w:val="-4"/>
          <w:sz w:val="19"/>
        </w:rPr>
        <w:t> </w:t>
      </w:r>
      <w:r>
        <w:rPr>
          <w:color w:val="231F20"/>
          <w:sz w:val="19"/>
        </w:rPr>
        <w:t>faith</w:t>
      </w:r>
      <w:r>
        <w:rPr>
          <w:color w:val="231F20"/>
          <w:spacing w:val="-4"/>
          <w:sz w:val="19"/>
        </w:rPr>
        <w:t> </w:t>
      </w:r>
      <w:r>
        <w:rPr>
          <w:color w:val="231F20"/>
          <w:sz w:val="19"/>
        </w:rPr>
        <w:t>could</w:t>
      </w:r>
      <w:r>
        <w:rPr>
          <w:color w:val="231F20"/>
          <w:spacing w:val="-3"/>
          <w:sz w:val="19"/>
        </w:rPr>
        <w:t> </w:t>
      </w:r>
      <w:r>
        <w:rPr>
          <w:color w:val="231F20"/>
          <w:sz w:val="19"/>
        </w:rPr>
        <w:t>remedy</w:t>
      </w:r>
      <w:r>
        <w:rPr>
          <w:color w:val="231F20"/>
          <w:spacing w:val="-4"/>
          <w:sz w:val="19"/>
        </w:rPr>
        <w:t> </w:t>
      </w:r>
      <w:r>
        <w:rPr>
          <w:color w:val="231F20"/>
          <w:sz w:val="19"/>
        </w:rPr>
        <w:t>the</w:t>
      </w:r>
      <w:r>
        <w:rPr>
          <w:color w:val="231F20"/>
          <w:spacing w:val="-4"/>
          <w:sz w:val="19"/>
        </w:rPr>
        <w:t> </w:t>
      </w:r>
      <w:r>
        <w:rPr>
          <w:color w:val="231F20"/>
          <w:sz w:val="19"/>
        </w:rPr>
        <w:t>unfairness</w:t>
      </w:r>
      <w:r>
        <w:rPr>
          <w:color w:val="231F20"/>
          <w:spacing w:val="-3"/>
          <w:sz w:val="19"/>
        </w:rPr>
        <w:t> </w:t>
      </w:r>
      <w:r>
        <w:rPr>
          <w:color w:val="231F20"/>
          <w:sz w:val="19"/>
        </w:rPr>
        <w:t>of</w:t>
      </w:r>
      <w:r>
        <w:rPr>
          <w:color w:val="231F20"/>
          <w:spacing w:val="-1"/>
          <w:sz w:val="19"/>
        </w:rPr>
        <w:t> </w:t>
      </w:r>
      <w:r>
        <w:rPr>
          <w:color w:val="231F20"/>
          <w:sz w:val="19"/>
        </w:rPr>
        <w:t>the</w:t>
      </w:r>
      <w:r>
        <w:rPr>
          <w:color w:val="231F20"/>
          <w:spacing w:val="-3"/>
          <w:sz w:val="19"/>
        </w:rPr>
        <w:t> </w:t>
      </w:r>
      <w:r>
        <w:rPr>
          <w:color w:val="231F20"/>
          <w:sz w:val="19"/>
        </w:rPr>
        <w:t>non-applicable</w:t>
      </w:r>
      <w:r>
        <w:rPr>
          <w:color w:val="231F20"/>
          <w:spacing w:val="-4"/>
          <w:sz w:val="19"/>
        </w:rPr>
        <w:t> </w:t>
      </w:r>
      <w:r>
        <w:rPr>
          <w:color w:val="231F20"/>
          <w:sz w:val="19"/>
        </w:rPr>
        <w:t>term.</w:t>
      </w:r>
      <w:r>
        <w:rPr>
          <w:color w:val="231F20"/>
          <w:spacing w:val="-3"/>
          <w:sz w:val="19"/>
        </w:rPr>
        <w:t> </w:t>
      </w:r>
      <w:r>
        <w:rPr>
          <w:color w:val="231F20"/>
          <w:sz w:val="19"/>
        </w:rPr>
        <w:t>The ECJ ruled that, under Article 3(1) UCTD and with regard to Recital 16 of the UCTD,</w:t>
      </w:r>
      <w:r>
        <w:rPr>
          <w:color w:val="231F20"/>
          <w:spacing w:val="-5"/>
          <w:sz w:val="19"/>
        </w:rPr>
        <w:t> </w:t>
      </w:r>
      <w:r>
        <w:rPr>
          <w:color w:val="231F20"/>
          <w:sz w:val="19"/>
        </w:rPr>
        <w:t>a</w:t>
      </w:r>
      <w:r>
        <w:rPr>
          <w:color w:val="231F20"/>
          <w:spacing w:val="-5"/>
          <w:sz w:val="19"/>
        </w:rPr>
        <w:t> </w:t>
      </w:r>
      <w:r>
        <w:rPr>
          <w:color w:val="231F20"/>
          <w:sz w:val="19"/>
        </w:rPr>
        <w:t>term</w:t>
      </w:r>
      <w:r>
        <w:rPr>
          <w:color w:val="231F20"/>
          <w:spacing w:val="-5"/>
          <w:sz w:val="19"/>
        </w:rPr>
        <w:t> </w:t>
      </w:r>
      <w:r>
        <w:rPr>
          <w:color w:val="231F20"/>
          <w:sz w:val="19"/>
        </w:rPr>
        <w:t>is</w:t>
      </w:r>
      <w:r>
        <w:rPr>
          <w:color w:val="231F20"/>
          <w:spacing w:val="-6"/>
          <w:sz w:val="19"/>
        </w:rPr>
        <w:t> </w:t>
      </w:r>
      <w:r>
        <w:rPr>
          <w:color w:val="231F20"/>
          <w:sz w:val="19"/>
        </w:rPr>
        <w:t>contrary</w:t>
      </w:r>
      <w:r>
        <w:rPr>
          <w:color w:val="231F20"/>
          <w:spacing w:val="-5"/>
          <w:sz w:val="19"/>
        </w:rPr>
        <w:t> </w:t>
      </w:r>
      <w:r>
        <w:rPr>
          <w:color w:val="231F20"/>
          <w:sz w:val="19"/>
        </w:rPr>
        <w:t>to</w:t>
      </w:r>
      <w:r>
        <w:rPr>
          <w:color w:val="231F20"/>
          <w:spacing w:val="-5"/>
          <w:sz w:val="19"/>
        </w:rPr>
        <w:t> </w:t>
      </w:r>
      <w:r>
        <w:rPr>
          <w:color w:val="231F20"/>
          <w:sz w:val="19"/>
        </w:rPr>
        <w:t>good</w:t>
      </w:r>
      <w:r>
        <w:rPr>
          <w:color w:val="231F20"/>
          <w:spacing w:val="-5"/>
          <w:sz w:val="19"/>
        </w:rPr>
        <w:t> </w:t>
      </w:r>
      <w:r>
        <w:rPr>
          <w:color w:val="231F20"/>
          <w:sz w:val="19"/>
        </w:rPr>
        <w:t>faith</w:t>
      </w:r>
      <w:r>
        <w:rPr>
          <w:color w:val="231F20"/>
          <w:spacing w:val="-5"/>
          <w:sz w:val="19"/>
        </w:rPr>
        <w:t> </w:t>
      </w:r>
      <w:r>
        <w:rPr>
          <w:color w:val="231F20"/>
          <w:sz w:val="19"/>
        </w:rPr>
        <w:t>when</w:t>
      </w:r>
      <w:r>
        <w:rPr>
          <w:color w:val="231F20"/>
          <w:spacing w:val="-5"/>
          <w:sz w:val="19"/>
        </w:rPr>
        <w:t> </w:t>
      </w:r>
      <w:r>
        <w:rPr>
          <w:color w:val="231F20"/>
          <w:sz w:val="19"/>
        </w:rPr>
        <w:t>a</w:t>
      </w:r>
      <w:r>
        <w:rPr>
          <w:color w:val="231F20"/>
          <w:spacing w:val="-5"/>
          <w:sz w:val="19"/>
        </w:rPr>
        <w:t> </w:t>
      </w:r>
      <w:r>
        <w:rPr>
          <w:color w:val="231F20"/>
          <w:sz w:val="19"/>
        </w:rPr>
        <w:t>consumer</w:t>
      </w:r>
      <w:r>
        <w:rPr>
          <w:color w:val="231F20"/>
          <w:spacing w:val="-5"/>
          <w:sz w:val="19"/>
        </w:rPr>
        <w:t> </w:t>
      </w:r>
      <w:r>
        <w:rPr>
          <w:color w:val="231F20"/>
          <w:sz w:val="19"/>
        </w:rPr>
        <w:t>would</w:t>
      </w:r>
      <w:r>
        <w:rPr>
          <w:color w:val="231F20"/>
          <w:spacing w:val="-5"/>
          <w:sz w:val="19"/>
        </w:rPr>
        <w:t> </w:t>
      </w:r>
      <w:r>
        <w:rPr>
          <w:color w:val="231F20"/>
          <w:sz w:val="19"/>
        </w:rPr>
        <w:t>not</w:t>
      </w:r>
      <w:r>
        <w:rPr>
          <w:color w:val="231F20"/>
          <w:spacing w:val="-5"/>
          <w:sz w:val="19"/>
        </w:rPr>
        <w:t> </w:t>
      </w:r>
      <w:r>
        <w:rPr>
          <w:color w:val="231F20"/>
          <w:sz w:val="19"/>
        </w:rPr>
        <w:t>have</w:t>
      </w:r>
      <w:r>
        <w:rPr>
          <w:color w:val="231F20"/>
          <w:spacing w:val="-7"/>
          <w:sz w:val="19"/>
        </w:rPr>
        <w:t> </w:t>
      </w:r>
      <w:r>
        <w:rPr>
          <w:color w:val="231F20"/>
          <w:sz w:val="19"/>
        </w:rPr>
        <w:t>accepted it in an individual negotiation.</w:t>
      </w:r>
      <w:r>
        <w:rPr>
          <w:color w:val="231F20"/>
          <w:sz w:val="19"/>
          <w:vertAlign w:val="superscript"/>
        </w:rPr>
        <w:t>174</w:t>
      </w:r>
      <w:r>
        <w:rPr>
          <w:color w:val="231F20"/>
          <w:sz w:val="19"/>
          <w:vertAlign w:val="baseline"/>
        </w:rPr>
        <w:t> </w:t>
      </w:r>
      <w:r>
        <w:rPr>
          <w:i/>
          <w:color w:val="231F20"/>
          <w:sz w:val="19"/>
          <w:vertAlign w:val="baseline"/>
        </w:rPr>
        <w:t>A contrario</w:t>
      </w:r>
      <w:r>
        <w:rPr>
          <w:color w:val="231F20"/>
          <w:sz w:val="19"/>
          <w:vertAlign w:val="baseline"/>
        </w:rPr>
        <w:t>, a term would be according to </w:t>
      </w:r>
      <w:r>
        <w:rPr>
          <w:color w:val="231F20"/>
          <w:sz w:val="19"/>
          <w:vertAlign w:val="baseline"/>
        </w:rPr>
        <w:t>good faith,</w:t>
      </w:r>
      <w:r>
        <w:rPr>
          <w:color w:val="231F20"/>
          <w:spacing w:val="-9"/>
          <w:sz w:val="19"/>
          <w:vertAlign w:val="baseline"/>
        </w:rPr>
        <w:t> </w:t>
      </w:r>
      <w:r>
        <w:rPr>
          <w:color w:val="231F20"/>
          <w:sz w:val="19"/>
          <w:vertAlign w:val="baseline"/>
        </w:rPr>
        <w:t>and</w:t>
      </w:r>
      <w:r>
        <w:rPr>
          <w:color w:val="231F20"/>
          <w:spacing w:val="-11"/>
          <w:sz w:val="19"/>
          <w:vertAlign w:val="baseline"/>
        </w:rPr>
        <w:t> </w:t>
      </w:r>
      <w:r>
        <w:rPr>
          <w:color w:val="231F20"/>
          <w:sz w:val="19"/>
          <w:vertAlign w:val="baseline"/>
        </w:rPr>
        <w:t>therefore</w:t>
      </w:r>
      <w:r>
        <w:rPr>
          <w:color w:val="231F20"/>
          <w:spacing w:val="-11"/>
          <w:sz w:val="19"/>
          <w:vertAlign w:val="baseline"/>
        </w:rPr>
        <w:t> </w:t>
      </w:r>
      <w:r>
        <w:rPr>
          <w:color w:val="231F20"/>
          <w:sz w:val="19"/>
          <w:vertAlign w:val="baseline"/>
        </w:rPr>
        <w:t>binding,</w:t>
      </w:r>
      <w:r>
        <w:rPr>
          <w:color w:val="231F20"/>
          <w:spacing w:val="-10"/>
          <w:sz w:val="19"/>
          <w:vertAlign w:val="baseline"/>
        </w:rPr>
        <w:t> </w:t>
      </w:r>
      <w:r>
        <w:rPr>
          <w:color w:val="231F20"/>
          <w:sz w:val="19"/>
          <w:vertAlign w:val="baseline"/>
        </w:rPr>
        <w:t>when</w:t>
      </w:r>
      <w:r>
        <w:rPr>
          <w:color w:val="231F20"/>
          <w:spacing w:val="-11"/>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consumer</w:t>
      </w:r>
      <w:r>
        <w:rPr>
          <w:color w:val="231F20"/>
          <w:spacing w:val="-10"/>
          <w:sz w:val="19"/>
          <w:vertAlign w:val="baseline"/>
        </w:rPr>
        <w:t> </w:t>
      </w:r>
      <w:r>
        <w:rPr>
          <w:color w:val="231F20"/>
          <w:sz w:val="19"/>
          <w:vertAlign w:val="baseline"/>
        </w:rPr>
        <w:t>would</w:t>
      </w:r>
      <w:r>
        <w:rPr>
          <w:color w:val="231F20"/>
          <w:spacing w:val="-11"/>
          <w:sz w:val="19"/>
          <w:vertAlign w:val="baseline"/>
        </w:rPr>
        <w:t> </w:t>
      </w:r>
      <w:r>
        <w:rPr>
          <w:color w:val="231F20"/>
          <w:sz w:val="19"/>
          <w:vertAlign w:val="baseline"/>
        </w:rPr>
        <w:t>have</w:t>
      </w:r>
      <w:r>
        <w:rPr>
          <w:color w:val="231F20"/>
          <w:spacing w:val="-11"/>
          <w:sz w:val="19"/>
          <w:vertAlign w:val="baseline"/>
        </w:rPr>
        <w:t> </w:t>
      </w:r>
      <w:r>
        <w:rPr>
          <w:color w:val="231F20"/>
          <w:sz w:val="19"/>
          <w:vertAlign w:val="baseline"/>
        </w:rPr>
        <w:t>accepted</w:t>
      </w:r>
      <w:r>
        <w:rPr>
          <w:color w:val="231F20"/>
          <w:spacing w:val="-9"/>
          <w:sz w:val="19"/>
          <w:vertAlign w:val="baseline"/>
        </w:rPr>
        <w:t> </w:t>
      </w:r>
      <w:r>
        <w:rPr>
          <w:color w:val="231F20"/>
          <w:sz w:val="19"/>
          <w:vertAlign w:val="baseline"/>
        </w:rPr>
        <w:t>it</w:t>
      </w:r>
      <w:r>
        <w:rPr>
          <w:color w:val="231F20"/>
          <w:spacing w:val="-7"/>
          <w:sz w:val="19"/>
          <w:vertAlign w:val="baseline"/>
        </w:rPr>
        <w:t> </w:t>
      </w:r>
      <w:r>
        <w:rPr>
          <w:color w:val="231F20"/>
          <w:sz w:val="19"/>
          <w:vertAlign w:val="baseline"/>
        </w:rPr>
        <w:t>as</w:t>
      </w:r>
      <w:r>
        <w:rPr>
          <w:color w:val="231F20"/>
          <w:spacing w:val="-10"/>
          <w:sz w:val="19"/>
          <w:vertAlign w:val="baseline"/>
        </w:rPr>
        <w:t> </w:t>
      </w:r>
      <w:r>
        <w:rPr>
          <w:color w:val="231F20"/>
          <w:sz w:val="19"/>
          <w:vertAlign w:val="baseline"/>
        </w:rPr>
        <w:t>a</w:t>
      </w:r>
      <w:r>
        <w:rPr>
          <w:color w:val="231F20"/>
          <w:spacing w:val="-10"/>
          <w:sz w:val="19"/>
          <w:vertAlign w:val="baseline"/>
        </w:rPr>
        <w:t> </w:t>
      </w:r>
      <w:r>
        <w:rPr>
          <w:color w:val="231F20"/>
          <w:sz w:val="19"/>
          <w:vertAlign w:val="baseline"/>
        </w:rPr>
        <w:t>result of fair dealing from the business.</w:t>
      </w:r>
      <w:r>
        <w:rPr>
          <w:color w:val="231F20"/>
          <w:sz w:val="19"/>
          <w:vertAlign w:val="superscript"/>
        </w:rPr>
        <w:t>175</w:t>
      </w:r>
      <w:r>
        <w:rPr>
          <w:color w:val="231F20"/>
          <w:sz w:val="19"/>
          <w:vertAlign w:val="baseline"/>
        </w:rPr>
        <w:t> This would occur based on a reasonable understanding of the facts that were presented to the average consumer at the time of the agreement.</w:t>
      </w:r>
    </w:p>
    <w:p>
      <w:pPr>
        <w:pStyle w:val="ListParagraph"/>
        <w:numPr>
          <w:ilvl w:val="0"/>
          <w:numId w:val="4"/>
        </w:numPr>
        <w:tabs>
          <w:tab w:pos="1428" w:val="left" w:leader="none"/>
        </w:tabs>
        <w:spacing w:line="288" w:lineRule="auto" w:before="111" w:after="0"/>
        <w:ind w:left="871" w:right="868" w:firstLine="0"/>
        <w:jc w:val="both"/>
        <w:rPr>
          <w:sz w:val="19"/>
        </w:rPr>
      </w:pPr>
      <w:r>
        <w:rPr>
          <w:color w:val="231F20"/>
          <w:sz w:val="19"/>
        </w:rPr>
        <w:t>Therefore,</w:t>
      </w:r>
      <w:r>
        <w:rPr>
          <w:color w:val="231F20"/>
          <w:spacing w:val="-12"/>
          <w:sz w:val="19"/>
        </w:rPr>
        <w:t> </w:t>
      </w:r>
      <w:r>
        <w:rPr>
          <w:color w:val="231F20"/>
          <w:sz w:val="19"/>
        </w:rPr>
        <w:t>if,</w:t>
      </w:r>
      <w:r>
        <w:rPr>
          <w:color w:val="231F20"/>
          <w:spacing w:val="-10"/>
          <w:sz w:val="19"/>
        </w:rPr>
        <w:t> </w:t>
      </w:r>
      <w:r>
        <w:rPr>
          <w:color w:val="231F20"/>
          <w:sz w:val="19"/>
        </w:rPr>
        <w:t>under</w:t>
      </w:r>
      <w:r>
        <w:rPr>
          <w:color w:val="231F20"/>
          <w:spacing w:val="-11"/>
          <w:sz w:val="19"/>
        </w:rPr>
        <w:t> </w:t>
      </w:r>
      <w:r>
        <w:rPr>
          <w:color w:val="231F20"/>
          <w:sz w:val="19"/>
        </w:rPr>
        <w:t>the</w:t>
      </w:r>
      <w:r>
        <w:rPr>
          <w:color w:val="231F20"/>
          <w:spacing w:val="-11"/>
          <w:sz w:val="19"/>
        </w:rPr>
        <w:t> </w:t>
      </w:r>
      <w:r>
        <w:rPr>
          <w:color w:val="231F20"/>
          <w:sz w:val="19"/>
        </w:rPr>
        <w:t>circumstances</w:t>
      </w:r>
      <w:r>
        <w:rPr>
          <w:color w:val="231F20"/>
          <w:spacing w:val="-11"/>
          <w:sz w:val="19"/>
        </w:rPr>
        <w:t> </w:t>
      </w:r>
      <w:r>
        <w:rPr>
          <w:color w:val="231F20"/>
          <w:sz w:val="19"/>
        </w:rPr>
        <w:t>surrounding</w:t>
      </w:r>
      <w:r>
        <w:rPr>
          <w:color w:val="231F20"/>
          <w:spacing w:val="-11"/>
          <w:sz w:val="19"/>
        </w:rPr>
        <w:t> </w:t>
      </w:r>
      <w:r>
        <w:rPr>
          <w:color w:val="231F20"/>
          <w:sz w:val="19"/>
        </w:rPr>
        <w:t>the</w:t>
      </w:r>
      <w:r>
        <w:rPr>
          <w:color w:val="231F20"/>
          <w:spacing w:val="-11"/>
          <w:sz w:val="19"/>
        </w:rPr>
        <w:t> </w:t>
      </w:r>
      <w:r>
        <w:rPr>
          <w:color w:val="231F20"/>
          <w:sz w:val="19"/>
        </w:rPr>
        <w:t>ECJ</w:t>
      </w:r>
      <w:r>
        <w:rPr>
          <w:rFonts w:ascii="Arial" w:hAnsi="Arial"/>
          <w:color w:val="231F20"/>
          <w:sz w:val="19"/>
        </w:rPr>
        <w:t>’</w:t>
      </w:r>
      <w:r>
        <w:rPr>
          <w:color w:val="231F20"/>
          <w:sz w:val="19"/>
        </w:rPr>
        <w:t>s</w:t>
      </w:r>
      <w:r>
        <w:rPr>
          <w:color w:val="231F20"/>
          <w:spacing w:val="-10"/>
          <w:sz w:val="19"/>
        </w:rPr>
        <w:t> </w:t>
      </w:r>
      <w:r>
        <w:rPr>
          <w:color w:val="231F20"/>
          <w:sz w:val="19"/>
        </w:rPr>
        <w:t>ruling</w:t>
      </w:r>
      <w:r>
        <w:rPr>
          <w:color w:val="231F20"/>
          <w:spacing w:val="-11"/>
          <w:sz w:val="19"/>
        </w:rPr>
        <w:t> </w:t>
      </w:r>
      <w:r>
        <w:rPr>
          <w:color w:val="231F20"/>
          <w:sz w:val="19"/>
        </w:rPr>
        <w:t>in</w:t>
      </w:r>
      <w:r>
        <w:rPr>
          <w:color w:val="231F20"/>
          <w:spacing w:val="-11"/>
          <w:sz w:val="19"/>
        </w:rPr>
        <w:t> </w:t>
      </w:r>
      <w:r>
        <w:rPr>
          <w:color w:val="231F20"/>
          <w:sz w:val="19"/>
        </w:rPr>
        <w:t>Case C-26/13,</w:t>
      </w:r>
      <w:r>
        <w:rPr>
          <w:color w:val="231F20"/>
          <w:spacing w:val="-10"/>
          <w:sz w:val="19"/>
        </w:rPr>
        <w:t> </w:t>
      </w:r>
      <w:r>
        <w:rPr>
          <w:i/>
          <w:color w:val="231F20"/>
          <w:sz w:val="19"/>
        </w:rPr>
        <w:t>Kásler</w:t>
      </w:r>
      <w:r>
        <w:rPr>
          <w:color w:val="231F20"/>
          <w:sz w:val="19"/>
        </w:rPr>
        <w:t>,</w:t>
      </w:r>
      <w:r>
        <w:rPr>
          <w:color w:val="231F20"/>
          <w:spacing w:val="-9"/>
          <w:sz w:val="19"/>
        </w:rPr>
        <w:t> </w:t>
      </w:r>
      <w:r>
        <w:rPr>
          <w:color w:val="231F20"/>
          <w:sz w:val="19"/>
        </w:rPr>
        <w:t>the</w:t>
      </w:r>
      <w:r>
        <w:rPr>
          <w:color w:val="231F20"/>
          <w:spacing w:val="-10"/>
          <w:sz w:val="19"/>
        </w:rPr>
        <w:t> </w:t>
      </w:r>
      <w:r>
        <w:rPr>
          <w:color w:val="231F20"/>
          <w:sz w:val="19"/>
        </w:rPr>
        <w:t>dissuasive</w:t>
      </w:r>
      <w:r>
        <w:rPr>
          <w:color w:val="231F20"/>
          <w:spacing w:val="-10"/>
          <w:sz w:val="19"/>
        </w:rPr>
        <w:t> </w:t>
      </w:r>
      <w:r>
        <w:rPr>
          <w:color w:val="231F20"/>
          <w:sz w:val="19"/>
        </w:rPr>
        <w:t>effect</w:t>
      </w:r>
      <w:r>
        <w:rPr>
          <w:color w:val="231F20"/>
          <w:spacing w:val="-10"/>
          <w:sz w:val="19"/>
        </w:rPr>
        <w:t> </w:t>
      </w:r>
      <w:r>
        <w:rPr>
          <w:color w:val="231F20"/>
          <w:sz w:val="19"/>
        </w:rPr>
        <w:t>of</w:t>
      </w:r>
      <w:r>
        <w:rPr>
          <w:color w:val="231F20"/>
          <w:spacing w:val="-10"/>
          <w:sz w:val="19"/>
        </w:rPr>
        <w:t> </w:t>
      </w:r>
      <w:r>
        <w:rPr>
          <w:color w:val="231F20"/>
          <w:sz w:val="19"/>
        </w:rPr>
        <w:t>Article</w:t>
      </w:r>
      <w:r>
        <w:rPr>
          <w:color w:val="231F20"/>
          <w:spacing w:val="-10"/>
          <w:sz w:val="19"/>
        </w:rPr>
        <w:t> </w:t>
      </w:r>
      <w:r>
        <w:rPr>
          <w:color w:val="231F20"/>
          <w:sz w:val="19"/>
        </w:rPr>
        <w:t>6(1)</w:t>
      </w:r>
      <w:r>
        <w:rPr>
          <w:color w:val="231F20"/>
          <w:spacing w:val="-10"/>
          <w:sz w:val="19"/>
        </w:rPr>
        <w:t> </w:t>
      </w:r>
      <w:r>
        <w:rPr>
          <w:color w:val="231F20"/>
          <w:sz w:val="19"/>
        </w:rPr>
        <w:t>UCTD</w:t>
      </w:r>
      <w:r>
        <w:rPr>
          <w:color w:val="231F20"/>
          <w:spacing w:val="-9"/>
          <w:sz w:val="19"/>
        </w:rPr>
        <w:t> </w:t>
      </w:r>
      <w:r>
        <w:rPr>
          <w:color w:val="231F20"/>
          <w:sz w:val="19"/>
        </w:rPr>
        <w:t>cannot</w:t>
      </w:r>
      <w:r>
        <w:rPr>
          <w:color w:val="231F20"/>
          <w:spacing w:val="-10"/>
          <w:sz w:val="19"/>
        </w:rPr>
        <w:t> </w:t>
      </w:r>
      <w:r>
        <w:rPr>
          <w:color w:val="231F20"/>
          <w:sz w:val="19"/>
        </w:rPr>
        <w:t>be</w:t>
      </w:r>
      <w:r>
        <w:rPr>
          <w:color w:val="231F20"/>
          <w:spacing w:val="-10"/>
          <w:sz w:val="19"/>
        </w:rPr>
        <w:t> </w:t>
      </w:r>
      <w:r>
        <w:rPr>
          <w:color w:val="231F20"/>
          <w:sz w:val="19"/>
        </w:rPr>
        <w:t>achieved,</w:t>
      </w:r>
      <w:r>
        <w:rPr>
          <w:color w:val="231F20"/>
          <w:spacing w:val="-11"/>
          <w:sz w:val="19"/>
        </w:rPr>
        <w:t> </w:t>
      </w:r>
      <w:r>
        <w:rPr>
          <w:color w:val="231F20"/>
          <w:sz w:val="19"/>
        </w:rPr>
        <w:t>the mistrust of national law should be set aside. If a contract cannot continue </w:t>
      </w:r>
      <w:r>
        <w:rPr>
          <w:color w:val="231F20"/>
          <w:sz w:val="19"/>
        </w:rPr>
        <w:t>in </w:t>
      </w:r>
      <w:r>
        <w:rPr>
          <w:color w:val="231F20"/>
          <w:spacing w:val="-2"/>
          <w:sz w:val="19"/>
        </w:rPr>
        <w:t>existence</w:t>
      </w:r>
      <w:r>
        <w:rPr>
          <w:color w:val="231F20"/>
          <w:spacing w:val="-6"/>
          <w:sz w:val="19"/>
        </w:rPr>
        <w:t> </w:t>
      </w:r>
      <w:r>
        <w:rPr>
          <w:color w:val="231F20"/>
          <w:spacing w:val="-2"/>
          <w:sz w:val="19"/>
        </w:rPr>
        <w:t>and</w:t>
      </w:r>
      <w:r>
        <w:rPr>
          <w:color w:val="231F20"/>
          <w:spacing w:val="-6"/>
          <w:sz w:val="19"/>
        </w:rPr>
        <w:t> </w:t>
      </w:r>
      <w:r>
        <w:rPr>
          <w:color w:val="231F20"/>
          <w:spacing w:val="-2"/>
          <w:sz w:val="19"/>
        </w:rPr>
        <w:t>its</w:t>
      </w:r>
      <w:r>
        <w:rPr>
          <w:color w:val="231F20"/>
          <w:spacing w:val="-6"/>
          <w:sz w:val="19"/>
        </w:rPr>
        <w:t> </w:t>
      </w:r>
      <w:r>
        <w:rPr>
          <w:color w:val="231F20"/>
          <w:spacing w:val="-2"/>
          <w:sz w:val="19"/>
        </w:rPr>
        <w:t>annulment</w:t>
      </w:r>
      <w:r>
        <w:rPr>
          <w:color w:val="231F20"/>
          <w:spacing w:val="-6"/>
          <w:sz w:val="19"/>
        </w:rPr>
        <w:t> </w:t>
      </w:r>
      <w:r>
        <w:rPr>
          <w:color w:val="231F20"/>
          <w:spacing w:val="-2"/>
          <w:sz w:val="19"/>
        </w:rPr>
        <w:t>would</w:t>
      </w:r>
      <w:r>
        <w:rPr>
          <w:color w:val="231F20"/>
          <w:spacing w:val="-8"/>
          <w:sz w:val="19"/>
        </w:rPr>
        <w:t> </w:t>
      </w:r>
      <w:r>
        <w:rPr>
          <w:color w:val="231F20"/>
          <w:spacing w:val="-2"/>
          <w:sz w:val="19"/>
        </w:rPr>
        <w:t>penalize</w:t>
      </w:r>
      <w:r>
        <w:rPr>
          <w:color w:val="231F20"/>
          <w:spacing w:val="-6"/>
          <w:sz w:val="19"/>
        </w:rPr>
        <w:t> </w:t>
      </w:r>
      <w:r>
        <w:rPr>
          <w:color w:val="231F20"/>
          <w:spacing w:val="-2"/>
          <w:sz w:val="19"/>
        </w:rPr>
        <w:t>the</w:t>
      </w:r>
      <w:r>
        <w:rPr>
          <w:color w:val="231F20"/>
          <w:spacing w:val="-6"/>
          <w:sz w:val="19"/>
        </w:rPr>
        <w:t> </w:t>
      </w:r>
      <w:r>
        <w:rPr>
          <w:color w:val="231F20"/>
          <w:spacing w:val="-2"/>
          <w:sz w:val="19"/>
        </w:rPr>
        <w:t>consumer,</w:t>
      </w:r>
      <w:r>
        <w:rPr>
          <w:color w:val="231F20"/>
          <w:spacing w:val="-5"/>
          <w:sz w:val="19"/>
        </w:rPr>
        <w:t> </w:t>
      </w:r>
      <w:r>
        <w:rPr>
          <w:color w:val="231F20"/>
          <w:spacing w:val="-2"/>
          <w:sz w:val="19"/>
        </w:rPr>
        <w:t>then</w:t>
      </w:r>
      <w:r>
        <w:rPr>
          <w:color w:val="231F20"/>
          <w:spacing w:val="-7"/>
          <w:sz w:val="19"/>
        </w:rPr>
        <w:t> </w:t>
      </w:r>
      <w:r>
        <w:rPr>
          <w:color w:val="231F20"/>
          <w:spacing w:val="-2"/>
          <w:sz w:val="19"/>
        </w:rPr>
        <w:t>restricting</w:t>
      </w:r>
      <w:r>
        <w:rPr>
          <w:color w:val="231F20"/>
          <w:spacing w:val="-6"/>
          <w:sz w:val="19"/>
        </w:rPr>
        <w:t> </w:t>
      </w:r>
      <w:r>
        <w:rPr>
          <w:color w:val="231F20"/>
          <w:spacing w:val="-2"/>
          <w:sz w:val="19"/>
        </w:rPr>
        <w:t>national </w:t>
      </w:r>
      <w:r>
        <w:rPr>
          <w:color w:val="231F20"/>
          <w:sz w:val="19"/>
        </w:rPr>
        <w:t>law</w:t>
      </w:r>
      <w:r>
        <w:rPr>
          <w:color w:val="231F20"/>
          <w:spacing w:val="-7"/>
          <w:sz w:val="19"/>
        </w:rPr>
        <w:t> </w:t>
      </w:r>
      <w:r>
        <w:rPr>
          <w:color w:val="231F20"/>
          <w:sz w:val="19"/>
        </w:rPr>
        <w:t>would</w:t>
      </w:r>
      <w:r>
        <w:rPr>
          <w:color w:val="231F20"/>
          <w:spacing w:val="-7"/>
          <w:sz w:val="19"/>
        </w:rPr>
        <w:t> </w:t>
      </w:r>
      <w:r>
        <w:rPr>
          <w:color w:val="231F20"/>
          <w:sz w:val="19"/>
        </w:rPr>
        <w:t>not</w:t>
      </w:r>
      <w:r>
        <w:rPr>
          <w:color w:val="231F20"/>
          <w:spacing w:val="-7"/>
          <w:sz w:val="19"/>
        </w:rPr>
        <w:t> </w:t>
      </w:r>
      <w:r>
        <w:rPr>
          <w:color w:val="231F20"/>
          <w:sz w:val="19"/>
        </w:rPr>
        <w:t>protect</w:t>
      </w:r>
      <w:r>
        <w:rPr>
          <w:color w:val="231F20"/>
          <w:spacing w:val="-7"/>
          <w:sz w:val="19"/>
        </w:rPr>
        <w:t> </w:t>
      </w:r>
      <w:r>
        <w:rPr>
          <w:color w:val="231F20"/>
          <w:sz w:val="19"/>
        </w:rPr>
        <w:t>them.</w:t>
      </w:r>
      <w:r>
        <w:rPr>
          <w:color w:val="231F20"/>
          <w:spacing w:val="-7"/>
          <w:sz w:val="19"/>
        </w:rPr>
        <w:t> </w:t>
      </w:r>
      <w:r>
        <w:rPr>
          <w:color w:val="231F20"/>
          <w:sz w:val="19"/>
        </w:rPr>
        <w:t>As</w:t>
      </w:r>
      <w:r>
        <w:rPr>
          <w:color w:val="231F20"/>
          <w:spacing w:val="-7"/>
          <w:sz w:val="19"/>
        </w:rPr>
        <w:t> </w:t>
      </w:r>
      <w:r>
        <w:rPr>
          <w:color w:val="231F20"/>
          <w:sz w:val="19"/>
        </w:rPr>
        <w:t>Advocate</w:t>
      </w:r>
      <w:r>
        <w:rPr>
          <w:color w:val="231F20"/>
          <w:spacing w:val="-7"/>
          <w:sz w:val="19"/>
        </w:rPr>
        <w:t> </w:t>
      </w:r>
      <w:r>
        <w:rPr>
          <w:color w:val="231F20"/>
          <w:sz w:val="19"/>
        </w:rPr>
        <w:t>General</w:t>
      </w:r>
      <w:r>
        <w:rPr>
          <w:color w:val="231F20"/>
          <w:spacing w:val="-7"/>
          <w:sz w:val="19"/>
        </w:rPr>
        <w:t> </w:t>
      </w:r>
      <w:r>
        <w:rPr>
          <w:color w:val="231F20"/>
          <w:sz w:val="19"/>
        </w:rPr>
        <w:t>Kokott</w:t>
      </w:r>
      <w:r>
        <w:rPr>
          <w:color w:val="231F20"/>
          <w:spacing w:val="-8"/>
          <w:sz w:val="19"/>
        </w:rPr>
        <w:t> </w:t>
      </w:r>
      <w:r>
        <w:rPr>
          <w:color w:val="231F20"/>
          <w:sz w:val="19"/>
        </w:rPr>
        <w:t>noted,</w:t>
      </w:r>
      <w:r>
        <w:rPr>
          <w:color w:val="231F20"/>
          <w:spacing w:val="-7"/>
          <w:sz w:val="19"/>
        </w:rPr>
        <w:t> </w:t>
      </w:r>
      <w:r>
        <w:rPr>
          <w:color w:val="231F20"/>
          <w:sz w:val="19"/>
        </w:rPr>
        <w:t>it</w:t>
      </w:r>
      <w:r>
        <w:rPr>
          <w:color w:val="231F20"/>
          <w:spacing w:val="-6"/>
          <w:sz w:val="19"/>
        </w:rPr>
        <w:t> </w:t>
      </w:r>
      <w:r>
        <w:rPr>
          <w:color w:val="231F20"/>
          <w:sz w:val="19"/>
        </w:rPr>
        <w:t>would</w:t>
      </w:r>
      <w:r>
        <w:rPr>
          <w:color w:val="231F20"/>
          <w:spacing w:val="-7"/>
          <w:sz w:val="19"/>
        </w:rPr>
        <w:t> </w:t>
      </w:r>
      <w:r>
        <w:rPr>
          <w:color w:val="231F20"/>
          <w:sz w:val="19"/>
        </w:rPr>
        <w:t>place</w:t>
      </w:r>
      <w:r>
        <w:rPr>
          <w:color w:val="231F20"/>
          <w:spacing w:val="-7"/>
          <w:sz w:val="19"/>
        </w:rPr>
        <w:t> </w:t>
      </w:r>
      <w:r>
        <w:rPr>
          <w:color w:val="231F20"/>
          <w:sz w:val="19"/>
        </w:rPr>
        <w:t>the consumer in a worse position than other contracting parties for whom the gap would</w:t>
      </w:r>
      <w:r>
        <w:rPr>
          <w:color w:val="231F20"/>
          <w:spacing w:val="-2"/>
          <w:sz w:val="19"/>
        </w:rPr>
        <w:t> </w:t>
      </w:r>
      <w:r>
        <w:rPr>
          <w:color w:val="231F20"/>
          <w:sz w:val="19"/>
        </w:rPr>
        <w:t>be filled in under national private law.</w:t>
      </w:r>
      <w:r>
        <w:rPr>
          <w:color w:val="231F20"/>
          <w:sz w:val="19"/>
          <w:vertAlign w:val="superscript"/>
        </w:rPr>
        <w:t>176</w:t>
      </w:r>
      <w:r>
        <w:rPr>
          <w:color w:val="231F20"/>
          <w:sz w:val="19"/>
          <w:vertAlign w:val="baseline"/>
        </w:rPr>
        <w:t> Therefore,</w:t>
      </w:r>
      <w:r>
        <w:rPr>
          <w:color w:val="231F20"/>
          <w:spacing w:val="-1"/>
          <w:sz w:val="19"/>
          <w:vertAlign w:val="baseline"/>
        </w:rPr>
        <w:t> </w:t>
      </w:r>
      <w:r>
        <w:rPr>
          <w:color w:val="231F20"/>
          <w:sz w:val="19"/>
          <w:vertAlign w:val="baseline"/>
        </w:rPr>
        <w:t>to restore party</w:t>
      </w:r>
      <w:r>
        <w:rPr>
          <w:color w:val="231F20"/>
          <w:spacing w:val="-1"/>
          <w:sz w:val="19"/>
          <w:vertAlign w:val="baseline"/>
        </w:rPr>
        <w:t> </w:t>
      </w:r>
      <w:r>
        <w:rPr>
          <w:color w:val="231F20"/>
          <w:sz w:val="19"/>
          <w:vertAlign w:val="baseline"/>
        </w:rPr>
        <w:t>equal- ity, a more permissive approach to national law seems the way forward.</w:t>
      </w:r>
    </w:p>
    <w:p>
      <w:pPr>
        <w:pStyle w:val="ListParagraph"/>
        <w:numPr>
          <w:ilvl w:val="0"/>
          <w:numId w:val="4"/>
        </w:numPr>
        <w:tabs>
          <w:tab w:pos="1428" w:val="left" w:leader="none"/>
        </w:tabs>
        <w:spacing w:line="283" w:lineRule="auto" w:before="119" w:after="0"/>
        <w:ind w:left="871" w:right="866" w:firstLine="0"/>
        <w:jc w:val="both"/>
        <w:rPr>
          <w:sz w:val="19"/>
        </w:rPr>
      </w:pPr>
      <w:r>
        <w:rPr>
          <w:color w:val="231F20"/>
          <w:spacing w:val="-4"/>
          <w:sz w:val="19"/>
        </w:rPr>
        <w:t>The</w:t>
      </w:r>
      <w:r>
        <w:rPr>
          <w:color w:val="231F20"/>
          <w:spacing w:val="-6"/>
          <w:sz w:val="19"/>
        </w:rPr>
        <w:t> </w:t>
      </w:r>
      <w:r>
        <w:rPr>
          <w:color w:val="231F20"/>
          <w:spacing w:val="-4"/>
          <w:sz w:val="19"/>
        </w:rPr>
        <w:t>ECJ</w:t>
      </w:r>
      <w:r>
        <w:rPr>
          <w:color w:val="231F20"/>
          <w:spacing w:val="-6"/>
          <w:sz w:val="19"/>
        </w:rPr>
        <w:t> </w:t>
      </w:r>
      <w:r>
        <w:rPr>
          <w:color w:val="231F20"/>
          <w:spacing w:val="-4"/>
          <w:sz w:val="19"/>
        </w:rPr>
        <w:t>pointed</w:t>
      </w:r>
      <w:r>
        <w:rPr>
          <w:color w:val="231F20"/>
          <w:spacing w:val="-6"/>
          <w:sz w:val="19"/>
        </w:rPr>
        <w:t> </w:t>
      </w:r>
      <w:r>
        <w:rPr>
          <w:color w:val="231F20"/>
          <w:spacing w:val="-4"/>
          <w:sz w:val="19"/>
        </w:rPr>
        <w:t>to</w:t>
      </w:r>
      <w:r>
        <w:rPr>
          <w:color w:val="231F20"/>
          <w:spacing w:val="-8"/>
          <w:sz w:val="19"/>
        </w:rPr>
        <w:t> </w:t>
      </w:r>
      <w:r>
        <w:rPr>
          <w:color w:val="231F20"/>
          <w:spacing w:val="-4"/>
          <w:sz w:val="19"/>
        </w:rPr>
        <w:t>this</w:t>
      </w:r>
      <w:r>
        <w:rPr>
          <w:color w:val="231F20"/>
          <w:spacing w:val="-5"/>
          <w:sz w:val="19"/>
        </w:rPr>
        <w:t> </w:t>
      </w:r>
      <w:r>
        <w:rPr>
          <w:color w:val="231F20"/>
          <w:spacing w:val="-4"/>
          <w:sz w:val="19"/>
        </w:rPr>
        <w:t>direction</w:t>
      </w:r>
      <w:r>
        <w:rPr>
          <w:color w:val="231F20"/>
          <w:spacing w:val="-8"/>
          <w:sz w:val="19"/>
        </w:rPr>
        <w:t> </w:t>
      </w:r>
      <w:r>
        <w:rPr>
          <w:color w:val="231F20"/>
          <w:spacing w:val="-4"/>
          <w:sz w:val="19"/>
        </w:rPr>
        <w:t>in</w:t>
      </w:r>
      <w:r>
        <w:rPr>
          <w:color w:val="231F20"/>
          <w:spacing w:val="-7"/>
          <w:sz w:val="19"/>
        </w:rPr>
        <w:t> </w:t>
      </w:r>
      <w:r>
        <w:rPr>
          <w:color w:val="231F20"/>
          <w:spacing w:val="-4"/>
          <w:sz w:val="19"/>
        </w:rPr>
        <w:t>Case</w:t>
      </w:r>
      <w:r>
        <w:rPr>
          <w:color w:val="231F20"/>
          <w:spacing w:val="-6"/>
          <w:sz w:val="19"/>
        </w:rPr>
        <w:t> </w:t>
      </w:r>
      <w:r>
        <w:rPr>
          <w:color w:val="231F20"/>
          <w:spacing w:val="-4"/>
          <w:sz w:val="19"/>
        </w:rPr>
        <w:t>C-269/19,</w:t>
      </w:r>
      <w:r>
        <w:rPr>
          <w:color w:val="231F20"/>
          <w:spacing w:val="-7"/>
          <w:sz w:val="19"/>
        </w:rPr>
        <w:t> </w:t>
      </w:r>
      <w:r>
        <w:rPr>
          <w:i/>
          <w:color w:val="231F20"/>
          <w:spacing w:val="-4"/>
          <w:sz w:val="19"/>
        </w:rPr>
        <w:t>Banca</w:t>
      </w:r>
      <w:r>
        <w:rPr>
          <w:i/>
          <w:color w:val="231F20"/>
          <w:spacing w:val="-6"/>
          <w:sz w:val="19"/>
        </w:rPr>
        <w:t> </w:t>
      </w:r>
      <w:r>
        <w:rPr>
          <w:i/>
          <w:color w:val="231F20"/>
          <w:spacing w:val="-4"/>
          <w:sz w:val="19"/>
        </w:rPr>
        <w:t>B.</w:t>
      </w:r>
      <w:r>
        <w:rPr>
          <w:i/>
          <w:color w:val="231F20"/>
          <w:spacing w:val="-7"/>
          <w:sz w:val="19"/>
        </w:rPr>
        <w:t> </w:t>
      </w:r>
      <w:r>
        <w:rPr>
          <w:color w:val="231F20"/>
          <w:spacing w:val="-4"/>
          <w:sz w:val="19"/>
        </w:rPr>
        <w:t>It</w:t>
      </w:r>
      <w:r>
        <w:rPr>
          <w:color w:val="231F20"/>
          <w:spacing w:val="-6"/>
          <w:sz w:val="19"/>
        </w:rPr>
        <w:t> </w:t>
      </w:r>
      <w:r>
        <w:rPr>
          <w:color w:val="231F20"/>
          <w:spacing w:val="-4"/>
          <w:sz w:val="19"/>
        </w:rPr>
        <w:t>declared</w:t>
      </w:r>
      <w:r>
        <w:rPr>
          <w:color w:val="231F20"/>
          <w:spacing w:val="-8"/>
          <w:sz w:val="19"/>
        </w:rPr>
        <w:t> </w:t>
      </w:r>
      <w:r>
        <w:rPr>
          <w:color w:val="231F20"/>
          <w:spacing w:val="-4"/>
          <w:sz w:val="19"/>
        </w:rPr>
        <w:t>there </w:t>
      </w:r>
      <w:r>
        <w:rPr>
          <w:color w:val="231F20"/>
          <w:spacing w:val="-6"/>
          <w:sz w:val="19"/>
        </w:rPr>
        <w:t>that,</w:t>
      </w:r>
      <w:r>
        <w:rPr>
          <w:color w:val="231F20"/>
          <w:spacing w:val="-3"/>
          <w:sz w:val="19"/>
        </w:rPr>
        <w:t> </w:t>
      </w:r>
      <w:r>
        <w:rPr>
          <w:color w:val="231F20"/>
          <w:spacing w:val="-6"/>
          <w:sz w:val="19"/>
        </w:rPr>
        <w:t>even</w:t>
      </w:r>
      <w:r>
        <w:rPr>
          <w:color w:val="231F20"/>
          <w:spacing w:val="-5"/>
          <w:sz w:val="19"/>
        </w:rPr>
        <w:t> </w:t>
      </w:r>
      <w:r>
        <w:rPr>
          <w:color w:val="231F20"/>
          <w:spacing w:val="-6"/>
          <w:sz w:val="19"/>
        </w:rPr>
        <w:t>in</w:t>
      </w:r>
      <w:r>
        <w:rPr>
          <w:color w:val="231F20"/>
          <w:spacing w:val="-3"/>
          <w:sz w:val="19"/>
        </w:rPr>
        <w:t> </w:t>
      </w:r>
      <w:r>
        <w:rPr>
          <w:color w:val="231F20"/>
          <w:spacing w:val="-6"/>
          <w:sz w:val="19"/>
        </w:rPr>
        <w:t>the</w:t>
      </w:r>
      <w:r>
        <w:rPr>
          <w:color w:val="231F20"/>
          <w:spacing w:val="-3"/>
          <w:sz w:val="19"/>
        </w:rPr>
        <w:t> </w:t>
      </w:r>
      <w:r>
        <w:rPr>
          <w:color w:val="231F20"/>
          <w:spacing w:val="-6"/>
          <w:sz w:val="19"/>
        </w:rPr>
        <w:t>absence</w:t>
      </w:r>
      <w:r>
        <w:rPr>
          <w:color w:val="231F20"/>
          <w:spacing w:val="-3"/>
          <w:sz w:val="19"/>
        </w:rPr>
        <w:t> </w:t>
      </w:r>
      <w:r>
        <w:rPr>
          <w:color w:val="231F20"/>
          <w:spacing w:val="-6"/>
          <w:sz w:val="19"/>
        </w:rPr>
        <w:t>of</w:t>
      </w:r>
      <w:r>
        <w:rPr>
          <w:color w:val="231F20"/>
          <w:spacing w:val="-3"/>
          <w:sz w:val="19"/>
        </w:rPr>
        <w:t> </w:t>
      </w:r>
      <w:r>
        <w:rPr>
          <w:color w:val="231F20"/>
          <w:spacing w:val="-6"/>
          <w:sz w:val="19"/>
        </w:rPr>
        <w:t>supplementary</w:t>
      </w:r>
      <w:r>
        <w:rPr>
          <w:color w:val="231F20"/>
          <w:spacing w:val="-2"/>
          <w:sz w:val="19"/>
        </w:rPr>
        <w:t> </w:t>
      </w:r>
      <w:r>
        <w:rPr>
          <w:color w:val="231F20"/>
          <w:spacing w:val="-6"/>
          <w:sz w:val="19"/>
        </w:rPr>
        <w:t>law,</w:t>
      </w:r>
      <w:r>
        <w:rPr>
          <w:color w:val="231F20"/>
          <w:spacing w:val="-1"/>
          <w:sz w:val="19"/>
        </w:rPr>
        <w:t> </w:t>
      </w:r>
      <w:r>
        <w:rPr>
          <w:color w:val="231F20"/>
          <w:spacing w:val="-6"/>
          <w:sz w:val="19"/>
        </w:rPr>
        <w:t>courts</w:t>
      </w:r>
      <w:r>
        <w:rPr>
          <w:color w:val="231F20"/>
          <w:spacing w:val="-2"/>
          <w:sz w:val="19"/>
        </w:rPr>
        <w:t> </w:t>
      </w:r>
      <w:r>
        <w:rPr>
          <w:color w:val="231F20"/>
          <w:spacing w:val="-6"/>
          <w:sz w:val="19"/>
        </w:rPr>
        <w:t>must</w:t>
      </w:r>
      <w:r>
        <w:rPr>
          <w:color w:val="231F20"/>
          <w:spacing w:val="-1"/>
          <w:sz w:val="19"/>
        </w:rPr>
        <w:t> </w:t>
      </w:r>
      <w:r>
        <w:rPr>
          <w:color w:val="231F20"/>
          <w:spacing w:val="-6"/>
          <w:sz w:val="19"/>
        </w:rPr>
        <w:t>take</w:t>
      </w:r>
      <w:r>
        <w:rPr>
          <w:color w:val="231F20"/>
          <w:spacing w:val="-3"/>
          <w:sz w:val="19"/>
        </w:rPr>
        <w:t> </w:t>
      </w:r>
      <w:r>
        <w:rPr>
          <w:color w:val="231F20"/>
          <w:spacing w:val="-6"/>
          <w:sz w:val="19"/>
        </w:rPr>
        <w:t>into</w:t>
      </w:r>
      <w:r>
        <w:rPr>
          <w:color w:val="231F20"/>
          <w:spacing w:val="-3"/>
          <w:sz w:val="19"/>
        </w:rPr>
        <w:t> </w:t>
      </w:r>
      <w:r>
        <w:rPr>
          <w:color w:val="231F20"/>
          <w:spacing w:val="-6"/>
          <w:sz w:val="19"/>
        </w:rPr>
        <w:t>account</w:t>
      </w:r>
      <w:r>
        <w:rPr>
          <w:color w:val="231F20"/>
          <w:spacing w:val="-1"/>
          <w:sz w:val="19"/>
        </w:rPr>
        <w:t> </w:t>
      </w:r>
      <w:r>
        <w:rPr>
          <w:rFonts w:ascii="Arial" w:hAnsi="Arial"/>
          <w:color w:val="231F20"/>
          <w:spacing w:val="-6"/>
          <w:sz w:val="19"/>
        </w:rPr>
        <w:t>‘</w:t>
      </w:r>
      <w:r>
        <w:rPr>
          <w:color w:val="231F20"/>
          <w:spacing w:val="-6"/>
          <w:sz w:val="19"/>
        </w:rPr>
        <w:t>all</w:t>
      </w:r>
      <w:r>
        <w:rPr>
          <w:color w:val="231F20"/>
          <w:spacing w:val="-2"/>
          <w:sz w:val="19"/>
        </w:rPr>
        <w:t> </w:t>
      </w:r>
      <w:r>
        <w:rPr>
          <w:color w:val="231F20"/>
          <w:spacing w:val="-6"/>
          <w:sz w:val="19"/>
        </w:rPr>
        <w:t>of</w:t>
      </w:r>
      <w:r>
        <w:rPr>
          <w:color w:val="231F20"/>
          <w:spacing w:val="4"/>
          <w:sz w:val="19"/>
        </w:rPr>
        <w:t> </w:t>
      </w:r>
      <w:r>
        <w:rPr>
          <w:color w:val="231F20"/>
          <w:spacing w:val="-6"/>
          <w:sz w:val="19"/>
        </w:rPr>
        <w:t>its</w:t>
      </w:r>
      <w:r>
        <w:rPr>
          <w:color w:val="231F20"/>
          <w:sz w:val="19"/>
        </w:rPr>
        <w:t> national</w:t>
      </w:r>
      <w:r>
        <w:rPr>
          <w:color w:val="231F20"/>
          <w:spacing w:val="-3"/>
          <w:sz w:val="19"/>
        </w:rPr>
        <w:t> </w:t>
      </w:r>
      <w:r>
        <w:rPr>
          <w:color w:val="231F20"/>
          <w:sz w:val="19"/>
        </w:rPr>
        <w:t>law</w:t>
      </w:r>
      <w:r>
        <w:rPr>
          <w:rFonts w:ascii="Arial" w:hAnsi="Arial"/>
          <w:color w:val="231F20"/>
          <w:sz w:val="19"/>
        </w:rPr>
        <w:t>’</w:t>
      </w:r>
      <w:r>
        <w:rPr>
          <w:color w:val="231F20"/>
          <w:sz w:val="19"/>
          <w:vertAlign w:val="superscript"/>
        </w:rPr>
        <w:t>177</w:t>
      </w:r>
      <w:r>
        <w:rPr>
          <w:color w:val="231F20"/>
          <w:spacing w:val="-3"/>
          <w:sz w:val="19"/>
          <w:vertAlign w:val="baseline"/>
        </w:rPr>
        <w:t> </w:t>
      </w:r>
      <w:r>
        <w:rPr>
          <w:color w:val="231F20"/>
          <w:sz w:val="19"/>
          <w:vertAlign w:val="baseline"/>
        </w:rPr>
        <w:t>to</w:t>
      </w:r>
      <w:r>
        <w:rPr>
          <w:color w:val="231F20"/>
          <w:spacing w:val="-3"/>
          <w:sz w:val="19"/>
          <w:vertAlign w:val="baseline"/>
        </w:rPr>
        <w:t> </w:t>
      </w:r>
      <w:r>
        <w:rPr>
          <w:color w:val="231F20"/>
          <w:sz w:val="19"/>
          <w:vertAlign w:val="baseline"/>
        </w:rPr>
        <w:t>determine</w:t>
      </w:r>
      <w:r>
        <w:rPr>
          <w:color w:val="231F20"/>
          <w:spacing w:val="-3"/>
          <w:sz w:val="19"/>
          <w:vertAlign w:val="baseline"/>
        </w:rPr>
        <w:t> </w:t>
      </w:r>
      <w:r>
        <w:rPr>
          <w:color w:val="231F20"/>
          <w:sz w:val="19"/>
          <w:vertAlign w:val="baseline"/>
        </w:rPr>
        <w:t>the</w:t>
      </w:r>
      <w:r>
        <w:rPr>
          <w:color w:val="231F20"/>
          <w:spacing w:val="-3"/>
          <w:sz w:val="19"/>
          <w:vertAlign w:val="baseline"/>
        </w:rPr>
        <w:t> </w:t>
      </w:r>
      <w:r>
        <w:rPr>
          <w:color w:val="231F20"/>
          <w:sz w:val="19"/>
          <w:vertAlign w:val="baseline"/>
        </w:rPr>
        <w:t>consequences</w:t>
      </w:r>
      <w:r>
        <w:rPr>
          <w:color w:val="231F20"/>
          <w:spacing w:val="-3"/>
          <w:sz w:val="19"/>
          <w:vertAlign w:val="baseline"/>
        </w:rPr>
        <w:t> </w:t>
      </w:r>
      <w:r>
        <w:rPr>
          <w:color w:val="231F20"/>
          <w:sz w:val="19"/>
          <w:vertAlign w:val="baseline"/>
        </w:rPr>
        <w:t>that</w:t>
      </w:r>
      <w:r>
        <w:rPr>
          <w:color w:val="231F20"/>
          <w:spacing w:val="-2"/>
          <w:sz w:val="19"/>
          <w:vertAlign w:val="baseline"/>
        </w:rPr>
        <w:t> </w:t>
      </w:r>
      <w:r>
        <w:rPr>
          <w:color w:val="231F20"/>
          <w:sz w:val="19"/>
          <w:vertAlign w:val="baseline"/>
        </w:rPr>
        <w:t>should</w:t>
      </w:r>
      <w:r>
        <w:rPr>
          <w:color w:val="231F20"/>
          <w:spacing w:val="-3"/>
          <w:sz w:val="19"/>
          <w:vertAlign w:val="baseline"/>
        </w:rPr>
        <w:t> </w:t>
      </w:r>
      <w:r>
        <w:rPr>
          <w:color w:val="231F20"/>
          <w:sz w:val="19"/>
          <w:vertAlign w:val="baseline"/>
        </w:rPr>
        <w:t>follow</w:t>
      </w:r>
      <w:r>
        <w:rPr>
          <w:color w:val="231F20"/>
          <w:spacing w:val="-3"/>
          <w:sz w:val="19"/>
          <w:vertAlign w:val="baseline"/>
        </w:rPr>
        <w:t> </w:t>
      </w:r>
      <w:r>
        <w:rPr>
          <w:color w:val="231F20"/>
          <w:sz w:val="19"/>
          <w:vertAlign w:val="baseline"/>
        </w:rPr>
        <w:t>from</w:t>
      </w:r>
      <w:r>
        <w:rPr>
          <w:color w:val="231F20"/>
          <w:spacing w:val="-3"/>
          <w:sz w:val="19"/>
          <w:vertAlign w:val="baseline"/>
        </w:rPr>
        <w:t> </w:t>
      </w:r>
      <w:r>
        <w:rPr>
          <w:color w:val="231F20"/>
          <w:sz w:val="19"/>
          <w:vertAlign w:val="baseline"/>
        </w:rPr>
        <w:t>finding</w:t>
      </w:r>
      <w:r>
        <w:rPr>
          <w:color w:val="231F20"/>
          <w:spacing w:val="-2"/>
          <w:sz w:val="19"/>
          <w:vertAlign w:val="baseline"/>
        </w:rPr>
        <w:t> </w:t>
      </w:r>
      <w:r>
        <w:rPr>
          <w:color w:val="231F20"/>
          <w:sz w:val="19"/>
          <w:vertAlign w:val="baseline"/>
        </w:rPr>
        <w:t>an </w:t>
      </w:r>
      <w:r>
        <w:rPr>
          <w:color w:val="231F20"/>
          <w:spacing w:val="-2"/>
          <w:sz w:val="19"/>
          <w:vertAlign w:val="baseline"/>
        </w:rPr>
        <w:t>unfair</w:t>
      </w:r>
      <w:r>
        <w:rPr>
          <w:color w:val="231F20"/>
          <w:spacing w:val="-10"/>
          <w:sz w:val="19"/>
          <w:vertAlign w:val="baseline"/>
        </w:rPr>
        <w:t> </w:t>
      </w:r>
      <w:r>
        <w:rPr>
          <w:color w:val="231F20"/>
          <w:spacing w:val="-2"/>
          <w:sz w:val="19"/>
          <w:vertAlign w:val="baseline"/>
        </w:rPr>
        <w:t>term,</w:t>
      </w:r>
      <w:r>
        <w:rPr>
          <w:color w:val="231F20"/>
          <w:spacing w:val="-9"/>
          <w:sz w:val="19"/>
          <w:vertAlign w:val="baseline"/>
        </w:rPr>
        <w:t> </w:t>
      </w:r>
      <w:r>
        <w:rPr>
          <w:color w:val="231F20"/>
          <w:spacing w:val="-2"/>
          <w:sz w:val="19"/>
          <w:vertAlign w:val="baseline"/>
        </w:rPr>
        <w:t>when</w:t>
      </w:r>
      <w:r>
        <w:rPr>
          <w:color w:val="231F20"/>
          <w:spacing w:val="-10"/>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contract</w:t>
      </w:r>
      <w:r>
        <w:rPr>
          <w:color w:val="231F20"/>
          <w:spacing w:val="-10"/>
          <w:sz w:val="19"/>
          <w:vertAlign w:val="baseline"/>
        </w:rPr>
        <w:t> </w:t>
      </w:r>
      <w:r>
        <w:rPr>
          <w:color w:val="231F20"/>
          <w:spacing w:val="-2"/>
          <w:sz w:val="19"/>
          <w:vertAlign w:val="baseline"/>
        </w:rPr>
        <w:t>cannot</w:t>
      </w:r>
      <w:r>
        <w:rPr>
          <w:color w:val="231F20"/>
          <w:spacing w:val="-9"/>
          <w:sz w:val="19"/>
          <w:vertAlign w:val="baseline"/>
        </w:rPr>
        <w:t> </w:t>
      </w:r>
      <w:r>
        <w:rPr>
          <w:color w:val="231F20"/>
          <w:spacing w:val="-2"/>
          <w:sz w:val="19"/>
          <w:vertAlign w:val="baseline"/>
        </w:rPr>
        <w:t>continue</w:t>
      </w:r>
      <w:r>
        <w:rPr>
          <w:color w:val="231F20"/>
          <w:spacing w:val="-10"/>
          <w:sz w:val="19"/>
          <w:vertAlign w:val="baseline"/>
        </w:rPr>
        <w:t> </w:t>
      </w:r>
      <w:r>
        <w:rPr>
          <w:color w:val="231F20"/>
          <w:spacing w:val="-2"/>
          <w:sz w:val="19"/>
          <w:vertAlign w:val="baseline"/>
        </w:rPr>
        <w:t>in</w:t>
      </w:r>
      <w:r>
        <w:rPr>
          <w:color w:val="231F20"/>
          <w:spacing w:val="-9"/>
          <w:sz w:val="19"/>
          <w:vertAlign w:val="baseline"/>
        </w:rPr>
        <w:t> </w:t>
      </w:r>
      <w:r>
        <w:rPr>
          <w:color w:val="231F20"/>
          <w:spacing w:val="-2"/>
          <w:sz w:val="19"/>
          <w:vertAlign w:val="baseline"/>
        </w:rPr>
        <w:t>existence,</w:t>
      </w:r>
      <w:r>
        <w:rPr>
          <w:color w:val="231F20"/>
          <w:spacing w:val="-10"/>
          <w:sz w:val="19"/>
          <w:vertAlign w:val="baseline"/>
        </w:rPr>
        <w:t> </w:t>
      </w:r>
      <w:r>
        <w:rPr>
          <w:color w:val="231F20"/>
          <w:spacing w:val="-2"/>
          <w:sz w:val="19"/>
          <w:vertAlign w:val="baseline"/>
        </w:rPr>
        <w:t>to</w:t>
      </w:r>
      <w:r>
        <w:rPr>
          <w:color w:val="231F20"/>
          <w:spacing w:val="-9"/>
          <w:sz w:val="19"/>
          <w:vertAlign w:val="baseline"/>
        </w:rPr>
        <w:t> </w:t>
      </w:r>
      <w:r>
        <w:rPr>
          <w:color w:val="231F20"/>
          <w:spacing w:val="-2"/>
          <w:sz w:val="19"/>
          <w:vertAlign w:val="baseline"/>
        </w:rPr>
        <w:t>ensure</w:t>
      </w:r>
      <w:r>
        <w:rPr>
          <w:color w:val="231F20"/>
          <w:spacing w:val="-10"/>
          <w:sz w:val="19"/>
          <w:vertAlign w:val="baseline"/>
        </w:rPr>
        <w:t> </w:t>
      </w:r>
      <w:r>
        <w:rPr>
          <w:color w:val="231F20"/>
          <w:spacing w:val="-2"/>
          <w:sz w:val="19"/>
          <w:vertAlign w:val="baseline"/>
        </w:rPr>
        <w:t>a</w:t>
      </w:r>
      <w:r>
        <w:rPr>
          <w:color w:val="231F20"/>
          <w:spacing w:val="-9"/>
          <w:sz w:val="19"/>
          <w:vertAlign w:val="baseline"/>
        </w:rPr>
        <w:t> </w:t>
      </w:r>
      <w:r>
        <w:rPr>
          <w:color w:val="231F20"/>
          <w:spacing w:val="-2"/>
          <w:sz w:val="19"/>
          <w:vertAlign w:val="baseline"/>
        </w:rPr>
        <w:t>high</w:t>
      </w:r>
      <w:r>
        <w:rPr>
          <w:color w:val="231F20"/>
          <w:spacing w:val="-9"/>
          <w:sz w:val="19"/>
          <w:vertAlign w:val="baseline"/>
        </w:rPr>
        <w:t> </w:t>
      </w:r>
      <w:r>
        <w:rPr>
          <w:color w:val="231F20"/>
          <w:spacing w:val="-2"/>
          <w:sz w:val="19"/>
          <w:vertAlign w:val="baseline"/>
        </w:rPr>
        <w:t>level</w:t>
      </w:r>
      <w:r>
        <w:rPr>
          <w:color w:val="231F20"/>
          <w:spacing w:val="-10"/>
          <w:sz w:val="19"/>
          <w:vertAlign w:val="baseline"/>
        </w:rPr>
        <w:t> </w:t>
      </w:r>
      <w:r>
        <w:rPr>
          <w:color w:val="231F20"/>
          <w:spacing w:val="-2"/>
          <w:sz w:val="19"/>
          <w:vertAlign w:val="baseline"/>
        </w:rPr>
        <w:t>of </w:t>
      </w:r>
      <w:r>
        <w:rPr>
          <w:color w:val="231F20"/>
          <w:spacing w:val="-4"/>
          <w:sz w:val="19"/>
          <w:vertAlign w:val="baseline"/>
        </w:rPr>
        <w:t>consumer</w:t>
      </w:r>
      <w:r>
        <w:rPr>
          <w:color w:val="231F20"/>
          <w:spacing w:val="-6"/>
          <w:sz w:val="19"/>
          <w:vertAlign w:val="baseline"/>
        </w:rPr>
        <w:t> </w:t>
      </w:r>
      <w:r>
        <w:rPr>
          <w:color w:val="231F20"/>
          <w:spacing w:val="-4"/>
          <w:sz w:val="19"/>
          <w:vertAlign w:val="baseline"/>
        </w:rPr>
        <w:t>protection.</w:t>
      </w:r>
      <w:r>
        <w:rPr>
          <w:color w:val="231F20"/>
          <w:spacing w:val="-4"/>
          <w:sz w:val="19"/>
          <w:vertAlign w:val="superscript"/>
        </w:rPr>
        <w:t>178</w:t>
      </w:r>
      <w:r>
        <w:rPr>
          <w:color w:val="231F20"/>
          <w:spacing w:val="-6"/>
          <w:sz w:val="19"/>
          <w:vertAlign w:val="baseline"/>
        </w:rPr>
        <w:t> </w:t>
      </w:r>
      <w:r>
        <w:rPr>
          <w:color w:val="231F20"/>
          <w:spacing w:val="-4"/>
          <w:sz w:val="19"/>
          <w:vertAlign w:val="baseline"/>
        </w:rPr>
        <w:t>However,</w:t>
      </w:r>
      <w:r>
        <w:rPr>
          <w:color w:val="231F20"/>
          <w:spacing w:val="-6"/>
          <w:sz w:val="19"/>
          <w:vertAlign w:val="baseline"/>
        </w:rPr>
        <w:t> </w:t>
      </w:r>
      <w:r>
        <w:rPr>
          <w:color w:val="231F20"/>
          <w:spacing w:val="-4"/>
          <w:sz w:val="19"/>
          <w:vertAlign w:val="baseline"/>
        </w:rPr>
        <w:t>it added,</w:t>
      </w:r>
      <w:r>
        <w:rPr>
          <w:color w:val="231F20"/>
          <w:spacing w:val="-8"/>
          <w:sz w:val="19"/>
          <w:vertAlign w:val="baseline"/>
        </w:rPr>
        <w:t> </w:t>
      </w:r>
      <w:r>
        <w:rPr>
          <w:rFonts w:ascii="Arial" w:hAnsi="Arial"/>
          <w:color w:val="231F20"/>
          <w:spacing w:val="-4"/>
          <w:sz w:val="19"/>
          <w:vertAlign w:val="baseline"/>
        </w:rPr>
        <w:t>‘</w:t>
      </w:r>
      <w:r>
        <w:rPr>
          <w:color w:val="231F20"/>
          <w:spacing w:val="-4"/>
          <w:sz w:val="19"/>
          <w:vertAlign w:val="baseline"/>
        </w:rPr>
        <w:t>the</w:t>
      </w:r>
      <w:r>
        <w:rPr>
          <w:color w:val="231F20"/>
          <w:spacing w:val="-6"/>
          <w:sz w:val="19"/>
          <w:vertAlign w:val="baseline"/>
        </w:rPr>
        <w:t> </w:t>
      </w:r>
      <w:r>
        <w:rPr>
          <w:color w:val="231F20"/>
          <w:spacing w:val="-4"/>
          <w:sz w:val="19"/>
          <w:vertAlign w:val="baseline"/>
        </w:rPr>
        <w:t>court</w:t>
      </w:r>
      <w:r>
        <w:rPr>
          <w:rFonts w:ascii="Arial" w:hAnsi="Arial"/>
          <w:color w:val="231F20"/>
          <w:spacing w:val="-4"/>
          <w:sz w:val="19"/>
          <w:vertAlign w:val="baseline"/>
        </w:rPr>
        <w:t>’</w:t>
      </w:r>
      <w:r>
        <w:rPr>
          <w:color w:val="231F20"/>
          <w:spacing w:val="-4"/>
          <w:sz w:val="19"/>
          <w:vertAlign w:val="baseline"/>
        </w:rPr>
        <w:t>s</w:t>
      </w:r>
      <w:r>
        <w:rPr>
          <w:color w:val="231F20"/>
          <w:spacing w:val="-5"/>
          <w:sz w:val="19"/>
          <w:vertAlign w:val="baseline"/>
        </w:rPr>
        <w:t> </w:t>
      </w:r>
      <w:r>
        <w:rPr>
          <w:color w:val="231F20"/>
          <w:spacing w:val="-4"/>
          <w:sz w:val="19"/>
          <w:vertAlign w:val="baseline"/>
        </w:rPr>
        <w:t>powers</w:t>
      </w:r>
      <w:r>
        <w:rPr>
          <w:color w:val="231F20"/>
          <w:spacing w:val="-7"/>
          <w:sz w:val="19"/>
          <w:vertAlign w:val="baseline"/>
        </w:rPr>
        <w:t> </w:t>
      </w:r>
      <w:r>
        <w:rPr>
          <w:color w:val="231F20"/>
          <w:spacing w:val="-4"/>
          <w:sz w:val="19"/>
          <w:vertAlign w:val="baseline"/>
        </w:rPr>
        <w:t>cannot</w:t>
      </w:r>
      <w:r>
        <w:rPr>
          <w:color w:val="231F20"/>
          <w:spacing w:val="-7"/>
          <w:sz w:val="19"/>
          <w:vertAlign w:val="baseline"/>
        </w:rPr>
        <w:t> </w:t>
      </w:r>
      <w:r>
        <w:rPr>
          <w:color w:val="231F20"/>
          <w:spacing w:val="-4"/>
          <w:sz w:val="19"/>
          <w:vertAlign w:val="baseline"/>
        </w:rPr>
        <w:t>extend</w:t>
      </w:r>
      <w:r>
        <w:rPr>
          <w:color w:val="231F20"/>
          <w:spacing w:val="-5"/>
          <w:sz w:val="19"/>
          <w:vertAlign w:val="baseline"/>
        </w:rPr>
        <w:t> </w:t>
      </w:r>
      <w:r>
        <w:rPr>
          <w:color w:val="231F20"/>
          <w:spacing w:val="-4"/>
          <w:sz w:val="19"/>
          <w:vertAlign w:val="baseline"/>
        </w:rPr>
        <w:t>beyond </w:t>
      </w:r>
      <w:r>
        <w:rPr>
          <w:color w:val="231F20"/>
          <w:sz w:val="19"/>
          <w:vertAlign w:val="baseline"/>
        </w:rPr>
        <w:t>what</w:t>
      </w:r>
      <w:r>
        <w:rPr>
          <w:color w:val="231F20"/>
          <w:spacing w:val="-11"/>
          <w:sz w:val="19"/>
          <w:vertAlign w:val="baseline"/>
        </w:rPr>
        <w:t> </w:t>
      </w:r>
      <w:r>
        <w:rPr>
          <w:color w:val="231F20"/>
          <w:sz w:val="19"/>
          <w:vertAlign w:val="baseline"/>
        </w:rPr>
        <w:t>is</w:t>
      </w:r>
      <w:r>
        <w:rPr>
          <w:color w:val="231F20"/>
          <w:spacing w:val="-11"/>
          <w:sz w:val="19"/>
          <w:vertAlign w:val="baseline"/>
        </w:rPr>
        <w:t> </w:t>
      </w:r>
      <w:r>
        <w:rPr>
          <w:color w:val="231F20"/>
          <w:sz w:val="19"/>
          <w:vertAlign w:val="baseline"/>
        </w:rPr>
        <w:t>strictly</w:t>
      </w:r>
      <w:r>
        <w:rPr>
          <w:color w:val="231F20"/>
          <w:spacing w:val="-11"/>
          <w:sz w:val="19"/>
          <w:vertAlign w:val="baseline"/>
        </w:rPr>
        <w:t> </w:t>
      </w:r>
      <w:r>
        <w:rPr>
          <w:color w:val="231F20"/>
          <w:sz w:val="19"/>
          <w:vertAlign w:val="baseline"/>
        </w:rPr>
        <w:t>necessary</w:t>
      </w:r>
      <w:r>
        <w:rPr>
          <w:color w:val="231F20"/>
          <w:spacing w:val="-11"/>
          <w:sz w:val="19"/>
          <w:vertAlign w:val="baseline"/>
        </w:rPr>
        <w:t> </w:t>
      </w:r>
      <w:r>
        <w:rPr>
          <w:color w:val="231F20"/>
          <w:sz w:val="19"/>
          <w:vertAlign w:val="baseline"/>
        </w:rPr>
        <w:t>to</w:t>
      </w:r>
      <w:r>
        <w:rPr>
          <w:color w:val="231F20"/>
          <w:spacing w:val="-11"/>
          <w:sz w:val="19"/>
          <w:vertAlign w:val="baseline"/>
        </w:rPr>
        <w:t> </w:t>
      </w:r>
      <w:r>
        <w:rPr>
          <w:color w:val="231F20"/>
          <w:sz w:val="19"/>
          <w:vertAlign w:val="baseline"/>
        </w:rPr>
        <w:t>restore</w:t>
      </w:r>
      <w:r>
        <w:rPr>
          <w:color w:val="231F20"/>
          <w:spacing w:val="-11"/>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contractual</w:t>
      </w:r>
      <w:r>
        <w:rPr>
          <w:color w:val="231F20"/>
          <w:spacing w:val="-11"/>
          <w:sz w:val="19"/>
          <w:vertAlign w:val="baseline"/>
        </w:rPr>
        <w:t> </w:t>
      </w:r>
      <w:r>
        <w:rPr>
          <w:color w:val="231F20"/>
          <w:sz w:val="19"/>
          <w:vertAlign w:val="baseline"/>
        </w:rPr>
        <w:t>balance</w:t>
      </w:r>
      <w:r>
        <w:rPr>
          <w:color w:val="231F20"/>
          <w:spacing w:val="-10"/>
          <w:sz w:val="19"/>
          <w:vertAlign w:val="baseline"/>
        </w:rPr>
        <w:t> </w:t>
      </w:r>
      <w:r>
        <w:rPr>
          <w:color w:val="231F20"/>
          <w:sz w:val="19"/>
          <w:vertAlign w:val="baseline"/>
        </w:rPr>
        <w:t>between</w:t>
      </w:r>
      <w:r>
        <w:rPr>
          <w:color w:val="231F20"/>
          <w:spacing w:val="-10"/>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parties</w:t>
      </w:r>
      <w:r>
        <w:rPr>
          <w:rFonts w:ascii="Arial" w:hAnsi="Arial"/>
          <w:color w:val="231F20"/>
          <w:sz w:val="19"/>
          <w:vertAlign w:val="baseline"/>
        </w:rPr>
        <w:t>’</w:t>
      </w:r>
      <w:r>
        <w:rPr>
          <w:color w:val="231F20"/>
          <w:sz w:val="19"/>
          <w:vertAlign w:val="baseline"/>
        </w:rPr>
        <w:t>.</w:t>
      </w:r>
      <w:r>
        <w:rPr>
          <w:color w:val="231F20"/>
          <w:sz w:val="19"/>
          <w:vertAlign w:val="superscript"/>
        </w:rPr>
        <w:t>179</w:t>
      </w:r>
      <w:r>
        <w:rPr>
          <w:color w:val="231F20"/>
          <w:sz w:val="19"/>
          <w:vertAlign w:val="baseline"/>
        </w:rPr>
        <w:t> This</w:t>
      </w:r>
      <w:r>
        <w:rPr>
          <w:color w:val="231F20"/>
          <w:spacing w:val="-4"/>
          <w:sz w:val="19"/>
          <w:vertAlign w:val="baseline"/>
        </w:rPr>
        <w:t> </w:t>
      </w:r>
      <w:r>
        <w:rPr>
          <w:color w:val="231F20"/>
          <w:sz w:val="19"/>
          <w:vertAlign w:val="baseline"/>
        </w:rPr>
        <w:t>is</w:t>
      </w:r>
      <w:r>
        <w:rPr>
          <w:color w:val="231F20"/>
          <w:spacing w:val="-6"/>
          <w:sz w:val="19"/>
          <w:vertAlign w:val="baseline"/>
        </w:rPr>
        <w:t> </w:t>
      </w:r>
      <w:r>
        <w:rPr>
          <w:color w:val="231F20"/>
          <w:sz w:val="19"/>
          <w:vertAlign w:val="baseline"/>
        </w:rPr>
        <w:t>consistent</w:t>
      </w:r>
      <w:r>
        <w:rPr>
          <w:color w:val="231F20"/>
          <w:spacing w:val="-5"/>
          <w:sz w:val="19"/>
          <w:vertAlign w:val="baseline"/>
        </w:rPr>
        <w:t> </w:t>
      </w:r>
      <w:r>
        <w:rPr>
          <w:color w:val="231F20"/>
          <w:sz w:val="19"/>
          <w:vertAlign w:val="baseline"/>
        </w:rPr>
        <w:t>with</w:t>
      </w:r>
      <w:r>
        <w:rPr>
          <w:color w:val="231F20"/>
          <w:spacing w:val="-4"/>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aim</w:t>
      </w:r>
      <w:r>
        <w:rPr>
          <w:color w:val="231F20"/>
          <w:spacing w:val="-4"/>
          <w:sz w:val="19"/>
          <w:vertAlign w:val="baseline"/>
        </w:rPr>
        <w:t> </w:t>
      </w:r>
      <w:r>
        <w:rPr>
          <w:color w:val="231F20"/>
          <w:sz w:val="19"/>
          <w:vertAlign w:val="baseline"/>
        </w:rPr>
        <w:t>of</w:t>
      </w:r>
      <w:r>
        <w:rPr>
          <w:color w:val="231F20"/>
          <w:spacing w:val="-5"/>
          <w:sz w:val="19"/>
          <w:vertAlign w:val="baseline"/>
        </w:rPr>
        <w:t> </w:t>
      </w:r>
      <w:r>
        <w:rPr>
          <w:color w:val="231F20"/>
          <w:sz w:val="19"/>
          <w:vertAlign w:val="baseline"/>
        </w:rPr>
        <w:t>party</w:t>
      </w:r>
      <w:r>
        <w:rPr>
          <w:color w:val="231F20"/>
          <w:spacing w:val="-6"/>
          <w:sz w:val="19"/>
          <w:vertAlign w:val="baseline"/>
        </w:rPr>
        <w:t> </w:t>
      </w:r>
      <w:r>
        <w:rPr>
          <w:color w:val="231F20"/>
          <w:sz w:val="19"/>
          <w:vertAlign w:val="baseline"/>
        </w:rPr>
        <w:t>equality</w:t>
      </w:r>
      <w:r>
        <w:rPr>
          <w:color w:val="231F20"/>
          <w:spacing w:val="-5"/>
          <w:sz w:val="19"/>
          <w:vertAlign w:val="baseline"/>
        </w:rPr>
        <w:t> </w:t>
      </w:r>
      <w:r>
        <w:rPr>
          <w:color w:val="231F20"/>
          <w:sz w:val="19"/>
          <w:vertAlign w:val="baseline"/>
        </w:rPr>
        <w:t>under</w:t>
      </w:r>
      <w:r>
        <w:rPr>
          <w:color w:val="231F20"/>
          <w:spacing w:val="-5"/>
          <w:sz w:val="19"/>
          <w:vertAlign w:val="baseline"/>
        </w:rPr>
        <w:t> </w:t>
      </w:r>
      <w:r>
        <w:rPr>
          <w:color w:val="231F20"/>
          <w:sz w:val="19"/>
          <w:vertAlign w:val="baseline"/>
        </w:rPr>
        <w:t>Article</w:t>
      </w:r>
      <w:r>
        <w:rPr>
          <w:color w:val="231F20"/>
          <w:spacing w:val="-5"/>
          <w:sz w:val="19"/>
          <w:vertAlign w:val="baseline"/>
        </w:rPr>
        <w:t> </w:t>
      </w:r>
      <w:r>
        <w:rPr>
          <w:color w:val="231F20"/>
          <w:sz w:val="19"/>
          <w:vertAlign w:val="baseline"/>
        </w:rPr>
        <w:t>6(1)</w:t>
      </w:r>
      <w:r>
        <w:rPr>
          <w:color w:val="231F20"/>
          <w:spacing w:val="-5"/>
          <w:sz w:val="19"/>
          <w:vertAlign w:val="baseline"/>
        </w:rPr>
        <w:t> </w:t>
      </w:r>
      <w:r>
        <w:rPr>
          <w:color w:val="231F20"/>
          <w:sz w:val="19"/>
          <w:vertAlign w:val="baseline"/>
        </w:rPr>
        <w:t>UCTD.</w:t>
      </w:r>
    </w:p>
    <w:p>
      <w:pPr>
        <w:pStyle w:val="BodyText"/>
        <w:rPr>
          <w:sz w:val="20"/>
        </w:rPr>
      </w:pPr>
    </w:p>
    <w:p>
      <w:pPr>
        <w:pStyle w:val="BodyText"/>
        <w:spacing w:before="55"/>
        <w:rPr>
          <w:sz w:val="20"/>
        </w:rPr>
      </w:pPr>
      <w:r>
        <w:rPr/>
        <mc:AlternateContent>
          <mc:Choice Requires="wps">
            <w:drawing>
              <wp:anchor distT="0" distB="0" distL="0" distR="0" allowOverlap="1" layoutInCell="1" locked="0" behindDoc="1" simplePos="0" relativeHeight="487603200">
                <wp:simplePos x="0" y="0"/>
                <wp:positionH relativeFrom="page">
                  <wp:posOffset>1979993</wp:posOffset>
                </wp:positionH>
                <wp:positionV relativeFrom="paragraph">
                  <wp:posOffset>194992</wp:posOffset>
                </wp:positionV>
                <wp:extent cx="1656080" cy="4445"/>
                <wp:effectExtent l="0" t="0" r="0" b="0"/>
                <wp:wrapTopAndBottom/>
                <wp:docPr id="33" name="Graphic 33"/>
                <wp:cNvGraphicFramePr>
                  <a:graphicFrameLocks/>
                </wp:cNvGraphicFramePr>
                <a:graphic>
                  <a:graphicData uri="http://schemas.microsoft.com/office/word/2010/wordprocessingShape">
                    <wps:wsp>
                      <wps:cNvPr id="33" name="Graphic 33"/>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5.353763pt;width:130.394pt;height:.34018pt;mso-position-horizontal-relative:page;mso-position-vertical-relative:paragraph;z-index:-15713280;mso-wrap-distance-left:0;mso-wrap-distance-right:0" id="docshape33" filled="true" fillcolor="#000000" stroked="false">
                <v:fill type="solid"/>
                <w10:wrap type="topAndBottom"/>
              </v:rect>
            </w:pict>
          </mc:Fallback>
        </mc:AlternateContent>
      </w:r>
    </w:p>
    <w:p>
      <w:pPr>
        <w:pStyle w:val="BodyText"/>
        <w:spacing w:before="72"/>
        <w:rPr>
          <w:sz w:val="16"/>
        </w:rPr>
      </w:pPr>
    </w:p>
    <w:p>
      <w:pPr>
        <w:pStyle w:val="ListParagraph"/>
        <w:numPr>
          <w:ilvl w:val="0"/>
          <w:numId w:val="3"/>
        </w:numPr>
        <w:tabs>
          <w:tab w:pos="865" w:val="left" w:leader="none"/>
        </w:tabs>
        <w:spacing w:line="240" w:lineRule="auto" w:before="1" w:after="0"/>
        <w:ind w:left="865" w:right="0" w:hanging="353"/>
        <w:jc w:val="left"/>
        <w:rPr>
          <w:sz w:val="16"/>
        </w:rPr>
      </w:pPr>
      <w:r>
        <w:rPr>
          <w:color w:val="231F20"/>
          <w:sz w:val="16"/>
        </w:rPr>
        <w:t>S.</w:t>
      </w:r>
      <w:r>
        <w:rPr>
          <w:color w:val="231F20"/>
          <w:spacing w:val="4"/>
          <w:sz w:val="16"/>
        </w:rPr>
        <w:t> </w:t>
      </w:r>
      <w:r>
        <w:rPr>
          <w:color w:val="231F20"/>
          <w:sz w:val="16"/>
        </w:rPr>
        <w:t>G</w:t>
      </w:r>
      <w:r>
        <w:rPr>
          <w:color w:val="231F20"/>
          <w:sz w:val="11"/>
        </w:rPr>
        <w:t>RUNDMANN</w:t>
      </w:r>
      <w:r>
        <w:rPr>
          <w:color w:val="231F20"/>
          <w:spacing w:val="17"/>
          <w:sz w:val="11"/>
        </w:rPr>
        <w:t> </w:t>
      </w:r>
      <w:r>
        <w:rPr>
          <w:color w:val="231F20"/>
          <w:sz w:val="16"/>
        </w:rPr>
        <w:t>&amp;</w:t>
      </w:r>
      <w:r>
        <w:rPr>
          <w:color w:val="231F20"/>
          <w:spacing w:val="5"/>
          <w:sz w:val="16"/>
        </w:rPr>
        <w:t> </w:t>
      </w:r>
      <w:r>
        <w:rPr>
          <w:color w:val="231F20"/>
          <w:sz w:val="16"/>
        </w:rPr>
        <w:t>N.</w:t>
      </w:r>
      <w:r>
        <w:rPr>
          <w:color w:val="231F20"/>
          <w:spacing w:val="4"/>
          <w:sz w:val="16"/>
        </w:rPr>
        <w:t> </w:t>
      </w:r>
      <w:r>
        <w:rPr>
          <w:color w:val="231F20"/>
          <w:sz w:val="16"/>
        </w:rPr>
        <w:t>B</w:t>
      </w:r>
      <w:r>
        <w:rPr>
          <w:color w:val="231F20"/>
          <w:sz w:val="11"/>
        </w:rPr>
        <w:t>ADENHOOP</w:t>
      </w:r>
      <w:r>
        <w:rPr>
          <w:color w:val="231F20"/>
          <w:sz w:val="16"/>
        </w:rPr>
        <w:t>,</w:t>
      </w:r>
      <w:r>
        <w:rPr>
          <w:color w:val="231F20"/>
          <w:spacing w:val="4"/>
          <w:sz w:val="16"/>
        </w:rPr>
        <w:t> </w:t>
      </w:r>
      <w:r>
        <w:rPr>
          <w:rFonts w:ascii="Arial" w:hAnsi="Arial"/>
          <w:color w:val="231F20"/>
          <w:sz w:val="16"/>
        </w:rPr>
        <w:t>‘</w:t>
      </w:r>
      <w:r>
        <w:rPr>
          <w:color w:val="231F20"/>
          <w:sz w:val="16"/>
        </w:rPr>
        <w:t>Foreign</w:t>
      </w:r>
      <w:r>
        <w:rPr>
          <w:color w:val="231F20"/>
          <w:spacing w:val="6"/>
          <w:sz w:val="16"/>
        </w:rPr>
        <w:t> </w:t>
      </w:r>
      <w:r>
        <w:rPr>
          <w:color w:val="231F20"/>
          <w:sz w:val="16"/>
        </w:rPr>
        <w:t>Currency</w:t>
      </w:r>
      <w:r>
        <w:rPr>
          <w:color w:val="231F20"/>
          <w:spacing w:val="5"/>
          <w:sz w:val="16"/>
        </w:rPr>
        <w:t> </w:t>
      </w:r>
      <w:r>
        <w:rPr>
          <w:color w:val="231F20"/>
          <w:sz w:val="16"/>
        </w:rPr>
        <w:t>Loans</w:t>
      </w:r>
      <w:r>
        <w:rPr>
          <w:rFonts w:ascii="Arial" w:hAnsi="Arial"/>
          <w:color w:val="231F20"/>
          <w:sz w:val="16"/>
        </w:rPr>
        <w:t>’</w:t>
      </w:r>
      <w:r>
        <w:rPr>
          <w:color w:val="231F20"/>
          <w:sz w:val="16"/>
        </w:rPr>
        <w:t>,</w:t>
      </w:r>
      <w:r>
        <w:rPr>
          <w:color w:val="231F20"/>
          <w:spacing w:val="4"/>
          <w:sz w:val="16"/>
        </w:rPr>
        <w:t> </w:t>
      </w:r>
      <w:r>
        <w:rPr>
          <w:color w:val="231F20"/>
          <w:sz w:val="16"/>
        </w:rPr>
        <w:t>p</w:t>
      </w:r>
      <w:r>
        <w:rPr>
          <w:color w:val="231F20"/>
          <w:spacing w:val="4"/>
          <w:sz w:val="16"/>
        </w:rPr>
        <w:t> </w:t>
      </w:r>
      <w:r>
        <w:rPr>
          <w:color w:val="231F20"/>
          <w:spacing w:val="-5"/>
          <w:sz w:val="16"/>
        </w:rPr>
        <w:t>18.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9"/>
          <w:sz w:val="16"/>
        </w:rPr>
        <w:t> </w:t>
      </w:r>
      <w:r>
        <w:rPr>
          <w:color w:val="231F20"/>
          <w:sz w:val="16"/>
        </w:rPr>
        <w:t>14</w:t>
      </w:r>
      <w:r>
        <w:rPr>
          <w:color w:val="231F20"/>
          <w:spacing w:val="9"/>
          <w:sz w:val="16"/>
        </w:rPr>
        <w:t> </w:t>
      </w:r>
      <w:r>
        <w:rPr>
          <w:color w:val="231F20"/>
          <w:sz w:val="16"/>
        </w:rPr>
        <w:t>Mar.</w:t>
      </w:r>
      <w:r>
        <w:rPr>
          <w:color w:val="231F20"/>
          <w:spacing w:val="9"/>
          <w:sz w:val="16"/>
        </w:rPr>
        <w:t> </w:t>
      </w:r>
      <w:r>
        <w:rPr>
          <w:color w:val="231F20"/>
          <w:sz w:val="16"/>
        </w:rPr>
        <w:t>2013,</w:t>
      </w:r>
      <w:r>
        <w:rPr>
          <w:color w:val="231F20"/>
          <w:spacing w:val="11"/>
          <w:sz w:val="16"/>
        </w:rPr>
        <w:t> </w:t>
      </w:r>
      <w:r>
        <w:rPr>
          <w:color w:val="231F20"/>
          <w:sz w:val="16"/>
        </w:rPr>
        <w:t>ECLI:EU:C:2013:164,</w:t>
      </w:r>
      <w:r>
        <w:rPr>
          <w:color w:val="231F20"/>
          <w:spacing w:val="10"/>
          <w:sz w:val="16"/>
        </w:rPr>
        <w:t> </w:t>
      </w:r>
      <w:r>
        <w:rPr>
          <w:i/>
          <w:color w:val="231F20"/>
          <w:sz w:val="16"/>
        </w:rPr>
        <w:t>Aziz</w:t>
      </w:r>
      <w:r>
        <w:rPr>
          <w:color w:val="231F20"/>
          <w:sz w:val="16"/>
        </w:rPr>
        <w:t>,</w:t>
      </w:r>
      <w:r>
        <w:rPr>
          <w:color w:val="231F20"/>
          <w:spacing w:val="9"/>
          <w:sz w:val="16"/>
        </w:rPr>
        <w:t> </w:t>
      </w:r>
      <w:r>
        <w:rPr>
          <w:color w:val="231F20"/>
          <w:sz w:val="16"/>
        </w:rPr>
        <w:t>para.</w:t>
      </w:r>
      <w:r>
        <w:rPr>
          <w:color w:val="231F20"/>
          <w:spacing w:val="10"/>
          <w:sz w:val="16"/>
        </w:rPr>
        <w:t> </w:t>
      </w:r>
      <w:r>
        <w:rPr>
          <w:color w:val="231F20"/>
          <w:spacing w:val="-5"/>
          <w:sz w:val="16"/>
        </w:rPr>
        <w:t>69.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9"/>
          <w:sz w:val="16"/>
        </w:rPr>
        <w:t> </w:t>
      </w:r>
      <w:r>
        <w:rPr>
          <w:color w:val="231F20"/>
          <w:sz w:val="16"/>
        </w:rPr>
        <w:t>14</w:t>
      </w:r>
      <w:r>
        <w:rPr>
          <w:color w:val="231F20"/>
          <w:spacing w:val="9"/>
          <w:sz w:val="16"/>
        </w:rPr>
        <w:t> </w:t>
      </w:r>
      <w:r>
        <w:rPr>
          <w:color w:val="231F20"/>
          <w:sz w:val="16"/>
        </w:rPr>
        <w:t>Mar.</w:t>
      </w:r>
      <w:r>
        <w:rPr>
          <w:color w:val="231F20"/>
          <w:spacing w:val="9"/>
          <w:sz w:val="16"/>
        </w:rPr>
        <w:t> </w:t>
      </w:r>
      <w:r>
        <w:rPr>
          <w:color w:val="231F20"/>
          <w:sz w:val="16"/>
        </w:rPr>
        <w:t>2013,</w:t>
      </w:r>
      <w:r>
        <w:rPr>
          <w:color w:val="231F20"/>
          <w:spacing w:val="11"/>
          <w:sz w:val="16"/>
        </w:rPr>
        <w:t> </w:t>
      </w:r>
      <w:r>
        <w:rPr>
          <w:color w:val="231F20"/>
          <w:sz w:val="16"/>
        </w:rPr>
        <w:t>ECLI:EU:C:2013:164,</w:t>
      </w:r>
      <w:r>
        <w:rPr>
          <w:color w:val="231F20"/>
          <w:spacing w:val="10"/>
          <w:sz w:val="16"/>
        </w:rPr>
        <w:t> </w:t>
      </w:r>
      <w:r>
        <w:rPr>
          <w:i/>
          <w:color w:val="231F20"/>
          <w:sz w:val="16"/>
        </w:rPr>
        <w:t>Aziz</w:t>
      </w:r>
      <w:r>
        <w:rPr>
          <w:color w:val="231F20"/>
          <w:sz w:val="16"/>
        </w:rPr>
        <w:t>,</w:t>
      </w:r>
      <w:r>
        <w:rPr>
          <w:color w:val="231F20"/>
          <w:spacing w:val="9"/>
          <w:sz w:val="16"/>
        </w:rPr>
        <w:t> </w:t>
      </w:r>
      <w:r>
        <w:rPr>
          <w:color w:val="231F20"/>
          <w:sz w:val="16"/>
        </w:rPr>
        <w:t>para.</w:t>
      </w:r>
      <w:r>
        <w:rPr>
          <w:color w:val="231F20"/>
          <w:spacing w:val="10"/>
          <w:sz w:val="16"/>
        </w:rPr>
        <w:t> </w:t>
      </w:r>
      <w:r>
        <w:rPr>
          <w:color w:val="231F20"/>
          <w:spacing w:val="-5"/>
          <w:sz w:val="16"/>
        </w:rPr>
        <w:t>69.</w:t>
      </w:r>
    </w:p>
    <w:p>
      <w:pPr>
        <w:pStyle w:val="ListParagraph"/>
        <w:numPr>
          <w:ilvl w:val="0"/>
          <w:numId w:val="3"/>
        </w:numPr>
        <w:tabs>
          <w:tab w:pos="865" w:val="left" w:leader="none"/>
        </w:tabs>
        <w:spacing w:line="240" w:lineRule="auto" w:before="37" w:after="0"/>
        <w:ind w:left="865" w:right="0" w:hanging="353"/>
        <w:jc w:val="left"/>
        <w:rPr>
          <w:i/>
          <w:sz w:val="16"/>
        </w:rPr>
      </w:pPr>
      <w:r>
        <w:rPr>
          <w:color w:val="231F20"/>
          <w:sz w:val="16"/>
        </w:rPr>
        <w:t>Opinion</w:t>
      </w:r>
      <w:r>
        <w:rPr>
          <w:color w:val="231F20"/>
          <w:spacing w:val="59"/>
          <w:sz w:val="16"/>
        </w:rPr>
        <w:t> </w:t>
      </w:r>
      <w:r>
        <w:rPr>
          <w:color w:val="231F20"/>
          <w:sz w:val="16"/>
        </w:rPr>
        <w:t>of</w:t>
      </w:r>
      <w:r>
        <w:rPr>
          <w:color w:val="231F20"/>
          <w:spacing w:val="62"/>
          <w:sz w:val="16"/>
        </w:rPr>
        <w:t> </w:t>
      </w:r>
      <w:r>
        <w:rPr>
          <w:color w:val="231F20"/>
          <w:sz w:val="16"/>
        </w:rPr>
        <w:t>A.G.</w:t>
      </w:r>
      <w:r>
        <w:rPr>
          <w:color w:val="231F20"/>
          <w:spacing w:val="60"/>
          <w:sz w:val="16"/>
        </w:rPr>
        <w:t> </w:t>
      </w:r>
      <w:r>
        <w:rPr>
          <w:color w:val="231F20"/>
          <w:sz w:val="16"/>
        </w:rPr>
        <w:t>K</w:t>
      </w:r>
      <w:r>
        <w:rPr>
          <w:color w:val="231F20"/>
          <w:sz w:val="11"/>
        </w:rPr>
        <w:t>OKOTT</w:t>
      </w:r>
      <w:r>
        <w:rPr>
          <w:color w:val="231F20"/>
          <w:spacing w:val="72"/>
          <w:sz w:val="11"/>
        </w:rPr>
        <w:t> </w:t>
      </w:r>
      <w:r>
        <w:rPr>
          <w:color w:val="231F20"/>
          <w:sz w:val="16"/>
        </w:rPr>
        <w:t>19</w:t>
      </w:r>
      <w:r>
        <w:rPr>
          <w:color w:val="231F20"/>
          <w:spacing w:val="60"/>
          <w:sz w:val="16"/>
        </w:rPr>
        <w:t> </w:t>
      </w:r>
      <w:r>
        <w:rPr>
          <w:color w:val="231F20"/>
          <w:sz w:val="16"/>
        </w:rPr>
        <w:t>Mar.</w:t>
      </w:r>
      <w:r>
        <w:rPr>
          <w:color w:val="231F20"/>
          <w:spacing w:val="60"/>
          <w:sz w:val="16"/>
        </w:rPr>
        <w:t> </w:t>
      </w:r>
      <w:r>
        <w:rPr>
          <w:color w:val="231F20"/>
          <w:sz w:val="16"/>
        </w:rPr>
        <w:t>2020,</w:t>
      </w:r>
      <w:r>
        <w:rPr>
          <w:color w:val="231F20"/>
          <w:spacing w:val="60"/>
          <w:sz w:val="16"/>
        </w:rPr>
        <w:t> </w:t>
      </w:r>
      <w:r>
        <w:rPr>
          <w:color w:val="231F20"/>
          <w:sz w:val="16"/>
        </w:rPr>
        <w:t>ECLI:EU:C:2020:217,</w:t>
      </w:r>
      <w:r>
        <w:rPr>
          <w:color w:val="231F20"/>
          <w:spacing w:val="61"/>
          <w:sz w:val="16"/>
        </w:rPr>
        <w:t> </w:t>
      </w:r>
      <w:r>
        <w:rPr>
          <w:i/>
          <w:color w:val="231F20"/>
          <w:sz w:val="16"/>
        </w:rPr>
        <w:t>NG</w:t>
      </w:r>
      <w:r>
        <w:rPr>
          <w:i/>
          <w:color w:val="231F20"/>
          <w:spacing w:val="60"/>
          <w:sz w:val="16"/>
        </w:rPr>
        <w:t> </w:t>
      </w:r>
      <w:r>
        <w:rPr>
          <w:i/>
          <w:color w:val="231F20"/>
          <w:sz w:val="16"/>
        </w:rPr>
        <w:t>and</w:t>
      </w:r>
      <w:r>
        <w:rPr>
          <w:i/>
          <w:color w:val="231F20"/>
          <w:spacing w:val="61"/>
          <w:sz w:val="16"/>
        </w:rPr>
        <w:t> </w:t>
      </w:r>
      <w:r>
        <w:rPr>
          <w:i/>
          <w:color w:val="231F20"/>
          <w:sz w:val="16"/>
        </w:rPr>
        <w:t>OH</w:t>
      </w:r>
      <w:r>
        <w:rPr>
          <w:i/>
          <w:color w:val="231F20"/>
          <w:spacing w:val="59"/>
          <w:sz w:val="16"/>
        </w:rPr>
        <w:t> </w:t>
      </w:r>
      <w:r>
        <w:rPr>
          <w:color w:val="231F20"/>
          <w:sz w:val="16"/>
        </w:rPr>
        <w:t>v.</w:t>
      </w:r>
      <w:r>
        <w:rPr>
          <w:color w:val="231F20"/>
          <w:spacing w:val="61"/>
          <w:sz w:val="16"/>
        </w:rPr>
        <w:t> </w:t>
      </w:r>
      <w:r>
        <w:rPr>
          <w:i/>
          <w:color w:val="231F20"/>
          <w:sz w:val="16"/>
        </w:rPr>
        <w:t>SC</w:t>
      </w:r>
      <w:r>
        <w:rPr>
          <w:i/>
          <w:color w:val="231F20"/>
          <w:spacing w:val="60"/>
          <w:sz w:val="16"/>
        </w:rPr>
        <w:t> </w:t>
      </w:r>
      <w:r>
        <w:rPr>
          <w:i/>
          <w:color w:val="231F20"/>
          <w:spacing w:val="-2"/>
          <w:sz w:val="16"/>
        </w:rPr>
        <w:t>Banca</w:t>
      </w:r>
    </w:p>
    <w:p>
      <w:pPr>
        <w:spacing w:before="37"/>
        <w:ind w:left="866" w:right="0" w:firstLine="0"/>
        <w:jc w:val="left"/>
        <w:rPr>
          <w:sz w:val="16"/>
        </w:rPr>
      </w:pPr>
      <w:r>
        <w:rPr>
          <w:i/>
          <w:color w:val="231F20"/>
          <w:spacing w:val="-2"/>
          <w:sz w:val="16"/>
        </w:rPr>
        <w:t>Transilvania</w:t>
      </w:r>
      <w:r>
        <w:rPr>
          <w:i/>
          <w:color w:val="231F20"/>
          <w:spacing w:val="13"/>
          <w:sz w:val="16"/>
        </w:rPr>
        <w:t> </w:t>
      </w:r>
      <w:r>
        <w:rPr>
          <w:i/>
          <w:color w:val="231F20"/>
          <w:spacing w:val="-2"/>
          <w:sz w:val="16"/>
        </w:rPr>
        <w:t>SA</w:t>
      </w:r>
      <w:r>
        <w:rPr>
          <w:color w:val="231F20"/>
          <w:spacing w:val="-2"/>
          <w:sz w:val="16"/>
        </w:rPr>
        <w:t>,</w:t>
      </w:r>
      <w:r>
        <w:rPr>
          <w:color w:val="231F20"/>
          <w:spacing w:val="13"/>
          <w:sz w:val="16"/>
        </w:rPr>
        <w:t> </w:t>
      </w:r>
      <w:r>
        <w:rPr>
          <w:color w:val="231F20"/>
          <w:spacing w:val="-2"/>
          <w:sz w:val="16"/>
        </w:rPr>
        <w:t>curia.europa.eu/juris/liste.jsf?num=C-81/19,</w:t>
      </w:r>
      <w:r>
        <w:rPr>
          <w:color w:val="231F20"/>
          <w:spacing w:val="14"/>
          <w:sz w:val="16"/>
        </w:rPr>
        <w:t> </w:t>
      </w:r>
      <w:r>
        <w:rPr>
          <w:color w:val="231F20"/>
          <w:spacing w:val="-2"/>
          <w:sz w:val="16"/>
        </w:rPr>
        <w:t>para.</w:t>
      </w:r>
      <w:r>
        <w:rPr>
          <w:color w:val="231F20"/>
          <w:spacing w:val="13"/>
          <w:sz w:val="16"/>
        </w:rPr>
        <w:t> </w:t>
      </w:r>
      <w:r>
        <w:rPr>
          <w:color w:val="231F20"/>
          <w:spacing w:val="-5"/>
          <w:sz w:val="16"/>
        </w:rPr>
        <w:t>82.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45.</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43.</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44.</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2"/>
      </w:pPr>
    </w:p>
    <w:p>
      <w:pPr>
        <w:pStyle w:val="ListParagraph"/>
        <w:numPr>
          <w:ilvl w:val="0"/>
          <w:numId w:val="4"/>
        </w:numPr>
        <w:tabs>
          <w:tab w:pos="1428" w:val="left" w:leader="none"/>
        </w:tabs>
        <w:spacing w:line="288" w:lineRule="auto" w:before="0" w:after="0"/>
        <w:ind w:left="871" w:right="868" w:firstLine="0"/>
        <w:jc w:val="both"/>
        <w:rPr>
          <w:sz w:val="19"/>
        </w:rPr>
      </w:pPr>
      <w:r>
        <w:rPr>
          <w:color w:val="231F20"/>
          <w:sz w:val="19"/>
        </w:rPr>
        <w:t>In</w:t>
      </w:r>
      <w:r>
        <w:rPr>
          <w:color w:val="231F20"/>
          <w:spacing w:val="-5"/>
          <w:sz w:val="19"/>
        </w:rPr>
        <w:t> </w:t>
      </w:r>
      <w:r>
        <w:rPr>
          <w:color w:val="231F20"/>
          <w:sz w:val="19"/>
        </w:rPr>
        <w:t>Case</w:t>
      </w:r>
      <w:r>
        <w:rPr>
          <w:color w:val="231F20"/>
          <w:spacing w:val="-6"/>
          <w:sz w:val="19"/>
        </w:rPr>
        <w:t> </w:t>
      </w:r>
      <w:r>
        <w:rPr>
          <w:color w:val="231F20"/>
          <w:sz w:val="19"/>
        </w:rPr>
        <w:t>C-395/21,</w:t>
      </w:r>
      <w:r>
        <w:rPr>
          <w:color w:val="231F20"/>
          <w:spacing w:val="-5"/>
          <w:sz w:val="19"/>
        </w:rPr>
        <w:t> </w:t>
      </w:r>
      <w:r>
        <w:rPr>
          <w:i/>
          <w:color w:val="231F20"/>
          <w:sz w:val="19"/>
        </w:rPr>
        <w:t>D.</w:t>
      </w:r>
      <w:r>
        <w:rPr>
          <w:color w:val="231F20"/>
          <w:sz w:val="19"/>
        </w:rPr>
        <w:t>V.</w:t>
      </w:r>
      <w:r>
        <w:rPr>
          <w:color w:val="231F20"/>
          <w:spacing w:val="-6"/>
          <w:sz w:val="19"/>
        </w:rPr>
        <w:t> </w:t>
      </w:r>
      <w:r>
        <w:rPr>
          <w:i/>
          <w:color w:val="231F20"/>
          <w:sz w:val="19"/>
        </w:rPr>
        <w:t>(Lawyers</w:t>
      </w:r>
      <w:r>
        <w:rPr>
          <w:rFonts w:ascii="Arial" w:hAnsi="Arial"/>
          <w:color w:val="231F20"/>
          <w:sz w:val="19"/>
        </w:rPr>
        <w:t>’</w:t>
      </w:r>
      <w:r>
        <w:rPr>
          <w:rFonts w:ascii="Arial" w:hAnsi="Arial"/>
          <w:color w:val="231F20"/>
          <w:spacing w:val="-12"/>
          <w:sz w:val="19"/>
        </w:rPr>
        <w:t> </w:t>
      </w:r>
      <w:r>
        <w:rPr>
          <w:i/>
          <w:color w:val="231F20"/>
          <w:sz w:val="19"/>
        </w:rPr>
        <w:t>fees</w:t>
      </w:r>
      <w:r>
        <w:rPr>
          <w:i/>
          <w:color w:val="231F20"/>
          <w:spacing w:val="-5"/>
          <w:sz w:val="19"/>
        </w:rPr>
        <w:t> </w:t>
      </w:r>
      <w:r>
        <w:rPr>
          <w:rFonts w:ascii="Arial" w:hAnsi="Arial"/>
          <w:color w:val="231F20"/>
          <w:sz w:val="19"/>
        </w:rPr>
        <w:t>–</w:t>
      </w:r>
      <w:r>
        <w:rPr>
          <w:rFonts w:ascii="Arial" w:hAnsi="Arial"/>
          <w:color w:val="231F20"/>
          <w:spacing w:val="-12"/>
          <w:sz w:val="19"/>
        </w:rPr>
        <w:t> </w:t>
      </w:r>
      <w:r>
        <w:rPr>
          <w:i/>
          <w:color w:val="231F20"/>
          <w:sz w:val="19"/>
        </w:rPr>
        <w:t>Principle</w:t>
      </w:r>
      <w:r>
        <w:rPr>
          <w:i/>
          <w:color w:val="231F20"/>
          <w:spacing w:val="-6"/>
          <w:sz w:val="19"/>
        </w:rPr>
        <w:t> </w:t>
      </w:r>
      <w:r>
        <w:rPr>
          <w:i/>
          <w:color w:val="231F20"/>
          <w:sz w:val="19"/>
        </w:rPr>
        <w:t>of</w:t>
      </w:r>
      <w:r>
        <w:rPr>
          <w:i/>
          <w:color w:val="231F20"/>
          <w:spacing w:val="-8"/>
          <w:sz w:val="19"/>
        </w:rPr>
        <w:t> </w:t>
      </w:r>
      <w:r>
        <w:rPr>
          <w:i/>
          <w:color w:val="231F20"/>
          <w:sz w:val="19"/>
        </w:rPr>
        <w:t>an</w:t>
      </w:r>
      <w:r>
        <w:rPr>
          <w:i/>
          <w:color w:val="231F20"/>
          <w:spacing w:val="-6"/>
          <w:sz w:val="19"/>
        </w:rPr>
        <w:t> </w:t>
      </w:r>
      <w:r>
        <w:rPr>
          <w:i/>
          <w:color w:val="231F20"/>
          <w:sz w:val="19"/>
        </w:rPr>
        <w:t>hourly</w:t>
      </w:r>
      <w:r>
        <w:rPr>
          <w:i/>
          <w:color w:val="231F20"/>
          <w:spacing w:val="-7"/>
          <w:sz w:val="19"/>
        </w:rPr>
        <w:t> </w:t>
      </w:r>
      <w:r>
        <w:rPr>
          <w:i/>
          <w:color w:val="231F20"/>
          <w:sz w:val="19"/>
        </w:rPr>
        <w:t>rate)</w:t>
      </w:r>
      <w:r>
        <w:rPr>
          <w:color w:val="231F20"/>
          <w:sz w:val="19"/>
        </w:rPr>
        <w:t>,</w:t>
      </w:r>
      <w:r>
        <w:rPr>
          <w:color w:val="231F20"/>
          <w:sz w:val="19"/>
          <w:vertAlign w:val="superscript"/>
        </w:rPr>
        <w:t>180</w:t>
      </w:r>
      <w:r>
        <w:rPr>
          <w:color w:val="231F20"/>
          <w:spacing w:val="-6"/>
          <w:sz w:val="19"/>
          <w:vertAlign w:val="baseline"/>
        </w:rPr>
        <w:t> </w:t>
      </w:r>
      <w:r>
        <w:rPr>
          <w:color w:val="231F20"/>
          <w:sz w:val="19"/>
          <w:vertAlign w:val="baseline"/>
        </w:rPr>
        <w:t>the ECJ</w:t>
      </w:r>
      <w:r>
        <w:rPr>
          <w:color w:val="231F20"/>
          <w:spacing w:val="-12"/>
          <w:sz w:val="19"/>
          <w:vertAlign w:val="baseline"/>
        </w:rPr>
        <w:t> </w:t>
      </w:r>
      <w:r>
        <w:rPr>
          <w:color w:val="231F20"/>
          <w:sz w:val="19"/>
          <w:vertAlign w:val="baseline"/>
        </w:rPr>
        <w:t>had</w:t>
      </w:r>
      <w:r>
        <w:rPr>
          <w:color w:val="231F20"/>
          <w:spacing w:val="-11"/>
          <w:sz w:val="19"/>
          <w:vertAlign w:val="baseline"/>
        </w:rPr>
        <w:t> </w:t>
      </w:r>
      <w:r>
        <w:rPr>
          <w:color w:val="231F20"/>
          <w:sz w:val="19"/>
          <w:vertAlign w:val="baseline"/>
        </w:rPr>
        <w:t>to</w:t>
      </w:r>
      <w:r>
        <w:rPr>
          <w:color w:val="231F20"/>
          <w:spacing w:val="-12"/>
          <w:sz w:val="19"/>
          <w:vertAlign w:val="baseline"/>
        </w:rPr>
        <w:t> </w:t>
      </w:r>
      <w:r>
        <w:rPr>
          <w:color w:val="231F20"/>
          <w:sz w:val="19"/>
          <w:vertAlign w:val="baseline"/>
        </w:rPr>
        <w:t>deal</w:t>
      </w:r>
      <w:r>
        <w:rPr>
          <w:color w:val="231F20"/>
          <w:spacing w:val="-11"/>
          <w:sz w:val="19"/>
          <w:vertAlign w:val="baseline"/>
        </w:rPr>
        <w:t> </w:t>
      </w:r>
      <w:r>
        <w:rPr>
          <w:color w:val="231F20"/>
          <w:sz w:val="19"/>
          <w:vertAlign w:val="baseline"/>
        </w:rPr>
        <w:t>with</w:t>
      </w:r>
      <w:r>
        <w:rPr>
          <w:color w:val="231F20"/>
          <w:spacing w:val="-12"/>
          <w:sz w:val="19"/>
          <w:vertAlign w:val="baseline"/>
        </w:rPr>
        <w:t> </w:t>
      </w:r>
      <w:r>
        <w:rPr>
          <w:color w:val="231F20"/>
          <w:sz w:val="19"/>
          <w:vertAlign w:val="baseline"/>
        </w:rPr>
        <w:t>the</w:t>
      </w:r>
      <w:r>
        <w:rPr>
          <w:color w:val="231F20"/>
          <w:spacing w:val="-11"/>
          <w:sz w:val="19"/>
          <w:vertAlign w:val="baseline"/>
        </w:rPr>
        <w:t> </w:t>
      </w:r>
      <w:r>
        <w:rPr>
          <w:color w:val="231F20"/>
          <w:sz w:val="19"/>
          <w:vertAlign w:val="baseline"/>
        </w:rPr>
        <w:t>consequences</w:t>
      </w:r>
      <w:r>
        <w:rPr>
          <w:color w:val="231F20"/>
          <w:spacing w:val="-12"/>
          <w:sz w:val="19"/>
          <w:vertAlign w:val="baseline"/>
        </w:rPr>
        <w:t> </w:t>
      </w:r>
      <w:r>
        <w:rPr>
          <w:color w:val="231F20"/>
          <w:sz w:val="19"/>
          <w:vertAlign w:val="baseline"/>
        </w:rPr>
        <w:t>of</w:t>
      </w:r>
      <w:r>
        <w:rPr>
          <w:color w:val="231F20"/>
          <w:spacing w:val="-11"/>
          <w:sz w:val="19"/>
          <w:vertAlign w:val="baseline"/>
        </w:rPr>
        <w:t> </w:t>
      </w:r>
      <w:r>
        <w:rPr>
          <w:color w:val="231F20"/>
          <w:sz w:val="19"/>
          <w:vertAlign w:val="baseline"/>
        </w:rPr>
        <w:t>a</w:t>
      </w:r>
      <w:r>
        <w:rPr>
          <w:color w:val="231F20"/>
          <w:spacing w:val="-12"/>
          <w:sz w:val="19"/>
          <w:vertAlign w:val="baseline"/>
        </w:rPr>
        <w:t> </w:t>
      </w:r>
      <w:r>
        <w:rPr>
          <w:color w:val="231F20"/>
          <w:sz w:val="19"/>
          <w:vertAlign w:val="baseline"/>
        </w:rPr>
        <w:t>price</w:t>
      </w:r>
      <w:r>
        <w:rPr>
          <w:color w:val="231F20"/>
          <w:spacing w:val="-11"/>
          <w:sz w:val="19"/>
          <w:vertAlign w:val="baseline"/>
        </w:rPr>
        <w:t> </w:t>
      </w:r>
      <w:r>
        <w:rPr>
          <w:color w:val="231F20"/>
          <w:sz w:val="19"/>
          <w:vertAlign w:val="baseline"/>
        </w:rPr>
        <w:t>term</w:t>
      </w:r>
      <w:r>
        <w:rPr>
          <w:color w:val="231F20"/>
          <w:spacing w:val="-12"/>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a</w:t>
      </w:r>
      <w:r>
        <w:rPr>
          <w:color w:val="231F20"/>
          <w:spacing w:val="-11"/>
          <w:sz w:val="19"/>
          <w:vertAlign w:val="baseline"/>
        </w:rPr>
        <w:t> </w:t>
      </w:r>
      <w:r>
        <w:rPr>
          <w:color w:val="231F20"/>
          <w:sz w:val="19"/>
          <w:vertAlign w:val="baseline"/>
        </w:rPr>
        <w:t>service</w:t>
      </w:r>
      <w:r>
        <w:rPr>
          <w:color w:val="231F20"/>
          <w:spacing w:val="-12"/>
          <w:sz w:val="19"/>
          <w:vertAlign w:val="baseline"/>
        </w:rPr>
        <w:t> </w:t>
      </w:r>
      <w:r>
        <w:rPr>
          <w:color w:val="231F20"/>
          <w:sz w:val="19"/>
          <w:vertAlign w:val="baseline"/>
        </w:rPr>
        <w:t>contract</w:t>
      </w:r>
      <w:r>
        <w:rPr>
          <w:color w:val="231F20"/>
          <w:spacing w:val="-11"/>
          <w:sz w:val="19"/>
          <w:vertAlign w:val="baseline"/>
        </w:rPr>
        <w:t> </w:t>
      </w:r>
      <w:r>
        <w:rPr>
          <w:color w:val="231F20"/>
          <w:sz w:val="19"/>
          <w:vertAlign w:val="baseline"/>
        </w:rPr>
        <w:t>that</w:t>
      </w:r>
      <w:r>
        <w:rPr>
          <w:color w:val="231F20"/>
          <w:spacing w:val="-12"/>
          <w:sz w:val="19"/>
          <w:vertAlign w:val="baseline"/>
        </w:rPr>
        <w:t> </w:t>
      </w:r>
      <w:r>
        <w:rPr>
          <w:color w:val="231F20"/>
          <w:sz w:val="19"/>
          <w:vertAlign w:val="baseline"/>
        </w:rPr>
        <w:t>was deemed</w:t>
      </w:r>
      <w:r>
        <w:rPr>
          <w:color w:val="231F20"/>
          <w:spacing w:val="-10"/>
          <w:sz w:val="19"/>
          <w:vertAlign w:val="baseline"/>
        </w:rPr>
        <w:t> </w:t>
      </w:r>
      <w:r>
        <w:rPr>
          <w:color w:val="231F20"/>
          <w:sz w:val="19"/>
          <w:vertAlign w:val="baseline"/>
        </w:rPr>
        <w:t>unfair.</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ECJ</w:t>
      </w:r>
      <w:r>
        <w:rPr>
          <w:color w:val="231F20"/>
          <w:spacing w:val="-10"/>
          <w:sz w:val="19"/>
          <w:vertAlign w:val="baseline"/>
        </w:rPr>
        <w:t> </w:t>
      </w:r>
      <w:r>
        <w:rPr>
          <w:color w:val="231F20"/>
          <w:sz w:val="19"/>
          <w:vertAlign w:val="baseline"/>
        </w:rPr>
        <w:t>decided</w:t>
      </w:r>
      <w:r>
        <w:rPr>
          <w:color w:val="231F20"/>
          <w:spacing w:val="-9"/>
          <w:sz w:val="19"/>
          <w:vertAlign w:val="baseline"/>
        </w:rPr>
        <w:t> </w:t>
      </w:r>
      <w:r>
        <w:rPr>
          <w:color w:val="231F20"/>
          <w:sz w:val="19"/>
          <w:vertAlign w:val="baseline"/>
        </w:rPr>
        <w:t>that</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referring</w:t>
      </w:r>
      <w:r>
        <w:rPr>
          <w:color w:val="231F20"/>
          <w:spacing w:val="-9"/>
          <w:sz w:val="19"/>
          <w:vertAlign w:val="baseline"/>
        </w:rPr>
        <w:t> </w:t>
      </w:r>
      <w:r>
        <w:rPr>
          <w:color w:val="231F20"/>
          <w:sz w:val="19"/>
          <w:vertAlign w:val="baseline"/>
        </w:rPr>
        <w:t>court</w:t>
      </w:r>
      <w:r>
        <w:rPr>
          <w:color w:val="231F20"/>
          <w:spacing w:val="-10"/>
          <w:sz w:val="19"/>
          <w:vertAlign w:val="baseline"/>
        </w:rPr>
        <w:t> </w:t>
      </w:r>
      <w:r>
        <w:rPr>
          <w:color w:val="231F20"/>
          <w:sz w:val="19"/>
          <w:vertAlign w:val="baseline"/>
        </w:rPr>
        <w:t>could</w:t>
      </w:r>
      <w:r>
        <w:rPr>
          <w:color w:val="231F20"/>
          <w:spacing w:val="-9"/>
          <w:sz w:val="19"/>
          <w:vertAlign w:val="baseline"/>
        </w:rPr>
        <w:t> </w:t>
      </w:r>
      <w:r>
        <w:rPr>
          <w:color w:val="231F20"/>
          <w:sz w:val="19"/>
          <w:vertAlign w:val="baseline"/>
        </w:rPr>
        <w:t>not</w:t>
      </w:r>
      <w:r>
        <w:rPr>
          <w:color w:val="231F20"/>
          <w:spacing w:val="-10"/>
          <w:sz w:val="19"/>
          <w:vertAlign w:val="baseline"/>
        </w:rPr>
        <w:t> </w:t>
      </w:r>
      <w:r>
        <w:rPr>
          <w:color w:val="231F20"/>
          <w:sz w:val="19"/>
          <w:vertAlign w:val="baseline"/>
        </w:rPr>
        <w:t>supplement</w:t>
      </w:r>
      <w:r>
        <w:rPr>
          <w:color w:val="231F20"/>
          <w:spacing w:val="-10"/>
          <w:sz w:val="19"/>
          <w:vertAlign w:val="baseline"/>
        </w:rPr>
        <w:t> </w:t>
      </w:r>
      <w:r>
        <w:rPr>
          <w:color w:val="231F20"/>
          <w:sz w:val="19"/>
          <w:vertAlign w:val="baseline"/>
        </w:rPr>
        <w:t>the contract with its own estimation of a reasonable remuneration for the services provided, in the absence of a supplementary provision.</w:t>
      </w:r>
      <w:r>
        <w:rPr>
          <w:color w:val="231F20"/>
          <w:sz w:val="19"/>
          <w:vertAlign w:val="superscript"/>
        </w:rPr>
        <w:t>181</w:t>
      </w:r>
      <w:r>
        <w:rPr>
          <w:color w:val="231F20"/>
          <w:sz w:val="19"/>
          <w:vertAlign w:val="baseline"/>
        </w:rPr>
        <w:t> Rather than entailing</w:t>
      </w:r>
      <w:r>
        <w:rPr>
          <w:color w:val="231F20"/>
          <w:spacing w:val="40"/>
          <w:sz w:val="19"/>
          <w:vertAlign w:val="baseline"/>
        </w:rPr>
        <w:t> </w:t>
      </w:r>
      <w:r>
        <w:rPr>
          <w:color w:val="231F20"/>
          <w:sz w:val="19"/>
          <w:vertAlign w:val="baseline"/>
        </w:rPr>
        <w:t>an exception to the application of national law, this ruling is consistent with the </w:t>
      </w:r>
      <w:r>
        <w:rPr>
          <w:color w:val="231F20"/>
          <w:spacing w:val="-2"/>
          <w:sz w:val="19"/>
          <w:vertAlign w:val="baseline"/>
        </w:rPr>
        <w:t>general</w:t>
      </w:r>
      <w:r>
        <w:rPr>
          <w:color w:val="231F20"/>
          <w:spacing w:val="-6"/>
          <w:sz w:val="19"/>
          <w:vertAlign w:val="baseline"/>
        </w:rPr>
        <w:t> </w:t>
      </w:r>
      <w:r>
        <w:rPr>
          <w:color w:val="231F20"/>
          <w:spacing w:val="-2"/>
          <w:sz w:val="19"/>
          <w:vertAlign w:val="baseline"/>
        </w:rPr>
        <w:t>contract</w:t>
      </w:r>
      <w:r>
        <w:rPr>
          <w:color w:val="231F20"/>
          <w:spacing w:val="-4"/>
          <w:sz w:val="19"/>
          <w:vertAlign w:val="baseline"/>
        </w:rPr>
        <w:t> </w:t>
      </w:r>
      <w:r>
        <w:rPr>
          <w:color w:val="231F20"/>
          <w:spacing w:val="-2"/>
          <w:sz w:val="19"/>
          <w:vertAlign w:val="baseline"/>
        </w:rPr>
        <w:t>law</w:t>
      </w:r>
      <w:r>
        <w:rPr>
          <w:color w:val="231F20"/>
          <w:spacing w:val="-8"/>
          <w:sz w:val="19"/>
          <w:vertAlign w:val="baseline"/>
        </w:rPr>
        <w:t> </w:t>
      </w:r>
      <w:r>
        <w:rPr>
          <w:color w:val="231F20"/>
          <w:spacing w:val="-2"/>
          <w:sz w:val="19"/>
          <w:vertAlign w:val="baseline"/>
        </w:rPr>
        <w:t>of</w:t>
      </w:r>
      <w:r>
        <w:rPr>
          <w:color w:val="231F20"/>
          <w:spacing w:val="-5"/>
          <w:sz w:val="19"/>
          <w:vertAlign w:val="baseline"/>
        </w:rPr>
        <w:t> </w:t>
      </w:r>
      <w:r>
        <w:rPr>
          <w:color w:val="231F20"/>
          <w:spacing w:val="-2"/>
          <w:sz w:val="19"/>
          <w:vertAlign w:val="baseline"/>
        </w:rPr>
        <w:t>market</w:t>
      </w:r>
      <w:r>
        <w:rPr>
          <w:color w:val="231F20"/>
          <w:spacing w:val="-5"/>
          <w:sz w:val="19"/>
          <w:vertAlign w:val="baseline"/>
        </w:rPr>
        <w:t> </w:t>
      </w:r>
      <w:r>
        <w:rPr>
          <w:color w:val="231F20"/>
          <w:spacing w:val="-2"/>
          <w:sz w:val="19"/>
          <w:vertAlign w:val="baseline"/>
        </w:rPr>
        <w:t>economies,</w:t>
      </w:r>
      <w:r>
        <w:rPr>
          <w:color w:val="231F20"/>
          <w:spacing w:val="-6"/>
          <w:sz w:val="19"/>
          <w:vertAlign w:val="baseline"/>
        </w:rPr>
        <w:t> </w:t>
      </w:r>
      <w:r>
        <w:rPr>
          <w:color w:val="231F20"/>
          <w:spacing w:val="-2"/>
          <w:sz w:val="19"/>
          <w:vertAlign w:val="baseline"/>
        </w:rPr>
        <w:t>whereby</w:t>
      </w:r>
      <w:r>
        <w:rPr>
          <w:color w:val="231F20"/>
          <w:spacing w:val="-7"/>
          <w:sz w:val="19"/>
          <w:vertAlign w:val="baseline"/>
        </w:rPr>
        <w:t> </w:t>
      </w:r>
      <w:r>
        <w:rPr>
          <w:color w:val="231F20"/>
          <w:spacing w:val="-2"/>
          <w:sz w:val="19"/>
          <w:vertAlign w:val="baseline"/>
        </w:rPr>
        <w:t>courts</w:t>
      </w:r>
      <w:r>
        <w:rPr>
          <w:color w:val="231F20"/>
          <w:spacing w:val="-6"/>
          <w:sz w:val="19"/>
          <w:vertAlign w:val="baseline"/>
        </w:rPr>
        <w:t> </w:t>
      </w:r>
      <w:r>
        <w:rPr>
          <w:color w:val="231F20"/>
          <w:spacing w:val="-2"/>
          <w:sz w:val="19"/>
          <w:vertAlign w:val="baseline"/>
        </w:rPr>
        <w:t>are</w:t>
      </w:r>
      <w:r>
        <w:rPr>
          <w:color w:val="231F20"/>
          <w:spacing w:val="-6"/>
          <w:sz w:val="19"/>
          <w:vertAlign w:val="baseline"/>
        </w:rPr>
        <w:t> </w:t>
      </w:r>
      <w:r>
        <w:rPr>
          <w:color w:val="231F20"/>
          <w:spacing w:val="-2"/>
          <w:sz w:val="19"/>
          <w:vertAlign w:val="baseline"/>
        </w:rPr>
        <w:t>not</w:t>
      </w:r>
      <w:r>
        <w:rPr>
          <w:color w:val="231F20"/>
          <w:spacing w:val="-5"/>
          <w:sz w:val="19"/>
          <w:vertAlign w:val="baseline"/>
        </w:rPr>
        <w:t> </w:t>
      </w:r>
      <w:r>
        <w:rPr>
          <w:color w:val="231F20"/>
          <w:spacing w:val="-2"/>
          <w:sz w:val="19"/>
          <w:vertAlign w:val="baseline"/>
        </w:rPr>
        <w:t>entitled</w:t>
      </w:r>
      <w:r>
        <w:rPr>
          <w:color w:val="231F20"/>
          <w:spacing w:val="-6"/>
          <w:sz w:val="19"/>
          <w:vertAlign w:val="baseline"/>
        </w:rPr>
        <w:t> </w:t>
      </w:r>
      <w:r>
        <w:rPr>
          <w:color w:val="231F20"/>
          <w:spacing w:val="-2"/>
          <w:sz w:val="19"/>
          <w:vertAlign w:val="baseline"/>
        </w:rPr>
        <w:t>to</w:t>
      </w:r>
      <w:r>
        <w:rPr>
          <w:color w:val="231F20"/>
          <w:spacing w:val="-6"/>
          <w:sz w:val="19"/>
          <w:vertAlign w:val="baseline"/>
        </w:rPr>
        <w:t> </w:t>
      </w:r>
      <w:r>
        <w:rPr>
          <w:color w:val="231F20"/>
          <w:spacing w:val="-2"/>
          <w:sz w:val="19"/>
          <w:vertAlign w:val="baseline"/>
        </w:rPr>
        <w:t>define </w:t>
      </w:r>
      <w:r>
        <w:rPr>
          <w:color w:val="231F20"/>
          <w:sz w:val="19"/>
          <w:vertAlign w:val="baseline"/>
        </w:rPr>
        <w:t>the price of contracts.</w:t>
      </w:r>
    </w:p>
    <w:p>
      <w:pPr>
        <w:pStyle w:val="BodyText"/>
        <w:spacing w:before="54"/>
      </w:pPr>
    </w:p>
    <w:p>
      <w:pPr>
        <w:pStyle w:val="Heading1"/>
        <w:numPr>
          <w:ilvl w:val="0"/>
          <w:numId w:val="1"/>
        </w:numPr>
        <w:tabs>
          <w:tab w:pos="866" w:val="left" w:leader="none"/>
        </w:tabs>
        <w:spacing w:line="268" w:lineRule="auto" w:before="0" w:after="0"/>
        <w:ind w:left="866" w:right="1294" w:hanging="354"/>
        <w:jc w:val="both"/>
      </w:pPr>
      <w:r>
        <w:rPr>
          <w:color w:val="231F20"/>
          <w:w w:val="105"/>
        </w:rPr>
        <w:t>Other Instances of Applying National Law. Third Parties and Situations That are Beneficial to Consumers</w:t>
      </w:r>
    </w:p>
    <w:p>
      <w:pPr>
        <w:pStyle w:val="ListParagraph"/>
        <w:numPr>
          <w:ilvl w:val="0"/>
          <w:numId w:val="4"/>
        </w:numPr>
        <w:tabs>
          <w:tab w:pos="1428" w:val="left" w:leader="none"/>
        </w:tabs>
        <w:spacing w:line="288" w:lineRule="auto" w:before="136" w:after="0"/>
        <w:ind w:left="871" w:right="869" w:firstLine="0"/>
        <w:jc w:val="both"/>
        <w:rPr>
          <w:sz w:val="19"/>
        </w:rPr>
      </w:pPr>
      <w:r>
        <w:rPr>
          <w:color w:val="231F20"/>
          <w:sz w:val="19"/>
        </w:rPr>
        <w:t>An intriguing aspect of the judgment of the ECJ in Case C-224/19, </w:t>
      </w:r>
      <w:r>
        <w:rPr>
          <w:i/>
          <w:color w:val="231F20"/>
          <w:sz w:val="19"/>
        </w:rPr>
        <w:t>Caixabank</w:t>
      </w:r>
      <w:r>
        <w:rPr>
          <w:color w:val="231F20"/>
          <w:sz w:val="19"/>
        </w:rPr>
        <w:t>, went rather unnoticed in literature and in subsequent judgments </w:t>
      </w:r>
      <w:r>
        <w:rPr>
          <w:color w:val="231F20"/>
          <w:sz w:val="19"/>
        </w:rPr>
        <w:t>of the Court.</w:t>
      </w:r>
      <w:r>
        <w:rPr>
          <w:color w:val="231F20"/>
          <w:sz w:val="19"/>
          <w:vertAlign w:val="superscript"/>
        </w:rPr>
        <w:t>182</w:t>
      </w:r>
      <w:r>
        <w:rPr>
          <w:color w:val="231F20"/>
          <w:sz w:val="19"/>
          <w:vertAlign w:val="baseline"/>
        </w:rPr>
        <w:t> I refer to paragraph 54, which reads:</w:t>
      </w:r>
    </w:p>
    <w:p>
      <w:pPr>
        <w:pStyle w:val="BodyText"/>
        <w:spacing w:before="32"/>
      </w:pPr>
    </w:p>
    <w:p>
      <w:pPr>
        <w:spacing w:line="304" w:lineRule="auto" w:before="0"/>
        <w:ind w:left="1438" w:right="866" w:firstLine="0"/>
        <w:jc w:val="both"/>
        <w:rPr>
          <w:sz w:val="18"/>
        </w:rPr>
      </w:pPr>
      <w:r>
        <w:rPr>
          <w:color w:val="231F20"/>
          <w:sz w:val="18"/>
        </w:rPr>
        <w:t>[I]t should also be noted that the fact that a contractual term which has been held to be unfair is deemed never to have existed is such as to justify the application</w:t>
      </w:r>
      <w:r>
        <w:rPr>
          <w:color w:val="231F20"/>
          <w:spacing w:val="-2"/>
          <w:sz w:val="18"/>
        </w:rPr>
        <w:t> </w:t>
      </w:r>
      <w:r>
        <w:rPr>
          <w:color w:val="231F20"/>
          <w:sz w:val="18"/>
        </w:rPr>
        <w:t>of</w:t>
      </w:r>
      <w:r>
        <w:rPr>
          <w:color w:val="231F20"/>
          <w:spacing w:val="-2"/>
          <w:sz w:val="18"/>
        </w:rPr>
        <w:t> </w:t>
      </w:r>
      <w:r>
        <w:rPr>
          <w:color w:val="231F20"/>
          <w:sz w:val="18"/>
        </w:rPr>
        <w:t>any</w:t>
      </w:r>
      <w:r>
        <w:rPr>
          <w:color w:val="231F20"/>
          <w:spacing w:val="-2"/>
          <w:sz w:val="18"/>
        </w:rPr>
        <w:t> </w:t>
      </w:r>
      <w:r>
        <w:rPr>
          <w:color w:val="231F20"/>
          <w:sz w:val="18"/>
        </w:rPr>
        <w:t>provisions</w:t>
      </w:r>
      <w:r>
        <w:rPr>
          <w:color w:val="231F20"/>
          <w:spacing w:val="-2"/>
          <w:sz w:val="18"/>
        </w:rPr>
        <w:t> </w:t>
      </w:r>
      <w:r>
        <w:rPr>
          <w:color w:val="231F20"/>
          <w:sz w:val="18"/>
        </w:rPr>
        <w:t>of</w:t>
      </w:r>
      <w:r>
        <w:rPr>
          <w:color w:val="231F20"/>
          <w:spacing w:val="-2"/>
          <w:sz w:val="18"/>
        </w:rPr>
        <w:t> </w:t>
      </w:r>
      <w:r>
        <w:rPr>
          <w:color w:val="231F20"/>
          <w:sz w:val="18"/>
        </w:rPr>
        <w:t>national</w:t>
      </w:r>
      <w:r>
        <w:rPr>
          <w:color w:val="231F20"/>
          <w:spacing w:val="-1"/>
          <w:sz w:val="18"/>
        </w:rPr>
        <w:t> </w:t>
      </w:r>
      <w:r>
        <w:rPr>
          <w:color w:val="231F20"/>
          <w:sz w:val="18"/>
        </w:rPr>
        <w:t>law</w:t>
      </w:r>
      <w:r>
        <w:rPr>
          <w:color w:val="231F20"/>
          <w:spacing w:val="-2"/>
          <w:sz w:val="18"/>
        </w:rPr>
        <w:t> </w:t>
      </w:r>
      <w:r>
        <w:rPr>
          <w:color w:val="231F20"/>
          <w:sz w:val="18"/>
        </w:rPr>
        <w:t>that</w:t>
      </w:r>
      <w:r>
        <w:rPr>
          <w:color w:val="231F20"/>
          <w:spacing w:val="-2"/>
          <w:sz w:val="18"/>
        </w:rPr>
        <w:t> </w:t>
      </w:r>
      <w:r>
        <w:rPr>
          <w:color w:val="231F20"/>
          <w:sz w:val="18"/>
        </w:rPr>
        <w:t>govern</w:t>
      </w:r>
      <w:r>
        <w:rPr>
          <w:color w:val="231F20"/>
          <w:spacing w:val="-2"/>
          <w:sz w:val="18"/>
        </w:rPr>
        <w:t> </w:t>
      </w:r>
      <w:r>
        <w:rPr>
          <w:color w:val="231F20"/>
          <w:sz w:val="18"/>
        </w:rPr>
        <w:t>the</w:t>
      </w:r>
      <w:r>
        <w:rPr>
          <w:color w:val="231F20"/>
          <w:spacing w:val="-2"/>
          <w:sz w:val="18"/>
        </w:rPr>
        <w:t> </w:t>
      </w:r>
      <w:r>
        <w:rPr>
          <w:color w:val="231F20"/>
          <w:sz w:val="18"/>
        </w:rPr>
        <w:t>allocation</w:t>
      </w:r>
      <w:r>
        <w:rPr>
          <w:color w:val="231F20"/>
          <w:spacing w:val="-2"/>
          <w:sz w:val="18"/>
        </w:rPr>
        <w:t> </w:t>
      </w:r>
      <w:r>
        <w:rPr>
          <w:color w:val="231F20"/>
          <w:sz w:val="18"/>
        </w:rPr>
        <w:t>of</w:t>
      </w:r>
      <w:r>
        <w:rPr>
          <w:color w:val="231F20"/>
          <w:spacing w:val="-2"/>
          <w:sz w:val="18"/>
        </w:rPr>
        <w:t> </w:t>
      </w:r>
      <w:r>
        <w:rPr>
          <w:color w:val="231F20"/>
          <w:sz w:val="18"/>
        </w:rPr>
        <w:t>costs connected with the creation and cancellation [of] a mortgage in the absence of any</w:t>
      </w:r>
      <w:r>
        <w:rPr>
          <w:color w:val="231F20"/>
          <w:spacing w:val="-11"/>
          <w:sz w:val="18"/>
        </w:rPr>
        <w:t> </w:t>
      </w:r>
      <w:r>
        <w:rPr>
          <w:color w:val="231F20"/>
          <w:sz w:val="18"/>
        </w:rPr>
        <w:t>agreement</w:t>
      </w:r>
      <w:r>
        <w:rPr>
          <w:color w:val="231F20"/>
          <w:spacing w:val="-11"/>
          <w:sz w:val="18"/>
        </w:rPr>
        <w:t> </w:t>
      </w:r>
      <w:r>
        <w:rPr>
          <w:color w:val="231F20"/>
          <w:sz w:val="18"/>
        </w:rPr>
        <w:t>of</w:t>
      </w:r>
      <w:r>
        <w:rPr>
          <w:color w:val="231F20"/>
          <w:spacing w:val="-11"/>
          <w:sz w:val="18"/>
        </w:rPr>
        <w:t> </w:t>
      </w:r>
      <w:r>
        <w:rPr>
          <w:color w:val="231F20"/>
          <w:sz w:val="18"/>
        </w:rPr>
        <w:t>the</w:t>
      </w:r>
      <w:r>
        <w:rPr>
          <w:color w:val="231F20"/>
          <w:spacing w:val="-11"/>
          <w:sz w:val="18"/>
        </w:rPr>
        <w:t> </w:t>
      </w:r>
      <w:r>
        <w:rPr>
          <w:color w:val="231F20"/>
          <w:sz w:val="18"/>
        </w:rPr>
        <w:t>parties</w:t>
      </w:r>
      <w:r>
        <w:rPr>
          <w:color w:val="231F20"/>
          <w:spacing w:val="-11"/>
          <w:sz w:val="18"/>
        </w:rPr>
        <w:t> </w:t>
      </w:r>
      <w:r>
        <w:rPr>
          <w:color w:val="231F20"/>
          <w:sz w:val="18"/>
        </w:rPr>
        <w:t>in</w:t>
      </w:r>
      <w:r>
        <w:rPr>
          <w:color w:val="231F20"/>
          <w:spacing w:val="-11"/>
          <w:sz w:val="18"/>
        </w:rPr>
        <w:t> </w:t>
      </w:r>
      <w:r>
        <w:rPr>
          <w:color w:val="231F20"/>
          <w:sz w:val="18"/>
        </w:rPr>
        <w:t>this</w:t>
      </w:r>
      <w:r>
        <w:rPr>
          <w:color w:val="231F20"/>
          <w:spacing w:val="-10"/>
          <w:sz w:val="18"/>
        </w:rPr>
        <w:t> </w:t>
      </w:r>
      <w:r>
        <w:rPr>
          <w:color w:val="231F20"/>
          <w:sz w:val="18"/>
        </w:rPr>
        <w:t>regard.</w:t>
      </w:r>
      <w:r>
        <w:rPr>
          <w:color w:val="231F20"/>
          <w:spacing w:val="-11"/>
          <w:sz w:val="18"/>
        </w:rPr>
        <w:t> </w:t>
      </w:r>
      <w:r>
        <w:rPr>
          <w:color w:val="231F20"/>
          <w:sz w:val="18"/>
        </w:rPr>
        <w:t>If</w:t>
      </w:r>
      <w:r>
        <w:rPr>
          <w:color w:val="231F20"/>
          <w:spacing w:val="-11"/>
          <w:sz w:val="18"/>
        </w:rPr>
        <w:t> </w:t>
      </w:r>
      <w:r>
        <w:rPr>
          <w:color w:val="231F20"/>
          <w:sz w:val="18"/>
        </w:rPr>
        <w:t>those</w:t>
      </w:r>
      <w:r>
        <w:rPr>
          <w:color w:val="231F20"/>
          <w:spacing w:val="-11"/>
          <w:sz w:val="18"/>
        </w:rPr>
        <w:t> </w:t>
      </w:r>
      <w:r>
        <w:rPr>
          <w:color w:val="231F20"/>
          <w:sz w:val="18"/>
        </w:rPr>
        <w:t>provisions</w:t>
      </w:r>
      <w:r>
        <w:rPr>
          <w:color w:val="231F20"/>
          <w:spacing w:val="-11"/>
          <w:sz w:val="18"/>
        </w:rPr>
        <w:t> </w:t>
      </w:r>
      <w:r>
        <w:rPr>
          <w:color w:val="231F20"/>
          <w:sz w:val="18"/>
        </w:rPr>
        <w:t>impose</w:t>
      </w:r>
      <w:r>
        <w:rPr>
          <w:color w:val="231F20"/>
          <w:spacing w:val="-11"/>
          <w:sz w:val="18"/>
        </w:rPr>
        <w:t> </w:t>
      </w:r>
      <w:r>
        <w:rPr>
          <w:color w:val="231F20"/>
          <w:sz w:val="18"/>
        </w:rPr>
        <w:t>all</w:t>
      </w:r>
      <w:r>
        <w:rPr>
          <w:color w:val="231F20"/>
          <w:spacing w:val="-11"/>
          <w:sz w:val="18"/>
        </w:rPr>
        <w:t> </w:t>
      </w:r>
      <w:r>
        <w:rPr>
          <w:color w:val="231F20"/>
          <w:sz w:val="18"/>
        </w:rPr>
        <w:t>or</w:t>
      </w:r>
      <w:r>
        <w:rPr>
          <w:color w:val="231F20"/>
          <w:spacing w:val="-10"/>
          <w:sz w:val="18"/>
        </w:rPr>
        <w:t> </w:t>
      </w:r>
      <w:r>
        <w:rPr>
          <w:color w:val="231F20"/>
          <w:sz w:val="18"/>
        </w:rPr>
        <w:t>part of those costs on the borrower,</w:t>
      </w:r>
      <w:r>
        <w:rPr>
          <w:color w:val="231F20"/>
          <w:spacing w:val="-1"/>
          <w:sz w:val="18"/>
        </w:rPr>
        <w:t> </w:t>
      </w:r>
      <w:r>
        <w:rPr>
          <w:color w:val="231F20"/>
          <w:sz w:val="18"/>
        </w:rPr>
        <w:t>neither Article 6(1) nor Article 7(1) of Directive 93/13</w:t>
      </w:r>
      <w:r>
        <w:rPr>
          <w:color w:val="231F20"/>
          <w:spacing w:val="-4"/>
          <w:sz w:val="18"/>
        </w:rPr>
        <w:t> </w:t>
      </w:r>
      <w:r>
        <w:rPr>
          <w:color w:val="231F20"/>
          <w:sz w:val="18"/>
        </w:rPr>
        <w:t>make</w:t>
      </w:r>
      <w:r>
        <w:rPr>
          <w:color w:val="231F20"/>
          <w:spacing w:val="-5"/>
          <w:sz w:val="18"/>
        </w:rPr>
        <w:t> </w:t>
      </w:r>
      <w:r>
        <w:rPr>
          <w:color w:val="231F20"/>
          <w:sz w:val="18"/>
        </w:rPr>
        <w:t>it</w:t>
      </w:r>
      <w:r>
        <w:rPr>
          <w:color w:val="231F20"/>
          <w:spacing w:val="-4"/>
          <w:sz w:val="18"/>
        </w:rPr>
        <w:t> </w:t>
      </w:r>
      <w:r>
        <w:rPr>
          <w:color w:val="231F20"/>
          <w:sz w:val="18"/>
        </w:rPr>
        <w:t>impossible</w:t>
      </w:r>
      <w:r>
        <w:rPr>
          <w:color w:val="231F20"/>
          <w:spacing w:val="-5"/>
          <w:sz w:val="18"/>
        </w:rPr>
        <w:t> </w:t>
      </w:r>
      <w:r>
        <w:rPr>
          <w:color w:val="231F20"/>
          <w:sz w:val="18"/>
        </w:rPr>
        <w:t>for</w:t>
      </w:r>
      <w:r>
        <w:rPr>
          <w:color w:val="231F20"/>
          <w:spacing w:val="-4"/>
          <w:sz w:val="18"/>
        </w:rPr>
        <w:t> </w:t>
      </w:r>
      <w:r>
        <w:rPr>
          <w:color w:val="231F20"/>
          <w:sz w:val="18"/>
        </w:rPr>
        <w:t>the</w:t>
      </w:r>
      <w:r>
        <w:rPr>
          <w:color w:val="231F20"/>
          <w:spacing w:val="-4"/>
          <w:sz w:val="18"/>
        </w:rPr>
        <w:t> </w:t>
      </w:r>
      <w:r>
        <w:rPr>
          <w:color w:val="231F20"/>
          <w:sz w:val="18"/>
        </w:rPr>
        <w:t>consumer</w:t>
      </w:r>
      <w:r>
        <w:rPr>
          <w:color w:val="231F20"/>
          <w:spacing w:val="-4"/>
          <w:sz w:val="18"/>
        </w:rPr>
        <w:t> </w:t>
      </w:r>
      <w:r>
        <w:rPr>
          <w:color w:val="231F20"/>
          <w:sz w:val="18"/>
        </w:rPr>
        <w:t>to</w:t>
      </w:r>
      <w:r>
        <w:rPr>
          <w:color w:val="231F20"/>
          <w:spacing w:val="-4"/>
          <w:sz w:val="18"/>
        </w:rPr>
        <w:t> </w:t>
      </w:r>
      <w:r>
        <w:rPr>
          <w:color w:val="231F20"/>
          <w:sz w:val="18"/>
        </w:rPr>
        <w:t>be</w:t>
      </w:r>
      <w:r>
        <w:rPr>
          <w:color w:val="231F20"/>
          <w:spacing w:val="-4"/>
          <w:sz w:val="18"/>
        </w:rPr>
        <w:t> </w:t>
      </w:r>
      <w:r>
        <w:rPr>
          <w:color w:val="231F20"/>
          <w:sz w:val="18"/>
        </w:rPr>
        <w:t>denied</w:t>
      </w:r>
      <w:r>
        <w:rPr>
          <w:color w:val="231F20"/>
          <w:spacing w:val="-4"/>
          <w:sz w:val="18"/>
        </w:rPr>
        <w:t> </w:t>
      </w:r>
      <w:r>
        <w:rPr>
          <w:color w:val="231F20"/>
          <w:sz w:val="18"/>
        </w:rPr>
        <w:t>a</w:t>
      </w:r>
      <w:r>
        <w:rPr>
          <w:color w:val="231F20"/>
          <w:spacing w:val="-4"/>
          <w:sz w:val="18"/>
        </w:rPr>
        <w:t> </w:t>
      </w:r>
      <w:r>
        <w:rPr>
          <w:color w:val="231F20"/>
          <w:sz w:val="18"/>
        </w:rPr>
        <w:t>refund</w:t>
      </w:r>
      <w:r>
        <w:rPr>
          <w:color w:val="231F20"/>
          <w:spacing w:val="-4"/>
          <w:sz w:val="18"/>
        </w:rPr>
        <w:t> </w:t>
      </w:r>
      <w:r>
        <w:rPr>
          <w:color w:val="231F20"/>
          <w:sz w:val="18"/>
        </w:rPr>
        <w:t>of</w:t>
      </w:r>
      <w:r>
        <w:rPr>
          <w:color w:val="231F20"/>
          <w:spacing w:val="-1"/>
          <w:sz w:val="18"/>
        </w:rPr>
        <w:t> </w:t>
      </w:r>
      <w:r>
        <w:rPr>
          <w:color w:val="231F20"/>
          <w:sz w:val="18"/>
        </w:rPr>
        <w:t>that</w:t>
      </w:r>
      <w:r>
        <w:rPr>
          <w:color w:val="231F20"/>
          <w:spacing w:val="-4"/>
          <w:sz w:val="18"/>
        </w:rPr>
        <w:t> </w:t>
      </w:r>
      <w:r>
        <w:rPr>
          <w:color w:val="231F20"/>
          <w:sz w:val="18"/>
        </w:rPr>
        <w:t>part</w:t>
      </w:r>
      <w:r>
        <w:rPr>
          <w:color w:val="231F20"/>
          <w:spacing w:val="-4"/>
          <w:sz w:val="18"/>
        </w:rPr>
        <w:t> </w:t>
      </w:r>
      <w:r>
        <w:rPr>
          <w:color w:val="231F20"/>
          <w:sz w:val="18"/>
        </w:rPr>
        <w:t>of those costs which he or she must himself or herself bear.</w:t>
      </w:r>
      <w:r>
        <w:rPr>
          <w:color w:val="231F20"/>
          <w:sz w:val="18"/>
          <w:vertAlign w:val="superscript"/>
        </w:rPr>
        <w:t>183</w:t>
      </w:r>
    </w:p>
    <w:p>
      <w:pPr>
        <w:pStyle w:val="BodyText"/>
        <w:spacing w:before="79"/>
        <w:rPr>
          <w:sz w:val="18"/>
        </w:rPr>
      </w:pPr>
    </w:p>
    <w:p>
      <w:pPr>
        <w:pStyle w:val="ListParagraph"/>
        <w:numPr>
          <w:ilvl w:val="0"/>
          <w:numId w:val="4"/>
        </w:numPr>
        <w:tabs>
          <w:tab w:pos="1428" w:val="left" w:leader="none"/>
        </w:tabs>
        <w:spacing w:line="288" w:lineRule="auto" w:before="0" w:after="0"/>
        <w:ind w:left="871" w:right="868" w:firstLine="0"/>
        <w:jc w:val="both"/>
        <w:rPr>
          <w:sz w:val="19"/>
        </w:rPr>
      </w:pPr>
      <w:r>
        <w:rPr>
          <w:color w:val="231F20"/>
          <w:sz w:val="19"/>
        </w:rPr>
        <w:t>In the quoted decision, the ECJ seemingly contradicted the rule it estab- lished in Case C-618/10, </w:t>
      </w:r>
      <w:r>
        <w:rPr>
          <w:i/>
          <w:color w:val="231F20"/>
          <w:sz w:val="19"/>
        </w:rPr>
        <w:t>Banco Español</w:t>
      </w:r>
      <w:r>
        <w:rPr>
          <w:color w:val="231F20"/>
          <w:sz w:val="19"/>
        </w:rPr>
        <w:t>, whereby finding an unfair term </w:t>
      </w:r>
      <w:r>
        <w:rPr>
          <w:color w:val="231F20"/>
          <w:sz w:val="19"/>
        </w:rPr>
        <w:t>should lead</w:t>
      </w:r>
      <w:r>
        <w:rPr>
          <w:color w:val="231F20"/>
          <w:spacing w:val="-10"/>
          <w:sz w:val="19"/>
        </w:rPr>
        <w:t> </w:t>
      </w:r>
      <w:r>
        <w:rPr>
          <w:color w:val="231F20"/>
          <w:sz w:val="19"/>
        </w:rPr>
        <w:t>to</w:t>
      </w:r>
      <w:r>
        <w:rPr>
          <w:color w:val="231F20"/>
          <w:spacing w:val="-11"/>
          <w:sz w:val="19"/>
        </w:rPr>
        <w:t> </w:t>
      </w:r>
      <w:r>
        <w:rPr>
          <w:color w:val="231F20"/>
          <w:sz w:val="19"/>
        </w:rPr>
        <w:t>the</w:t>
      </w:r>
      <w:r>
        <w:rPr>
          <w:color w:val="231F20"/>
          <w:spacing w:val="-10"/>
          <w:sz w:val="19"/>
        </w:rPr>
        <w:t> </w:t>
      </w:r>
      <w:r>
        <w:rPr>
          <w:color w:val="231F20"/>
          <w:sz w:val="19"/>
        </w:rPr>
        <w:t>exclusion</w:t>
      </w:r>
      <w:r>
        <w:rPr>
          <w:color w:val="231F20"/>
          <w:spacing w:val="-10"/>
          <w:sz w:val="19"/>
        </w:rPr>
        <w:t> </w:t>
      </w:r>
      <w:r>
        <w:rPr>
          <w:color w:val="231F20"/>
          <w:sz w:val="19"/>
        </w:rPr>
        <w:t>of</w:t>
      </w:r>
      <w:r>
        <w:rPr>
          <w:color w:val="231F20"/>
          <w:spacing w:val="-7"/>
          <w:sz w:val="19"/>
        </w:rPr>
        <w:t> </w:t>
      </w:r>
      <w:r>
        <w:rPr>
          <w:color w:val="231F20"/>
          <w:sz w:val="19"/>
        </w:rPr>
        <w:t>the</w:t>
      </w:r>
      <w:r>
        <w:rPr>
          <w:color w:val="231F20"/>
          <w:spacing w:val="-10"/>
          <w:sz w:val="19"/>
        </w:rPr>
        <w:t> </w:t>
      </w:r>
      <w:r>
        <w:rPr>
          <w:color w:val="231F20"/>
          <w:sz w:val="19"/>
        </w:rPr>
        <w:t>term</w:t>
      </w:r>
      <w:r>
        <w:rPr>
          <w:color w:val="231F20"/>
          <w:spacing w:val="-10"/>
          <w:sz w:val="19"/>
        </w:rPr>
        <w:t> </w:t>
      </w:r>
      <w:r>
        <w:rPr>
          <w:color w:val="231F20"/>
          <w:sz w:val="19"/>
        </w:rPr>
        <w:t>without</w:t>
      </w:r>
      <w:r>
        <w:rPr>
          <w:color w:val="231F20"/>
          <w:spacing w:val="-10"/>
          <w:sz w:val="19"/>
        </w:rPr>
        <w:t> </w:t>
      </w:r>
      <w:r>
        <w:rPr>
          <w:color w:val="231F20"/>
          <w:sz w:val="19"/>
        </w:rPr>
        <w:t>the</w:t>
      </w:r>
      <w:r>
        <w:rPr>
          <w:color w:val="231F20"/>
          <w:spacing w:val="-10"/>
          <w:sz w:val="19"/>
        </w:rPr>
        <w:t> </w:t>
      </w:r>
      <w:r>
        <w:rPr>
          <w:color w:val="231F20"/>
          <w:sz w:val="19"/>
        </w:rPr>
        <w:t>possibility</w:t>
      </w:r>
      <w:r>
        <w:rPr>
          <w:color w:val="231F20"/>
          <w:spacing w:val="-11"/>
          <w:sz w:val="19"/>
        </w:rPr>
        <w:t> </w:t>
      </w:r>
      <w:r>
        <w:rPr>
          <w:color w:val="231F20"/>
          <w:sz w:val="19"/>
        </w:rPr>
        <w:t>of</w:t>
      </w:r>
      <w:r>
        <w:rPr>
          <w:color w:val="231F20"/>
          <w:spacing w:val="-10"/>
          <w:sz w:val="19"/>
        </w:rPr>
        <w:t> </w:t>
      </w:r>
      <w:r>
        <w:rPr>
          <w:color w:val="231F20"/>
          <w:sz w:val="19"/>
        </w:rPr>
        <w:t>revising</w:t>
      </w:r>
      <w:r>
        <w:rPr>
          <w:color w:val="231F20"/>
          <w:spacing w:val="-10"/>
          <w:sz w:val="19"/>
        </w:rPr>
        <w:t> </w:t>
      </w:r>
      <w:r>
        <w:rPr>
          <w:color w:val="231F20"/>
          <w:sz w:val="19"/>
        </w:rPr>
        <w:t>the</w:t>
      </w:r>
      <w:r>
        <w:rPr>
          <w:color w:val="231F20"/>
          <w:spacing w:val="-10"/>
          <w:sz w:val="19"/>
        </w:rPr>
        <w:t> </w:t>
      </w:r>
      <w:r>
        <w:rPr>
          <w:color w:val="231F20"/>
          <w:sz w:val="19"/>
        </w:rPr>
        <w:t>contract</w:t>
      </w:r>
      <w:r>
        <w:rPr>
          <w:color w:val="231F20"/>
          <w:spacing w:val="-10"/>
          <w:sz w:val="19"/>
        </w:rPr>
        <w:t> </w:t>
      </w:r>
      <w:r>
        <w:rPr>
          <w:color w:val="231F20"/>
          <w:sz w:val="19"/>
        </w:rPr>
        <w:t>if</w:t>
      </w:r>
      <w:r>
        <w:rPr>
          <w:color w:val="231F20"/>
          <w:spacing w:val="-6"/>
          <w:sz w:val="19"/>
        </w:rPr>
        <w:t> </w:t>
      </w:r>
      <w:r>
        <w:rPr>
          <w:color w:val="231F20"/>
          <w:sz w:val="19"/>
        </w:rPr>
        <w:t>it can</w:t>
      </w:r>
      <w:r>
        <w:rPr>
          <w:color w:val="231F20"/>
          <w:spacing w:val="-11"/>
          <w:sz w:val="19"/>
        </w:rPr>
        <w:t> </w:t>
      </w:r>
      <w:r>
        <w:rPr>
          <w:color w:val="231F20"/>
          <w:sz w:val="19"/>
        </w:rPr>
        <w:t>continue</w:t>
      </w:r>
      <w:r>
        <w:rPr>
          <w:color w:val="231F20"/>
          <w:spacing w:val="-11"/>
          <w:sz w:val="19"/>
        </w:rPr>
        <w:t> </w:t>
      </w:r>
      <w:r>
        <w:rPr>
          <w:color w:val="231F20"/>
          <w:sz w:val="19"/>
        </w:rPr>
        <w:t>in</w:t>
      </w:r>
      <w:r>
        <w:rPr>
          <w:color w:val="231F20"/>
          <w:spacing w:val="-11"/>
          <w:sz w:val="19"/>
        </w:rPr>
        <w:t> </w:t>
      </w:r>
      <w:r>
        <w:rPr>
          <w:color w:val="231F20"/>
          <w:sz w:val="19"/>
        </w:rPr>
        <w:t>existence.</w:t>
      </w:r>
      <w:r>
        <w:rPr>
          <w:color w:val="231F20"/>
          <w:sz w:val="19"/>
          <w:vertAlign w:val="superscript"/>
        </w:rPr>
        <w:t>184</w:t>
      </w:r>
      <w:r>
        <w:rPr>
          <w:color w:val="231F20"/>
          <w:spacing w:val="-11"/>
          <w:sz w:val="19"/>
          <w:vertAlign w:val="baseline"/>
        </w:rPr>
        <w:t> </w:t>
      </w:r>
      <w:r>
        <w:rPr>
          <w:color w:val="231F20"/>
          <w:sz w:val="19"/>
          <w:vertAlign w:val="baseline"/>
        </w:rPr>
        <w:t>In</w:t>
      </w:r>
      <w:r>
        <w:rPr>
          <w:color w:val="231F20"/>
          <w:spacing w:val="-11"/>
          <w:sz w:val="19"/>
          <w:vertAlign w:val="baseline"/>
        </w:rPr>
        <w:t> </w:t>
      </w:r>
      <w:r>
        <w:rPr>
          <w:color w:val="231F20"/>
          <w:sz w:val="19"/>
          <w:vertAlign w:val="baseline"/>
        </w:rPr>
        <w:t>other</w:t>
      </w:r>
      <w:r>
        <w:rPr>
          <w:color w:val="231F20"/>
          <w:spacing w:val="-11"/>
          <w:sz w:val="19"/>
          <w:vertAlign w:val="baseline"/>
        </w:rPr>
        <w:t> </w:t>
      </w:r>
      <w:r>
        <w:rPr>
          <w:color w:val="231F20"/>
          <w:sz w:val="19"/>
          <w:vertAlign w:val="baseline"/>
        </w:rPr>
        <w:t>words,</w:t>
      </w:r>
      <w:r>
        <w:rPr>
          <w:color w:val="231F20"/>
          <w:spacing w:val="-11"/>
          <w:sz w:val="19"/>
          <w:vertAlign w:val="baseline"/>
        </w:rPr>
        <w:t> </w:t>
      </w:r>
      <w:r>
        <w:rPr>
          <w:color w:val="231F20"/>
          <w:sz w:val="19"/>
          <w:vertAlign w:val="baseline"/>
        </w:rPr>
        <w:t>this</w:t>
      </w:r>
      <w:r>
        <w:rPr>
          <w:color w:val="231F20"/>
          <w:spacing w:val="-11"/>
          <w:sz w:val="19"/>
          <w:vertAlign w:val="baseline"/>
        </w:rPr>
        <w:t> </w:t>
      </w:r>
      <w:r>
        <w:rPr>
          <w:color w:val="231F20"/>
          <w:sz w:val="19"/>
          <w:vertAlign w:val="baseline"/>
        </w:rPr>
        <w:t>means</w:t>
      </w:r>
      <w:r>
        <w:rPr>
          <w:color w:val="231F20"/>
          <w:spacing w:val="-11"/>
          <w:sz w:val="19"/>
          <w:vertAlign w:val="baseline"/>
        </w:rPr>
        <w:t> </w:t>
      </w:r>
      <w:r>
        <w:rPr>
          <w:color w:val="231F20"/>
          <w:sz w:val="19"/>
          <w:vertAlign w:val="baseline"/>
        </w:rPr>
        <w:t>courts</w:t>
      </w:r>
      <w:r>
        <w:rPr>
          <w:color w:val="231F20"/>
          <w:spacing w:val="-11"/>
          <w:sz w:val="19"/>
          <w:vertAlign w:val="baseline"/>
        </w:rPr>
        <w:t> </w:t>
      </w:r>
      <w:r>
        <w:rPr>
          <w:color w:val="231F20"/>
          <w:sz w:val="19"/>
          <w:vertAlign w:val="baseline"/>
        </w:rPr>
        <w:t>should</w:t>
      </w:r>
      <w:r>
        <w:rPr>
          <w:color w:val="231F20"/>
          <w:spacing w:val="-11"/>
          <w:sz w:val="19"/>
          <w:vertAlign w:val="baseline"/>
        </w:rPr>
        <w:t> </w:t>
      </w:r>
      <w:r>
        <w:rPr>
          <w:color w:val="231F20"/>
          <w:sz w:val="19"/>
          <w:vertAlign w:val="baseline"/>
        </w:rPr>
        <w:t>refrain</w:t>
      </w:r>
      <w:r>
        <w:rPr>
          <w:color w:val="231F20"/>
          <w:spacing w:val="-12"/>
          <w:sz w:val="19"/>
          <w:vertAlign w:val="baseline"/>
        </w:rPr>
        <w:t> </w:t>
      </w:r>
      <w:r>
        <w:rPr>
          <w:color w:val="231F20"/>
          <w:sz w:val="19"/>
          <w:vertAlign w:val="baseline"/>
        </w:rPr>
        <w:t>from filling in the gap that an unfair term leaves. However, in </w:t>
      </w:r>
      <w:r>
        <w:rPr>
          <w:i/>
          <w:color w:val="231F20"/>
          <w:sz w:val="19"/>
          <w:vertAlign w:val="baseline"/>
        </w:rPr>
        <w:t>Caixabank</w:t>
      </w:r>
      <w:r>
        <w:rPr>
          <w:color w:val="231F20"/>
          <w:sz w:val="19"/>
          <w:vertAlign w:val="baseline"/>
        </w:rPr>
        <w:t>, the ECJ allowed</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application</w:t>
      </w:r>
      <w:r>
        <w:rPr>
          <w:color w:val="231F20"/>
          <w:spacing w:val="-10"/>
          <w:sz w:val="19"/>
          <w:vertAlign w:val="baseline"/>
        </w:rPr>
        <w:t> </w:t>
      </w:r>
      <w:r>
        <w:rPr>
          <w:color w:val="231F20"/>
          <w:sz w:val="19"/>
          <w:vertAlign w:val="baseline"/>
        </w:rPr>
        <w:t>of</w:t>
      </w:r>
      <w:r>
        <w:rPr>
          <w:color w:val="231F20"/>
          <w:spacing w:val="-10"/>
          <w:sz w:val="19"/>
          <w:vertAlign w:val="baseline"/>
        </w:rPr>
        <w:t> </w:t>
      </w:r>
      <w:r>
        <w:rPr>
          <w:color w:val="231F20"/>
          <w:sz w:val="19"/>
          <w:vertAlign w:val="baseline"/>
        </w:rPr>
        <w:t>national</w:t>
      </w:r>
      <w:r>
        <w:rPr>
          <w:color w:val="231F20"/>
          <w:spacing w:val="-10"/>
          <w:sz w:val="19"/>
          <w:vertAlign w:val="baseline"/>
        </w:rPr>
        <w:t> </w:t>
      </w:r>
      <w:r>
        <w:rPr>
          <w:color w:val="231F20"/>
          <w:sz w:val="19"/>
          <w:vertAlign w:val="baseline"/>
        </w:rPr>
        <w:t>law</w:t>
      </w:r>
      <w:r>
        <w:rPr>
          <w:color w:val="231F20"/>
          <w:spacing w:val="-11"/>
          <w:sz w:val="19"/>
          <w:vertAlign w:val="baseline"/>
        </w:rPr>
        <w:t> </w:t>
      </w:r>
      <w:r>
        <w:rPr>
          <w:color w:val="231F20"/>
          <w:sz w:val="19"/>
          <w:vertAlign w:val="baseline"/>
        </w:rPr>
        <w:t>that</w:t>
      </w:r>
      <w:r>
        <w:rPr>
          <w:color w:val="231F20"/>
          <w:spacing w:val="-10"/>
          <w:sz w:val="19"/>
          <w:vertAlign w:val="baseline"/>
        </w:rPr>
        <w:t> </w:t>
      </w:r>
      <w:r>
        <w:rPr>
          <w:color w:val="231F20"/>
          <w:sz w:val="19"/>
          <w:vertAlign w:val="baseline"/>
        </w:rPr>
        <w:t>dealt</w:t>
      </w:r>
      <w:r>
        <w:rPr>
          <w:color w:val="231F20"/>
          <w:spacing w:val="-11"/>
          <w:sz w:val="19"/>
          <w:vertAlign w:val="baseline"/>
        </w:rPr>
        <w:t> </w:t>
      </w:r>
      <w:r>
        <w:rPr>
          <w:color w:val="231F20"/>
          <w:sz w:val="19"/>
          <w:vertAlign w:val="baseline"/>
        </w:rPr>
        <w:t>with</w:t>
      </w:r>
      <w:r>
        <w:rPr>
          <w:color w:val="231F20"/>
          <w:spacing w:val="-10"/>
          <w:sz w:val="19"/>
          <w:vertAlign w:val="baseline"/>
        </w:rPr>
        <w:t> </w:t>
      </w:r>
      <w:r>
        <w:rPr>
          <w:color w:val="231F20"/>
          <w:sz w:val="19"/>
          <w:vertAlign w:val="baseline"/>
        </w:rPr>
        <w:t>mortgage</w:t>
      </w:r>
      <w:r>
        <w:rPr>
          <w:color w:val="231F20"/>
          <w:spacing w:val="-10"/>
          <w:sz w:val="19"/>
          <w:vertAlign w:val="baseline"/>
        </w:rPr>
        <w:t> </w:t>
      </w:r>
      <w:r>
        <w:rPr>
          <w:color w:val="231F20"/>
          <w:sz w:val="19"/>
          <w:vertAlign w:val="baseline"/>
        </w:rPr>
        <w:t>costs.</w:t>
      </w:r>
      <w:r>
        <w:rPr>
          <w:color w:val="231F20"/>
          <w:spacing w:val="-10"/>
          <w:sz w:val="19"/>
          <w:vertAlign w:val="baseline"/>
        </w:rPr>
        <w:t> </w:t>
      </w:r>
      <w:r>
        <w:rPr>
          <w:color w:val="231F20"/>
          <w:sz w:val="19"/>
          <w:vertAlign w:val="baseline"/>
        </w:rPr>
        <w:t>In</w:t>
      </w:r>
      <w:r>
        <w:rPr>
          <w:color w:val="231F20"/>
          <w:spacing w:val="-10"/>
          <w:sz w:val="19"/>
          <w:vertAlign w:val="baseline"/>
        </w:rPr>
        <w:t> </w:t>
      </w:r>
      <w:r>
        <w:rPr>
          <w:color w:val="231F20"/>
          <w:sz w:val="19"/>
          <w:vertAlign w:val="baseline"/>
        </w:rPr>
        <w:t>addition, the</w:t>
      </w:r>
      <w:r>
        <w:rPr>
          <w:color w:val="231F20"/>
          <w:spacing w:val="-1"/>
          <w:sz w:val="19"/>
          <w:vertAlign w:val="baseline"/>
        </w:rPr>
        <w:t> </w:t>
      </w:r>
      <w:r>
        <w:rPr>
          <w:color w:val="231F20"/>
          <w:sz w:val="19"/>
          <w:vertAlign w:val="baseline"/>
        </w:rPr>
        <w:t>possibility</w:t>
      </w:r>
      <w:r>
        <w:rPr>
          <w:color w:val="231F20"/>
          <w:spacing w:val="-2"/>
          <w:sz w:val="19"/>
          <w:vertAlign w:val="baseline"/>
        </w:rPr>
        <w:t> </w:t>
      </w:r>
      <w:r>
        <w:rPr>
          <w:color w:val="231F20"/>
          <w:sz w:val="19"/>
          <w:vertAlign w:val="baseline"/>
        </w:rPr>
        <w:t>of the</w:t>
      </w:r>
      <w:r>
        <w:rPr>
          <w:color w:val="231F20"/>
          <w:spacing w:val="-1"/>
          <w:sz w:val="19"/>
          <w:vertAlign w:val="baseline"/>
        </w:rPr>
        <w:t> </w:t>
      </w:r>
      <w:r>
        <w:rPr>
          <w:color w:val="231F20"/>
          <w:sz w:val="19"/>
          <w:vertAlign w:val="baseline"/>
        </w:rPr>
        <w:t>contract</w:t>
      </w:r>
      <w:r>
        <w:rPr>
          <w:color w:val="231F20"/>
          <w:spacing w:val="-1"/>
          <w:sz w:val="19"/>
          <w:vertAlign w:val="baseline"/>
        </w:rPr>
        <w:t> </w:t>
      </w:r>
      <w:r>
        <w:rPr>
          <w:color w:val="231F20"/>
          <w:sz w:val="19"/>
          <w:vertAlign w:val="baseline"/>
        </w:rPr>
        <w:t>continuing</w:t>
      </w:r>
      <w:r>
        <w:rPr>
          <w:color w:val="231F20"/>
          <w:spacing w:val="-1"/>
          <w:sz w:val="19"/>
          <w:vertAlign w:val="baseline"/>
        </w:rPr>
        <w:t> </w:t>
      </w:r>
      <w:r>
        <w:rPr>
          <w:color w:val="231F20"/>
          <w:sz w:val="19"/>
          <w:vertAlign w:val="baseline"/>
        </w:rPr>
        <w:t>in</w:t>
      </w:r>
      <w:r>
        <w:rPr>
          <w:color w:val="231F20"/>
          <w:spacing w:val="-1"/>
          <w:sz w:val="19"/>
          <w:vertAlign w:val="baseline"/>
        </w:rPr>
        <w:t> </w:t>
      </w:r>
      <w:r>
        <w:rPr>
          <w:color w:val="231F20"/>
          <w:sz w:val="19"/>
          <w:vertAlign w:val="baseline"/>
        </w:rPr>
        <w:t>existence</w:t>
      </w:r>
      <w:r>
        <w:rPr>
          <w:color w:val="231F20"/>
          <w:spacing w:val="-1"/>
          <w:sz w:val="19"/>
          <w:vertAlign w:val="baseline"/>
        </w:rPr>
        <w:t> </w:t>
      </w:r>
      <w:r>
        <w:rPr>
          <w:color w:val="231F20"/>
          <w:sz w:val="19"/>
          <w:vertAlign w:val="baseline"/>
        </w:rPr>
        <w:t>was not</w:t>
      </w:r>
      <w:r>
        <w:rPr>
          <w:color w:val="231F20"/>
          <w:spacing w:val="-1"/>
          <w:sz w:val="19"/>
          <w:vertAlign w:val="baseline"/>
        </w:rPr>
        <w:t> </w:t>
      </w:r>
      <w:r>
        <w:rPr>
          <w:color w:val="231F20"/>
          <w:sz w:val="19"/>
          <w:vertAlign w:val="baseline"/>
        </w:rPr>
        <w:t>questioned.</w:t>
      </w:r>
      <w:r>
        <w:rPr>
          <w:color w:val="231F20"/>
          <w:spacing w:val="-1"/>
          <w:sz w:val="19"/>
          <w:vertAlign w:val="baseline"/>
        </w:rPr>
        <w:t> </w:t>
      </w:r>
      <w:r>
        <w:rPr>
          <w:color w:val="231F20"/>
          <w:sz w:val="19"/>
          <w:vertAlign w:val="baseline"/>
        </w:rPr>
        <w:t>Hence, the case did not</w:t>
      </w:r>
      <w:r>
        <w:rPr>
          <w:color w:val="231F20"/>
          <w:spacing w:val="-1"/>
          <w:sz w:val="19"/>
          <w:vertAlign w:val="baseline"/>
        </w:rPr>
        <w:t> </w:t>
      </w:r>
      <w:r>
        <w:rPr>
          <w:color w:val="231F20"/>
          <w:sz w:val="19"/>
          <w:vertAlign w:val="baseline"/>
        </w:rPr>
        <w:t>meet the requirement developed in Case C-26/13, </w:t>
      </w:r>
      <w:r>
        <w:rPr>
          <w:i/>
          <w:color w:val="231F20"/>
          <w:sz w:val="19"/>
          <w:vertAlign w:val="baseline"/>
        </w:rPr>
        <w:t>Kásler</w:t>
      </w:r>
      <w:r>
        <w:rPr>
          <w:color w:val="231F20"/>
          <w:sz w:val="19"/>
          <w:vertAlign w:val="baseline"/>
        </w:rPr>
        <w:t>, for</w:t>
      </w:r>
      <w:r>
        <w:rPr>
          <w:color w:val="231F20"/>
          <w:spacing w:val="-1"/>
          <w:sz w:val="19"/>
          <w:vertAlign w:val="baseline"/>
        </w:rPr>
        <w:t> </w:t>
      </w:r>
      <w:r>
        <w:rPr>
          <w:color w:val="231F20"/>
          <w:sz w:val="19"/>
          <w:vertAlign w:val="baseline"/>
        </w:rPr>
        <w:t>the application of national law.</w:t>
      </w:r>
    </w:p>
    <w:p>
      <w:pPr>
        <w:pStyle w:val="ListParagraph"/>
        <w:numPr>
          <w:ilvl w:val="0"/>
          <w:numId w:val="4"/>
        </w:numPr>
        <w:tabs>
          <w:tab w:pos="1428" w:val="left" w:leader="none"/>
        </w:tabs>
        <w:spacing w:line="288" w:lineRule="auto" w:before="120" w:after="0"/>
        <w:ind w:left="871" w:right="869" w:firstLine="0"/>
        <w:jc w:val="both"/>
        <w:rPr>
          <w:sz w:val="19"/>
        </w:rPr>
      </w:pPr>
      <w:r>
        <w:rPr>
          <w:color w:val="231F20"/>
          <w:sz w:val="19"/>
        </w:rPr>
        <w:t>In</w:t>
      </w:r>
      <w:r>
        <w:rPr>
          <w:color w:val="231F20"/>
          <w:spacing w:val="-1"/>
          <w:sz w:val="19"/>
        </w:rPr>
        <w:t> </w:t>
      </w:r>
      <w:r>
        <w:rPr>
          <w:color w:val="231F20"/>
          <w:sz w:val="19"/>
        </w:rPr>
        <w:t>the exercise of</w:t>
      </w:r>
      <w:r>
        <w:rPr>
          <w:color w:val="231F20"/>
          <w:spacing w:val="-1"/>
          <w:sz w:val="19"/>
        </w:rPr>
        <w:t> </w:t>
      </w:r>
      <w:r>
        <w:rPr>
          <w:color w:val="231F20"/>
          <w:sz w:val="19"/>
        </w:rPr>
        <w:t>understanding </w:t>
      </w:r>
      <w:r>
        <w:rPr>
          <w:i/>
          <w:color w:val="231F20"/>
          <w:sz w:val="19"/>
        </w:rPr>
        <w:t>Caixabank</w:t>
      </w:r>
      <w:r>
        <w:rPr>
          <w:color w:val="231F20"/>
          <w:sz w:val="19"/>
        </w:rPr>
        <w:t>,</w:t>
      </w:r>
      <w:r>
        <w:rPr>
          <w:color w:val="231F20"/>
          <w:spacing w:val="-1"/>
          <w:sz w:val="19"/>
        </w:rPr>
        <w:t> </w:t>
      </w:r>
      <w:r>
        <w:rPr>
          <w:color w:val="231F20"/>
          <w:sz w:val="19"/>
        </w:rPr>
        <w:t>which is</w:t>
      </w:r>
      <w:r>
        <w:rPr>
          <w:color w:val="231F20"/>
          <w:spacing w:val="-1"/>
          <w:sz w:val="19"/>
        </w:rPr>
        <w:t> </w:t>
      </w:r>
      <w:r>
        <w:rPr>
          <w:color w:val="231F20"/>
          <w:sz w:val="19"/>
        </w:rPr>
        <w:t>seemingly</w:t>
      </w:r>
      <w:r>
        <w:rPr>
          <w:color w:val="231F20"/>
          <w:spacing w:val="-1"/>
          <w:sz w:val="19"/>
        </w:rPr>
        <w:t> </w:t>
      </w:r>
      <w:r>
        <w:rPr>
          <w:color w:val="231F20"/>
          <w:sz w:val="19"/>
        </w:rPr>
        <w:t>in</w:t>
      </w:r>
      <w:r>
        <w:rPr>
          <w:color w:val="231F20"/>
          <w:spacing w:val="-1"/>
          <w:sz w:val="19"/>
        </w:rPr>
        <w:t> </w:t>
      </w:r>
      <w:r>
        <w:rPr>
          <w:color w:val="231F20"/>
          <w:sz w:val="19"/>
        </w:rPr>
        <w:t>contra- diction</w:t>
      </w:r>
      <w:r>
        <w:rPr>
          <w:color w:val="231F20"/>
          <w:spacing w:val="25"/>
          <w:sz w:val="19"/>
        </w:rPr>
        <w:t> </w:t>
      </w:r>
      <w:r>
        <w:rPr>
          <w:color w:val="231F20"/>
          <w:sz w:val="19"/>
        </w:rPr>
        <w:t>with</w:t>
      </w:r>
      <w:r>
        <w:rPr>
          <w:color w:val="231F20"/>
          <w:spacing w:val="24"/>
          <w:sz w:val="19"/>
        </w:rPr>
        <w:t> </w:t>
      </w:r>
      <w:r>
        <w:rPr>
          <w:i/>
          <w:color w:val="231F20"/>
          <w:sz w:val="19"/>
        </w:rPr>
        <w:t>Banco</w:t>
      </w:r>
      <w:r>
        <w:rPr>
          <w:i/>
          <w:color w:val="231F20"/>
          <w:spacing w:val="25"/>
          <w:sz w:val="19"/>
        </w:rPr>
        <w:t> </w:t>
      </w:r>
      <w:r>
        <w:rPr>
          <w:i/>
          <w:color w:val="231F20"/>
          <w:sz w:val="19"/>
        </w:rPr>
        <w:t>Español</w:t>
      </w:r>
      <w:r>
        <w:rPr>
          <w:color w:val="231F20"/>
          <w:sz w:val="19"/>
        </w:rPr>
        <w:t>,</w:t>
      </w:r>
      <w:r>
        <w:rPr>
          <w:color w:val="231F20"/>
          <w:spacing w:val="25"/>
          <w:sz w:val="19"/>
        </w:rPr>
        <w:t> </w:t>
      </w:r>
      <w:r>
        <w:rPr>
          <w:color w:val="231F20"/>
          <w:sz w:val="19"/>
        </w:rPr>
        <w:t>it</w:t>
      </w:r>
      <w:r>
        <w:rPr>
          <w:color w:val="231F20"/>
          <w:spacing w:val="24"/>
          <w:sz w:val="19"/>
        </w:rPr>
        <w:t> </w:t>
      </w:r>
      <w:r>
        <w:rPr>
          <w:color w:val="231F20"/>
          <w:sz w:val="19"/>
        </w:rPr>
        <w:t>is</w:t>
      </w:r>
      <w:r>
        <w:rPr>
          <w:color w:val="231F20"/>
          <w:spacing w:val="25"/>
          <w:sz w:val="19"/>
        </w:rPr>
        <w:t> </w:t>
      </w:r>
      <w:r>
        <w:rPr>
          <w:color w:val="231F20"/>
          <w:sz w:val="19"/>
        </w:rPr>
        <w:t>important</w:t>
      </w:r>
      <w:r>
        <w:rPr>
          <w:color w:val="231F20"/>
          <w:spacing w:val="24"/>
          <w:sz w:val="19"/>
        </w:rPr>
        <w:t> </w:t>
      </w:r>
      <w:r>
        <w:rPr>
          <w:color w:val="231F20"/>
          <w:sz w:val="19"/>
        </w:rPr>
        <w:t>to</w:t>
      </w:r>
      <w:r>
        <w:rPr>
          <w:color w:val="231F20"/>
          <w:spacing w:val="24"/>
          <w:sz w:val="19"/>
        </w:rPr>
        <w:t> </w:t>
      </w:r>
      <w:r>
        <w:rPr>
          <w:color w:val="231F20"/>
          <w:sz w:val="19"/>
        </w:rPr>
        <w:t>break</w:t>
      </w:r>
      <w:r>
        <w:rPr>
          <w:color w:val="231F20"/>
          <w:spacing w:val="24"/>
          <w:sz w:val="19"/>
        </w:rPr>
        <w:t> </w:t>
      </w:r>
      <w:r>
        <w:rPr>
          <w:color w:val="231F20"/>
          <w:sz w:val="19"/>
        </w:rPr>
        <w:t>down</w:t>
      </w:r>
      <w:r>
        <w:rPr>
          <w:color w:val="231F20"/>
          <w:spacing w:val="24"/>
          <w:sz w:val="19"/>
        </w:rPr>
        <w:t> </w:t>
      </w:r>
      <w:r>
        <w:rPr>
          <w:color w:val="231F20"/>
          <w:sz w:val="19"/>
        </w:rPr>
        <w:t>the</w:t>
      </w:r>
      <w:r>
        <w:rPr>
          <w:color w:val="231F20"/>
          <w:spacing w:val="24"/>
          <w:sz w:val="19"/>
        </w:rPr>
        <w:t> </w:t>
      </w:r>
      <w:r>
        <w:rPr>
          <w:color w:val="231F20"/>
          <w:sz w:val="19"/>
        </w:rPr>
        <w:t>mortgage</w:t>
      </w:r>
      <w:r>
        <w:rPr>
          <w:color w:val="231F20"/>
          <w:spacing w:val="24"/>
          <w:sz w:val="19"/>
        </w:rPr>
        <w:t> </w:t>
      </w:r>
      <w:r>
        <w:rPr>
          <w:color w:val="231F20"/>
          <w:spacing w:val="-2"/>
          <w:sz w:val="19"/>
        </w:rPr>
        <w:t>costs</w:t>
      </w:r>
    </w:p>
    <w:p>
      <w:pPr>
        <w:pStyle w:val="BodyText"/>
        <w:spacing w:before="180"/>
        <w:rPr>
          <w:sz w:val="20"/>
        </w:rPr>
      </w:pPr>
      <w:r>
        <w:rPr/>
        <mc:AlternateContent>
          <mc:Choice Requires="wps">
            <w:drawing>
              <wp:anchor distT="0" distB="0" distL="0" distR="0" allowOverlap="1" layoutInCell="1" locked="0" behindDoc="1" simplePos="0" relativeHeight="487603712">
                <wp:simplePos x="0" y="0"/>
                <wp:positionH relativeFrom="page">
                  <wp:posOffset>1979993</wp:posOffset>
                </wp:positionH>
                <wp:positionV relativeFrom="paragraph">
                  <wp:posOffset>274248</wp:posOffset>
                </wp:positionV>
                <wp:extent cx="1656080" cy="4445"/>
                <wp:effectExtent l="0" t="0" r="0" b="0"/>
                <wp:wrapTopAndBottom/>
                <wp:docPr id="34" name="Graphic 34"/>
                <wp:cNvGraphicFramePr>
                  <a:graphicFrameLocks/>
                </wp:cNvGraphicFramePr>
                <a:graphic>
                  <a:graphicData uri="http://schemas.microsoft.com/office/word/2010/wordprocessingShape">
                    <wps:wsp>
                      <wps:cNvPr id="34" name="Graphic 34"/>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1.594345pt;width:130.394pt;height:.34015pt;mso-position-horizontal-relative:page;mso-position-vertical-relative:paragraph;z-index:-15712768;mso-wrap-distance-left:0;mso-wrap-distance-right:0" id="docshape34"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i/>
          <w:sz w:val="16"/>
        </w:rPr>
      </w:pPr>
      <w:r>
        <w:rPr>
          <w:color w:val="231F20"/>
          <w:sz w:val="16"/>
        </w:rPr>
        <w:t>ECJ</w:t>
      </w:r>
      <w:r>
        <w:rPr>
          <w:color w:val="231F20"/>
          <w:spacing w:val="3"/>
          <w:sz w:val="16"/>
        </w:rPr>
        <w:t> </w:t>
      </w:r>
      <w:r>
        <w:rPr>
          <w:color w:val="231F20"/>
          <w:sz w:val="16"/>
        </w:rPr>
        <w:t>12</w:t>
      </w:r>
      <w:r>
        <w:rPr>
          <w:color w:val="231F20"/>
          <w:spacing w:val="3"/>
          <w:sz w:val="16"/>
        </w:rPr>
        <w:t> </w:t>
      </w:r>
      <w:r>
        <w:rPr>
          <w:color w:val="231F20"/>
          <w:sz w:val="16"/>
        </w:rPr>
        <w:t>Jan.</w:t>
      </w:r>
      <w:r>
        <w:rPr>
          <w:color w:val="231F20"/>
          <w:spacing w:val="3"/>
          <w:sz w:val="16"/>
        </w:rPr>
        <w:t> </w:t>
      </w:r>
      <w:r>
        <w:rPr>
          <w:color w:val="231F20"/>
          <w:sz w:val="16"/>
        </w:rPr>
        <w:t>2023,</w:t>
      </w:r>
      <w:r>
        <w:rPr>
          <w:color w:val="231F20"/>
          <w:spacing w:val="5"/>
          <w:sz w:val="16"/>
        </w:rPr>
        <w:t> </w:t>
      </w:r>
      <w:r>
        <w:rPr>
          <w:color w:val="231F20"/>
          <w:sz w:val="16"/>
        </w:rPr>
        <w:t>ECLI:EU:C:2023:14,</w:t>
      </w:r>
      <w:r>
        <w:rPr>
          <w:color w:val="231F20"/>
          <w:spacing w:val="4"/>
          <w:sz w:val="16"/>
        </w:rPr>
        <w:t> </w:t>
      </w:r>
      <w:r>
        <w:rPr>
          <w:i/>
          <w:color w:val="231F20"/>
          <w:sz w:val="16"/>
        </w:rPr>
        <w:t>D.</w:t>
      </w:r>
      <w:r>
        <w:rPr>
          <w:color w:val="231F20"/>
          <w:sz w:val="16"/>
        </w:rPr>
        <w:t>V.</w:t>
      </w:r>
      <w:r>
        <w:rPr>
          <w:color w:val="231F20"/>
          <w:spacing w:val="3"/>
          <w:sz w:val="16"/>
        </w:rPr>
        <w:t> </w:t>
      </w:r>
      <w:r>
        <w:rPr>
          <w:color w:val="231F20"/>
          <w:sz w:val="16"/>
        </w:rPr>
        <w:t>v.</w:t>
      </w:r>
      <w:r>
        <w:rPr>
          <w:color w:val="231F20"/>
          <w:spacing w:val="4"/>
          <w:sz w:val="16"/>
        </w:rPr>
        <w:t> </w:t>
      </w:r>
      <w:r>
        <w:rPr>
          <w:i/>
          <w:color w:val="231F20"/>
          <w:spacing w:val="-4"/>
          <w:sz w:val="16"/>
        </w:rPr>
        <w:t>M.A.</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2"/>
          <w:sz w:val="16"/>
        </w:rPr>
        <w:t> </w:t>
      </w:r>
      <w:r>
        <w:rPr>
          <w:color w:val="231F20"/>
          <w:sz w:val="16"/>
        </w:rPr>
        <w:t>12</w:t>
      </w:r>
      <w:r>
        <w:rPr>
          <w:color w:val="231F20"/>
          <w:spacing w:val="2"/>
          <w:sz w:val="16"/>
        </w:rPr>
        <w:t> </w:t>
      </w:r>
      <w:r>
        <w:rPr>
          <w:color w:val="231F20"/>
          <w:sz w:val="16"/>
        </w:rPr>
        <w:t>Jan.</w:t>
      </w:r>
      <w:r>
        <w:rPr>
          <w:color w:val="231F20"/>
          <w:spacing w:val="3"/>
          <w:sz w:val="16"/>
        </w:rPr>
        <w:t> </w:t>
      </w:r>
      <w:r>
        <w:rPr>
          <w:color w:val="231F20"/>
          <w:sz w:val="16"/>
        </w:rPr>
        <w:t>2023,</w:t>
      </w:r>
      <w:r>
        <w:rPr>
          <w:color w:val="231F20"/>
          <w:spacing w:val="3"/>
          <w:sz w:val="16"/>
        </w:rPr>
        <w:t> </w:t>
      </w:r>
      <w:r>
        <w:rPr>
          <w:color w:val="231F20"/>
          <w:sz w:val="16"/>
        </w:rPr>
        <w:t>ECLI:EU:C:2023:14,</w:t>
      </w:r>
      <w:r>
        <w:rPr>
          <w:color w:val="231F20"/>
          <w:spacing w:val="3"/>
          <w:sz w:val="16"/>
        </w:rPr>
        <w:t> </w:t>
      </w:r>
      <w:r>
        <w:rPr>
          <w:i/>
          <w:color w:val="231F20"/>
          <w:sz w:val="16"/>
        </w:rPr>
        <w:t>D.</w:t>
      </w:r>
      <w:r>
        <w:rPr>
          <w:color w:val="231F20"/>
          <w:sz w:val="16"/>
        </w:rPr>
        <w:t>V.</w:t>
      </w:r>
      <w:r>
        <w:rPr>
          <w:color w:val="231F20"/>
          <w:spacing w:val="2"/>
          <w:sz w:val="16"/>
        </w:rPr>
        <w:t> </w:t>
      </w:r>
      <w:r>
        <w:rPr>
          <w:color w:val="231F20"/>
          <w:sz w:val="16"/>
        </w:rPr>
        <w:t>v.</w:t>
      </w:r>
      <w:r>
        <w:rPr>
          <w:color w:val="231F20"/>
          <w:spacing w:val="4"/>
          <w:sz w:val="16"/>
        </w:rPr>
        <w:t> </w:t>
      </w:r>
      <w:r>
        <w:rPr>
          <w:i/>
          <w:color w:val="231F20"/>
          <w:sz w:val="16"/>
        </w:rPr>
        <w:t>M.A.</w:t>
      </w:r>
      <w:r>
        <w:rPr>
          <w:color w:val="231F20"/>
          <w:sz w:val="16"/>
        </w:rPr>
        <w:t>,</w:t>
      </w:r>
      <w:r>
        <w:rPr>
          <w:color w:val="231F20"/>
          <w:spacing w:val="2"/>
          <w:sz w:val="16"/>
        </w:rPr>
        <w:t> </w:t>
      </w:r>
      <w:r>
        <w:rPr>
          <w:color w:val="231F20"/>
          <w:sz w:val="16"/>
        </w:rPr>
        <w:t>paras</w:t>
      </w:r>
      <w:r>
        <w:rPr>
          <w:color w:val="231F20"/>
          <w:spacing w:val="2"/>
          <w:sz w:val="16"/>
        </w:rPr>
        <w:t> </w:t>
      </w:r>
      <w:r>
        <w:rPr>
          <w:color w:val="231F20"/>
          <w:sz w:val="16"/>
        </w:rPr>
        <w:t>64</w:t>
      </w:r>
      <w:r>
        <w:rPr>
          <w:color w:val="231F20"/>
          <w:spacing w:val="3"/>
          <w:sz w:val="16"/>
        </w:rPr>
        <w:t> </w:t>
      </w:r>
      <w:r>
        <w:rPr>
          <w:color w:val="231F20"/>
          <w:sz w:val="16"/>
        </w:rPr>
        <w:t>and</w:t>
      </w:r>
      <w:r>
        <w:rPr>
          <w:color w:val="231F20"/>
          <w:spacing w:val="3"/>
          <w:sz w:val="16"/>
        </w:rPr>
        <w:t> </w:t>
      </w:r>
      <w:r>
        <w:rPr>
          <w:color w:val="231F20"/>
          <w:spacing w:val="-5"/>
          <w:sz w:val="16"/>
        </w:rPr>
        <w:t>65.</w:t>
      </w:r>
    </w:p>
    <w:p>
      <w:pPr>
        <w:pStyle w:val="ListParagraph"/>
        <w:numPr>
          <w:ilvl w:val="0"/>
          <w:numId w:val="3"/>
        </w:numPr>
        <w:tabs>
          <w:tab w:pos="865" w:val="left" w:leader="none"/>
        </w:tabs>
        <w:spacing w:line="240" w:lineRule="auto" w:before="37" w:after="0"/>
        <w:ind w:left="865" w:right="0" w:hanging="353"/>
        <w:jc w:val="left"/>
        <w:rPr>
          <w:i/>
          <w:sz w:val="16"/>
        </w:rPr>
      </w:pPr>
      <w:r>
        <w:rPr>
          <w:color w:val="231F20"/>
          <w:spacing w:val="-2"/>
          <w:sz w:val="16"/>
        </w:rPr>
        <w:t>ECJ</w:t>
      </w:r>
      <w:r>
        <w:rPr>
          <w:color w:val="231F20"/>
          <w:spacing w:val="7"/>
          <w:sz w:val="16"/>
        </w:rPr>
        <w:t> </w:t>
      </w:r>
      <w:r>
        <w:rPr>
          <w:color w:val="231F20"/>
          <w:spacing w:val="-2"/>
          <w:sz w:val="16"/>
        </w:rPr>
        <w:t>16</w:t>
      </w:r>
      <w:r>
        <w:rPr>
          <w:color w:val="231F20"/>
          <w:spacing w:val="7"/>
          <w:sz w:val="16"/>
        </w:rPr>
        <w:t> </w:t>
      </w:r>
      <w:r>
        <w:rPr>
          <w:color w:val="231F20"/>
          <w:spacing w:val="-2"/>
          <w:sz w:val="16"/>
        </w:rPr>
        <w:t>Jul.</w:t>
      </w:r>
      <w:r>
        <w:rPr>
          <w:color w:val="231F20"/>
          <w:spacing w:val="8"/>
          <w:sz w:val="16"/>
        </w:rPr>
        <w:t> </w:t>
      </w:r>
      <w:r>
        <w:rPr>
          <w:color w:val="231F20"/>
          <w:spacing w:val="-2"/>
          <w:sz w:val="16"/>
        </w:rPr>
        <w:t>2020,</w:t>
      </w:r>
      <w:r>
        <w:rPr>
          <w:color w:val="231F20"/>
          <w:spacing w:val="7"/>
          <w:sz w:val="16"/>
        </w:rPr>
        <w:t> </w:t>
      </w:r>
      <w:r>
        <w:rPr>
          <w:color w:val="231F20"/>
          <w:spacing w:val="-2"/>
          <w:sz w:val="16"/>
        </w:rPr>
        <w:t>ECLI:EU:C:2020:578,</w:t>
      </w:r>
      <w:r>
        <w:rPr>
          <w:color w:val="231F20"/>
          <w:spacing w:val="9"/>
          <w:sz w:val="16"/>
        </w:rPr>
        <w:t> </w:t>
      </w:r>
      <w:r>
        <w:rPr>
          <w:i/>
          <w:color w:val="231F20"/>
          <w:spacing w:val="-2"/>
          <w:sz w:val="16"/>
        </w:rPr>
        <w:t>Caixabank.</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Between</w:t>
      </w:r>
      <w:r>
        <w:rPr>
          <w:color w:val="231F20"/>
          <w:spacing w:val="1"/>
          <w:sz w:val="16"/>
        </w:rPr>
        <w:t> </w:t>
      </w:r>
      <w:r>
        <w:rPr>
          <w:color w:val="231F20"/>
          <w:spacing w:val="-2"/>
          <w:sz w:val="16"/>
        </w:rPr>
        <w:t>brackets</w:t>
      </w:r>
      <w:r>
        <w:rPr>
          <w:color w:val="231F20"/>
          <w:spacing w:val="1"/>
          <w:sz w:val="16"/>
        </w:rPr>
        <w:t> </w:t>
      </w:r>
      <w:r>
        <w:rPr>
          <w:color w:val="231F20"/>
          <w:spacing w:val="-2"/>
          <w:sz w:val="16"/>
        </w:rPr>
        <w:t>added.</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14 Jun. 2012, ECLI:EU:C:2012:349,</w:t>
      </w:r>
      <w:r>
        <w:rPr>
          <w:color w:val="231F20"/>
          <w:spacing w:val="1"/>
          <w:sz w:val="16"/>
        </w:rPr>
        <w:t> </w:t>
      </w:r>
      <w:r>
        <w:rPr>
          <w:i/>
          <w:color w:val="231F20"/>
          <w:sz w:val="16"/>
        </w:rPr>
        <w:t>Banco</w:t>
      </w:r>
      <w:r>
        <w:rPr>
          <w:i/>
          <w:color w:val="231F20"/>
          <w:spacing w:val="1"/>
          <w:sz w:val="16"/>
        </w:rPr>
        <w:t> </w:t>
      </w:r>
      <w:r>
        <w:rPr>
          <w:i/>
          <w:color w:val="231F20"/>
          <w:sz w:val="16"/>
        </w:rPr>
        <w:t>Español</w:t>
      </w:r>
      <w:r>
        <w:rPr>
          <w:color w:val="231F20"/>
          <w:sz w:val="16"/>
        </w:rPr>
        <w:t>,</w:t>
      </w:r>
      <w:r>
        <w:rPr>
          <w:color w:val="231F20"/>
          <w:spacing w:val="2"/>
          <w:sz w:val="16"/>
        </w:rPr>
        <w:t> </w:t>
      </w:r>
      <w:r>
        <w:rPr>
          <w:color w:val="231F20"/>
          <w:sz w:val="16"/>
        </w:rPr>
        <w:t>para. </w:t>
      </w:r>
      <w:r>
        <w:rPr>
          <w:color w:val="231F20"/>
          <w:spacing w:val="-5"/>
          <w:sz w:val="16"/>
        </w:rPr>
        <w:t>65.</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5" w:lineRule="auto"/>
        <w:ind w:left="871" w:right="869"/>
        <w:jc w:val="both"/>
      </w:pPr>
      <w:r>
        <w:rPr>
          <w:color w:val="231F20"/>
        </w:rPr>
        <w:t>involved</w:t>
      </w:r>
      <w:r>
        <w:rPr>
          <w:color w:val="231F20"/>
          <w:spacing w:val="-10"/>
        </w:rPr>
        <w:t> </w:t>
      </w:r>
      <w:r>
        <w:rPr>
          <w:color w:val="231F20"/>
        </w:rPr>
        <w:t>in</w:t>
      </w:r>
      <w:r>
        <w:rPr>
          <w:color w:val="231F20"/>
          <w:spacing w:val="-8"/>
        </w:rPr>
        <w:t> </w:t>
      </w:r>
      <w:r>
        <w:rPr>
          <w:color w:val="231F20"/>
        </w:rPr>
        <w:t>the</w:t>
      </w:r>
      <w:r>
        <w:rPr>
          <w:color w:val="231F20"/>
          <w:spacing w:val="-9"/>
        </w:rPr>
        <w:t> </w:t>
      </w:r>
      <w:r>
        <w:rPr>
          <w:color w:val="231F20"/>
        </w:rPr>
        <w:t>former</w:t>
      </w:r>
      <w:r>
        <w:rPr>
          <w:color w:val="231F20"/>
          <w:spacing w:val="-10"/>
        </w:rPr>
        <w:t> </w:t>
      </w:r>
      <w:r>
        <w:rPr>
          <w:color w:val="231F20"/>
        </w:rPr>
        <w:t>case.</w:t>
      </w:r>
      <w:r>
        <w:rPr>
          <w:color w:val="231F20"/>
          <w:spacing w:val="-9"/>
        </w:rPr>
        <w:t> </w:t>
      </w:r>
      <w:r>
        <w:rPr>
          <w:color w:val="231F20"/>
        </w:rPr>
        <w:t>Under</w:t>
      </w:r>
      <w:r>
        <w:rPr>
          <w:color w:val="231F20"/>
          <w:spacing w:val="-8"/>
        </w:rPr>
        <w:t> </w:t>
      </w:r>
      <w:r>
        <w:rPr>
          <w:color w:val="231F20"/>
        </w:rPr>
        <w:t>a</w:t>
      </w:r>
      <w:r>
        <w:rPr>
          <w:color w:val="231F20"/>
          <w:spacing w:val="-9"/>
        </w:rPr>
        <w:t> </w:t>
      </w:r>
      <w:r>
        <w:rPr>
          <w:color w:val="231F20"/>
        </w:rPr>
        <w:t>term</w:t>
      </w:r>
      <w:r>
        <w:rPr>
          <w:color w:val="231F20"/>
          <w:spacing w:val="-8"/>
        </w:rPr>
        <w:t> </w:t>
      </w:r>
      <w:r>
        <w:rPr>
          <w:color w:val="231F20"/>
        </w:rPr>
        <w:t>that</w:t>
      </w:r>
      <w:r>
        <w:rPr>
          <w:color w:val="231F20"/>
          <w:spacing w:val="-9"/>
        </w:rPr>
        <w:t> </w:t>
      </w:r>
      <w:r>
        <w:rPr>
          <w:color w:val="231F20"/>
        </w:rPr>
        <w:t>was</w:t>
      </w:r>
      <w:r>
        <w:rPr>
          <w:color w:val="231F20"/>
          <w:spacing w:val="-8"/>
        </w:rPr>
        <w:t> </w:t>
      </w:r>
      <w:r>
        <w:rPr>
          <w:color w:val="231F20"/>
        </w:rPr>
        <w:t>found</w:t>
      </w:r>
      <w:r>
        <w:rPr>
          <w:color w:val="231F20"/>
          <w:spacing w:val="-9"/>
        </w:rPr>
        <w:t> </w:t>
      </w:r>
      <w:r>
        <w:rPr>
          <w:color w:val="231F20"/>
        </w:rPr>
        <w:t>unfair,</w:t>
      </w:r>
      <w:r>
        <w:rPr>
          <w:color w:val="231F20"/>
          <w:spacing w:val="-9"/>
        </w:rPr>
        <w:t> </w:t>
      </w:r>
      <w:r>
        <w:rPr>
          <w:color w:val="231F20"/>
        </w:rPr>
        <w:t>the</w:t>
      </w:r>
      <w:r>
        <w:rPr>
          <w:color w:val="231F20"/>
          <w:spacing w:val="-8"/>
        </w:rPr>
        <w:t> </w:t>
      </w:r>
      <w:r>
        <w:rPr>
          <w:color w:val="231F20"/>
        </w:rPr>
        <w:t>borrower</w:t>
      </w:r>
      <w:r>
        <w:rPr>
          <w:color w:val="231F20"/>
          <w:spacing w:val="-9"/>
        </w:rPr>
        <w:t> </w:t>
      </w:r>
      <w:r>
        <w:rPr>
          <w:color w:val="231F20"/>
        </w:rPr>
        <w:t>was liable</w:t>
      </w:r>
      <w:r>
        <w:rPr>
          <w:color w:val="231F20"/>
          <w:spacing w:val="-7"/>
        </w:rPr>
        <w:t> </w:t>
      </w:r>
      <w:r>
        <w:rPr>
          <w:color w:val="231F20"/>
        </w:rPr>
        <w:t>for</w:t>
      </w:r>
      <w:r>
        <w:rPr>
          <w:color w:val="231F20"/>
          <w:spacing w:val="-9"/>
        </w:rPr>
        <w:t> </w:t>
      </w:r>
      <w:r>
        <w:rPr>
          <w:color w:val="231F20"/>
        </w:rPr>
        <w:t>the</w:t>
      </w:r>
      <w:r>
        <w:rPr>
          <w:color w:val="231F20"/>
          <w:spacing w:val="-7"/>
        </w:rPr>
        <w:t> </w:t>
      </w:r>
      <w:r>
        <w:rPr>
          <w:color w:val="231F20"/>
        </w:rPr>
        <w:t>payment</w:t>
      </w:r>
      <w:r>
        <w:rPr>
          <w:color w:val="231F20"/>
          <w:spacing w:val="-7"/>
        </w:rPr>
        <w:t> </w:t>
      </w:r>
      <w:r>
        <w:rPr>
          <w:color w:val="231F20"/>
        </w:rPr>
        <w:t>of</w:t>
      </w:r>
      <w:r>
        <w:rPr>
          <w:color w:val="231F20"/>
          <w:spacing w:val="-3"/>
        </w:rPr>
        <w:t> </w:t>
      </w:r>
      <w:r>
        <w:rPr>
          <w:color w:val="231F20"/>
        </w:rPr>
        <w:t>the</w:t>
      </w:r>
      <w:r>
        <w:rPr>
          <w:color w:val="231F20"/>
          <w:spacing w:val="-7"/>
        </w:rPr>
        <w:t> </w:t>
      </w:r>
      <w:r>
        <w:rPr>
          <w:color w:val="231F20"/>
        </w:rPr>
        <w:t>following</w:t>
      </w:r>
      <w:r>
        <w:rPr>
          <w:color w:val="231F20"/>
          <w:spacing w:val="-8"/>
        </w:rPr>
        <w:t> </w:t>
      </w:r>
      <w:r>
        <w:rPr>
          <w:color w:val="231F20"/>
        </w:rPr>
        <w:t>costs:</w:t>
      </w:r>
      <w:r>
        <w:rPr>
          <w:color w:val="231F20"/>
          <w:spacing w:val="-7"/>
        </w:rPr>
        <w:t> </w:t>
      </w:r>
      <w:r>
        <w:rPr>
          <w:color w:val="231F20"/>
        </w:rPr>
        <w:t>valuation</w:t>
      </w:r>
      <w:r>
        <w:rPr>
          <w:color w:val="231F20"/>
          <w:spacing w:val="-7"/>
        </w:rPr>
        <w:t> </w:t>
      </w:r>
      <w:r>
        <w:rPr>
          <w:color w:val="231F20"/>
        </w:rPr>
        <w:t>of</w:t>
      </w:r>
      <w:r>
        <w:rPr>
          <w:color w:val="231F20"/>
          <w:spacing w:val="-5"/>
        </w:rPr>
        <w:t> </w:t>
      </w:r>
      <w:r>
        <w:rPr>
          <w:color w:val="231F20"/>
        </w:rPr>
        <w:t>the</w:t>
      </w:r>
      <w:r>
        <w:rPr>
          <w:color w:val="231F20"/>
          <w:spacing w:val="-7"/>
        </w:rPr>
        <w:t> </w:t>
      </w:r>
      <w:r>
        <w:rPr>
          <w:color w:val="231F20"/>
        </w:rPr>
        <w:t>mortgaged</w:t>
      </w:r>
      <w:r>
        <w:rPr>
          <w:color w:val="231F20"/>
          <w:spacing w:val="-6"/>
        </w:rPr>
        <w:t> </w:t>
      </w:r>
      <w:r>
        <w:rPr>
          <w:color w:val="231F20"/>
        </w:rPr>
        <w:t>property, notarial</w:t>
      </w:r>
      <w:r>
        <w:rPr>
          <w:color w:val="231F20"/>
          <w:spacing w:val="-9"/>
        </w:rPr>
        <w:t> </w:t>
      </w:r>
      <w:r>
        <w:rPr>
          <w:color w:val="231F20"/>
        </w:rPr>
        <w:t>fees,</w:t>
      </w:r>
      <w:r>
        <w:rPr>
          <w:color w:val="231F20"/>
          <w:spacing w:val="-9"/>
        </w:rPr>
        <w:t> </w:t>
      </w:r>
      <w:r>
        <w:rPr>
          <w:color w:val="231F20"/>
        </w:rPr>
        <w:t>taxes,</w:t>
      </w:r>
      <w:r>
        <w:rPr>
          <w:color w:val="231F20"/>
          <w:spacing w:val="-8"/>
        </w:rPr>
        <w:t> </w:t>
      </w:r>
      <w:r>
        <w:rPr>
          <w:color w:val="231F20"/>
        </w:rPr>
        <w:t>entry</w:t>
      </w:r>
      <w:r>
        <w:rPr>
          <w:color w:val="231F20"/>
          <w:spacing w:val="-8"/>
        </w:rPr>
        <w:t> </w:t>
      </w:r>
      <w:r>
        <w:rPr>
          <w:color w:val="231F20"/>
        </w:rPr>
        <w:t>in</w:t>
      </w:r>
      <w:r>
        <w:rPr>
          <w:color w:val="231F20"/>
          <w:spacing w:val="-8"/>
        </w:rPr>
        <w:t> </w:t>
      </w:r>
      <w:r>
        <w:rPr>
          <w:color w:val="231F20"/>
        </w:rPr>
        <w:t>the</w:t>
      </w:r>
      <w:r>
        <w:rPr>
          <w:color w:val="231F20"/>
          <w:spacing w:val="-8"/>
        </w:rPr>
        <w:t> </w:t>
      </w:r>
      <w:r>
        <w:rPr>
          <w:color w:val="231F20"/>
        </w:rPr>
        <w:t>Land</w:t>
      </w:r>
      <w:r>
        <w:rPr>
          <w:color w:val="231F20"/>
          <w:spacing w:val="-8"/>
        </w:rPr>
        <w:t> </w:t>
      </w:r>
      <w:r>
        <w:rPr>
          <w:color w:val="231F20"/>
        </w:rPr>
        <w:t>Registry,</w:t>
      </w:r>
      <w:r>
        <w:rPr>
          <w:color w:val="231F20"/>
          <w:spacing w:val="-8"/>
        </w:rPr>
        <w:t> </w:t>
      </w:r>
      <w:r>
        <w:rPr>
          <w:color w:val="231F20"/>
        </w:rPr>
        <w:t>and</w:t>
      </w:r>
      <w:r>
        <w:rPr>
          <w:color w:val="231F20"/>
          <w:spacing w:val="-8"/>
        </w:rPr>
        <w:t> </w:t>
      </w:r>
      <w:r>
        <w:rPr>
          <w:color w:val="231F20"/>
        </w:rPr>
        <w:t>the</w:t>
      </w:r>
      <w:r>
        <w:rPr>
          <w:color w:val="231F20"/>
          <w:spacing w:val="-8"/>
        </w:rPr>
        <w:t> </w:t>
      </w:r>
      <w:r>
        <w:rPr>
          <w:color w:val="231F20"/>
        </w:rPr>
        <w:t>lawyers</w:t>
      </w:r>
      <w:r>
        <w:rPr>
          <w:rFonts w:ascii="Arial" w:hAnsi="Arial"/>
          <w:color w:val="231F20"/>
        </w:rPr>
        <w:t>’</w:t>
      </w:r>
      <w:r>
        <w:rPr>
          <w:rFonts w:ascii="Arial" w:hAnsi="Arial"/>
          <w:color w:val="231F20"/>
          <w:spacing w:val="-14"/>
        </w:rPr>
        <w:t> </w:t>
      </w:r>
      <w:r>
        <w:rPr>
          <w:color w:val="231F20"/>
        </w:rPr>
        <w:t>and</w:t>
      </w:r>
      <w:r>
        <w:rPr>
          <w:color w:val="231F20"/>
          <w:spacing w:val="-8"/>
        </w:rPr>
        <w:t> </w:t>
      </w:r>
      <w:r>
        <w:rPr>
          <w:color w:val="231F20"/>
        </w:rPr>
        <w:t>agent</w:t>
      </w:r>
      <w:r>
        <w:rPr>
          <w:rFonts w:ascii="Arial" w:hAnsi="Arial"/>
          <w:color w:val="231F20"/>
        </w:rPr>
        <w:t>’</w:t>
      </w:r>
      <w:r>
        <w:rPr>
          <w:color w:val="231F20"/>
        </w:rPr>
        <w:t>s</w:t>
      </w:r>
      <w:r>
        <w:rPr>
          <w:color w:val="231F20"/>
          <w:spacing w:val="-8"/>
        </w:rPr>
        <w:t> </w:t>
      </w:r>
      <w:r>
        <w:rPr>
          <w:color w:val="231F20"/>
        </w:rPr>
        <w:t>fees</w:t>
      </w:r>
      <w:r>
        <w:rPr>
          <w:color w:val="231F20"/>
          <w:spacing w:val="-9"/>
        </w:rPr>
        <w:t> </w:t>
      </w:r>
      <w:r>
        <w:rPr>
          <w:color w:val="231F20"/>
        </w:rPr>
        <w:t>in the event of judicial recovery.</w:t>
      </w:r>
      <w:r>
        <w:rPr>
          <w:color w:val="231F20"/>
          <w:vertAlign w:val="superscript"/>
        </w:rPr>
        <w:t>185</w:t>
      </w:r>
    </w:p>
    <w:p>
      <w:pPr>
        <w:pStyle w:val="ListParagraph"/>
        <w:numPr>
          <w:ilvl w:val="0"/>
          <w:numId w:val="4"/>
        </w:numPr>
        <w:tabs>
          <w:tab w:pos="1428" w:val="left" w:leader="none"/>
        </w:tabs>
        <w:spacing w:line="288" w:lineRule="auto" w:before="123" w:after="0"/>
        <w:ind w:left="871" w:right="867" w:firstLine="0"/>
        <w:jc w:val="both"/>
        <w:rPr>
          <w:sz w:val="19"/>
        </w:rPr>
      </w:pPr>
      <w:r>
        <w:rPr>
          <w:color w:val="231F20"/>
          <w:spacing w:val="-6"/>
          <w:sz w:val="19"/>
        </w:rPr>
        <w:t>These costs</w:t>
      </w:r>
      <w:r>
        <w:rPr>
          <w:color w:val="231F20"/>
          <w:spacing w:val="-5"/>
          <w:sz w:val="19"/>
        </w:rPr>
        <w:t> </w:t>
      </w:r>
      <w:r>
        <w:rPr>
          <w:color w:val="231F20"/>
          <w:spacing w:val="-6"/>
          <w:sz w:val="19"/>
        </w:rPr>
        <w:t>share a</w:t>
      </w:r>
      <w:r>
        <w:rPr>
          <w:color w:val="231F20"/>
          <w:spacing w:val="-5"/>
          <w:sz w:val="19"/>
        </w:rPr>
        <w:t> </w:t>
      </w:r>
      <w:r>
        <w:rPr>
          <w:color w:val="231F20"/>
          <w:spacing w:val="-6"/>
          <w:sz w:val="19"/>
        </w:rPr>
        <w:t>common feature.</w:t>
      </w:r>
      <w:r>
        <w:rPr>
          <w:color w:val="231F20"/>
          <w:spacing w:val="-5"/>
          <w:sz w:val="19"/>
        </w:rPr>
        <w:t> </w:t>
      </w:r>
      <w:r>
        <w:rPr>
          <w:color w:val="231F20"/>
          <w:spacing w:val="-6"/>
          <w:sz w:val="19"/>
        </w:rPr>
        <w:t>They correspond</w:t>
      </w:r>
      <w:r>
        <w:rPr>
          <w:color w:val="231F20"/>
          <w:spacing w:val="-5"/>
          <w:sz w:val="19"/>
        </w:rPr>
        <w:t> </w:t>
      </w:r>
      <w:r>
        <w:rPr>
          <w:color w:val="231F20"/>
          <w:spacing w:val="-6"/>
          <w:sz w:val="19"/>
        </w:rPr>
        <w:t>to fees</w:t>
      </w:r>
      <w:r>
        <w:rPr>
          <w:color w:val="231F20"/>
          <w:spacing w:val="-5"/>
          <w:sz w:val="19"/>
        </w:rPr>
        <w:t> </w:t>
      </w:r>
      <w:r>
        <w:rPr>
          <w:color w:val="231F20"/>
          <w:spacing w:val="-6"/>
          <w:sz w:val="19"/>
        </w:rPr>
        <w:t>and expenses</w:t>
      </w:r>
      <w:r>
        <w:rPr>
          <w:color w:val="231F20"/>
          <w:spacing w:val="-5"/>
          <w:sz w:val="19"/>
        </w:rPr>
        <w:t> </w:t>
      </w:r>
      <w:r>
        <w:rPr>
          <w:color w:val="231F20"/>
          <w:spacing w:val="-6"/>
          <w:sz w:val="19"/>
        </w:rPr>
        <w:t>that</w:t>
      </w:r>
      <w:r>
        <w:rPr>
          <w:color w:val="231F20"/>
          <w:sz w:val="19"/>
        </w:rPr>
        <w:t> were</w:t>
      </w:r>
      <w:r>
        <w:rPr>
          <w:color w:val="231F20"/>
          <w:spacing w:val="-5"/>
          <w:sz w:val="19"/>
        </w:rPr>
        <w:t> </w:t>
      </w:r>
      <w:r>
        <w:rPr>
          <w:color w:val="231F20"/>
          <w:sz w:val="19"/>
        </w:rPr>
        <w:t>due</w:t>
      </w:r>
      <w:r>
        <w:rPr>
          <w:color w:val="231F20"/>
          <w:spacing w:val="-5"/>
          <w:sz w:val="19"/>
        </w:rPr>
        <w:t> </w:t>
      </w:r>
      <w:r>
        <w:rPr>
          <w:color w:val="231F20"/>
          <w:sz w:val="19"/>
        </w:rPr>
        <w:t>to</w:t>
      </w:r>
      <w:r>
        <w:rPr>
          <w:color w:val="231F20"/>
          <w:spacing w:val="-7"/>
          <w:sz w:val="19"/>
        </w:rPr>
        <w:t> </w:t>
      </w:r>
      <w:r>
        <w:rPr>
          <w:color w:val="231F20"/>
          <w:sz w:val="19"/>
        </w:rPr>
        <w:t>third</w:t>
      </w:r>
      <w:r>
        <w:rPr>
          <w:color w:val="231F20"/>
          <w:spacing w:val="-5"/>
          <w:sz w:val="19"/>
        </w:rPr>
        <w:t> </w:t>
      </w:r>
      <w:r>
        <w:rPr>
          <w:color w:val="231F20"/>
          <w:sz w:val="19"/>
        </w:rPr>
        <w:t>parties:</w:t>
      </w:r>
      <w:r>
        <w:rPr>
          <w:color w:val="231F20"/>
          <w:spacing w:val="-7"/>
          <w:sz w:val="19"/>
        </w:rPr>
        <w:t> </w:t>
      </w:r>
      <w:r>
        <w:rPr>
          <w:color w:val="231F20"/>
          <w:sz w:val="19"/>
        </w:rPr>
        <w:t>valuation</w:t>
      </w:r>
      <w:r>
        <w:rPr>
          <w:color w:val="231F20"/>
          <w:spacing w:val="-5"/>
          <w:sz w:val="19"/>
        </w:rPr>
        <w:t> </w:t>
      </w:r>
      <w:r>
        <w:rPr>
          <w:color w:val="231F20"/>
          <w:sz w:val="19"/>
        </w:rPr>
        <w:t>companies,</w:t>
      </w:r>
      <w:r>
        <w:rPr>
          <w:color w:val="231F20"/>
          <w:spacing w:val="-6"/>
          <w:sz w:val="19"/>
        </w:rPr>
        <w:t> </w:t>
      </w:r>
      <w:r>
        <w:rPr>
          <w:color w:val="231F20"/>
          <w:sz w:val="19"/>
        </w:rPr>
        <w:t>notaries,</w:t>
      </w:r>
      <w:r>
        <w:rPr>
          <w:color w:val="231F20"/>
          <w:spacing w:val="-6"/>
          <w:sz w:val="19"/>
        </w:rPr>
        <w:t> </w:t>
      </w:r>
      <w:r>
        <w:rPr>
          <w:color w:val="231F20"/>
          <w:sz w:val="19"/>
        </w:rPr>
        <w:t>the</w:t>
      </w:r>
      <w:r>
        <w:rPr>
          <w:color w:val="231F20"/>
          <w:spacing w:val="-7"/>
          <w:sz w:val="19"/>
        </w:rPr>
        <w:t> </w:t>
      </w:r>
      <w:r>
        <w:rPr>
          <w:color w:val="231F20"/>
          <w:sz w:val="19"/>
        </w:rPr>
        <w:t>state,</w:t>
      </w:r>
      <w:r>
        <w:rPr>
          <w:color w:val="231F20"/>
          <w:spacing w:val="-6"/>
          <w:sz w:val="19"/>
        </w:rPr>
        <w:t> </w:t>
      </w:r>
      <w:r>
        <w:rPr>
          <w:color w:val="231F20"/>
          <w:sz w:val="19"/>
        </w:rPr>
        <w:t>land</w:t>
      </w:r>
      <w:r>
        <w:rPr>
          <w:color w:val="231F20"/>
          <w:spacing w:val="-7"/>
          <w:sz w:val="19"/>
        </w:rPr>
        <w:t> </w:t>
      </w:r>
      <w:r>
        <w:rPr>
          <w:color w:val="231F20"/>
          <w:sz w:val="19"/>
        </w:rPr>
        <w:t>registries, lawyers</w:t>
      </w:r>
      <w:r>
        <w:rPr>
          <w:color w:val="231F20"/>
          <w:spacing w:val="-8"/>
          <w:sz w:val="19"/>
        </w:rPr>
        <w:t> </w:t>
      </w:r>
      <w:r>
        <w:rPr>
          <w:color w:val="231F20"/>
          <w:sz w:val="19"/>
        </w:rPr>
        <w:t>and</w:t>
      </w:r>
      <w:r>
        <w:rPr>
          <w:color w:val="231F20"/>
          <w:spacing w:val="-8"/>
          <w:sz w:val="19"/>
        </w:rPr>
        <w:t> </w:t>
      </w:r>
      <w:r>
        <w:rPr>
          <w:color w:val="231F20"/>
          <w:sz w:val="19"/>
        </w:rPr>
        <w:t>agents.</w:t>
      </w:r>
      <w:r>
        <w:rPr>
          <w:color w:val="231F20"/>
          <w:spacing w:val="-9"/>
          <w:sz w:val="19"/>
        </w:rPr>
        <w:t> </w:t>
      </w:r>
      <w:r>
        <w:rPr>
          <w:color w:val="231F20"/>
          <w:sz w:val="19"/>
        </w:rPr>
        <w:t>Those</w:t>
      </w:r>
      <w:r>
        <w:rPr>
          <w:color w:val="231F20"/>
          <w:spacing w:val="-9"/>
          <w:sz w:val="19"/>
        </w:rPr>
        <w:t> </w:t>
      </w:r>
      <w:r>
        <w:rPr>
          <w:color w:val="231F20"/>
          <w:sz w:val="19"/>
        </w:rPr>
        <w:t>costs</w:t>
      </w:r>
      <w:r>
        <w:rPr>
          <w:color w:val="231F20"/>
          <w:spacing w:val="-8"/>
          <w:sz w:val="19"/>
        </w:rPr>
        <w:t> </w:t>
      </w:r>
      <w:r>
        <w:rPr>
          <w:color w:val="231F20"/>
          <w:sz w:val="19"/>
        </w:rPr>
        <w:t>were</w:t>
      </w:r>
      <w:r>
        <w:rPr>
          <w:color w:val="231F20"/>
          <w:spacing w:val="-8"/>
          <w:sz w:val="19"/>
        </w:rPr>
        <w:t> </w:t>
      </w:r>
      <w:r>
        <w:rPr>
          <w:color w:val="231F20"/>
          <w:sz w:val="19"/>
        </w:rPr>
        <w:t>required</w:t>
      </w:r>
      <w:r>
        <w:rPr>
          <w:color w:val="231F20"/>
          <w:spacing w:val="-9"/>
          <w:sz w:val="19"/>
        </w:rPr>
        <w:t> </w:t>
      </w:r>
      <w:r>
        <w:rPr>
          <w:color w:val="231F20"/>
          <w:sz w:val="19"/>
        </w:rPr>
        <w:t>under</w:t>
      </w:r>
      <w:r>
        <w:rPr>
          <w:color w:val="231F20"/>
          <w:spacing w:val="-7"/>
          <w:sz w:val="19"/>
        </w:rPr>
        <w:t> </w:t>
      </w:r>
      <w:r>
        <w:rPr>
          <w:color w:val="231F20"/>
          <w:sz w:val="19"/>
        </w:rPr>
        <w:t>mandatory</w:t>
      </w:r>
      <w:r>
        <w:rPr>
          <w:color w:val="231F20"/>
          <w:spacing w:val="-8"/>
          <w:sz w:val="19"/>
        </w:rPr>
        <w:t> </w:t>
      </w:r>
      <w:r>
        <w:rPr>
          <w:color w:val="231F20"/>
          <w:sz w:val="19"/>
        </w:rPr>
        <w:t>law,</w:t>
      </w:r>
      <w:r>
        <w:rPr>
          <w:color w:val="231F20"/>
          <w:spacing w:val="-8"/>
          <w:sz w:val="19"/>
        </w:rPr>
        <w:t> </w:t>
      </w:r>
      <w:r>
        <w:rPr>
          <w:color w:val="231F20"/>
          <w:sz w:val="19"/>
        </w:rPr>
        <w:t>for</w:t>
      </w:r>
      <w:r>
        <w:rPr>
          <w:color w:val="231F20"/>
          <w:spacing w:val="-9"/>
          <w:sz w:val="19"/>
        </w:rPr>
        <w:t> </w:t>
      </w:r>
      <w:r>
        <w:rPr>
          <w:color w:val="231F20"/>
          <w:sz w:val="19"/>
        </w:rPr>
        <w:t>example, taxes,</w:t>
      </w:r>
      <w:r>
        <w:rPr>
          <w:color w:val="231F20"/>
          <w:spacing w:val="-12"/>
          <w:sz w:val="19"/>
        </w:rPr>
        <w:t> </w:t>
      </w:r>
      <w:r>
        <w:rPr>
          <w:color w:val="231F20"/>
          <w:sz w:val="19"/>
        </w:rPr>
        <w:t>and</w:t>
      </w:r>
      <w:r>
        <w:rPr>
          <w:color w:val="231F20"/>
          <w:spacing w:val="-11"/>
          <w:sz w:val="19"/>
        </w:rPr>
        <w:t> </w:t>
      </w:r>
      <w:r>
        <w:rPr>
          <w:color w:val="231F20"/>
          <w:sz w:val="19"/>
        </w:rPr>
        <w:t>non-mandatory</w:t>
      </w:r>
      <w:r>
        <w:rPr>
          <w:color w:val="231F20"/>
          <w:spacing w:val="-12"/>
          <w:sz w:val="19"/>
        </w:rPr>
        <w:t> </w:t>
      </w:r>
      <w:r>
        <w:rPr>
          <w:color w:val="231F20"/>
          <w:sz w:val="19"/>
        </w:rPr>
        <w:t>law.</w:t>
      </w:r>
      <w:r>
        <w:rPr>
          <w:color w:val="231F20"/>
          <w:spacing w:val="-11"/>
          <w:sz w:val="19"/>
        </w:rPr>
        <w:t> </w:t>
      </w:r>
      <w:r>
        <w:rPr>
          <w:color w:val="231F20"/>
          <w:sz w:val="19"/>
        </w:rPr>
        <w:t>In</w:t>
      </w:r>
      <w:r>
        <w:rPr>
          <w:color w:val="231F20"/>
          <w:spacing w:val="-12"/>
          <w:sz w:val="19"/>
        </w:rPr>
        <w:t> </w:t>
      </w:r>
      <w:r>
        <w:rPr>
          <w:color w:val="231F20"/>
          <w:sz w:val="19"/>
        </w:rPr>
        <w:t>any</w:t>
      </w:r>
      <w:r>
        <w:rPr>
          <w:color w:val="231F20"/>
          <w:spacing w:val="-11"/>
          <w:sz w:val="19"/>
        </w:rPr>
        <w:t> </w:t>
      </w:r>
      <w:r>
        <w:rPr>
          <w:color w:val="231F20"/>
          <w:sz w:val="19"/>
        </w:rPr>
        <w:t>case,</w:t>
      </w:r>
      <w:r>
        <w:rPr>
          <w:color w:val="231F20"/>
          <w:spacing w:val="-12"/>
          <w:sz w:val="19"/>
        </w:rPr>
        <w:t> </w:t>
      </w:r>
      <w:r>
        <w:rPr>
          <w:color w:val="231F20"/>
          <w:sz w:val="19"/>
        </w:rPr>
        <w:t>they</w:t>
      </w:r>
      <w:r>
        <w:rPr>
          <w:color w:val="231F20"/>
          <w:spacing w:val="-11"/>
          <w:sz w:val="19"/>
        </w:rPr>
        <w:t> </w:t>
      </w:r>
      <w:r>
        <w:rPr>
          <w:color w:val="231F20"/>
          <w:sz w:val="19"/>
        </w:rPr>
        <w:t>were</w:t>
      </w:r>
      <w:r>
        <w:rPr>
          <w:color w:val="231F20"/>
          <w:spacing w:val="-12"/>
          <w:sz w:val="19"/>
        </w:rPr>
        <w:t> </w:t>
      </w:r>
      <w:r>
        <w:rPr>
          <w:color w:val="231F20"/>
          <w:sz w:val="19"/>
        </w:rPr>
        <w:t>not</w:t>
      </w:r>
      <w:r>
        <w:rPr>
          <w:color w:val="231F20"/>
          <w:spacing w:val="-11"/>
          <w:sz w:val="19"/>
        </w:rPr>
        <w:t> </w:t>
      </w:r>
      <w:r>
        <w:rPr>
          <w:color w:val="231F20"/>
          <w:sz w:val="19"/>
        </w:rPr>
        <w:t>due</w:t>
      </w:r>
      <w:r>
        <w:rPr>
          <w:color w:val="231F20"/>
          <w:spacing w:val="-12"/>
          <w:sz w:val="19"/>
        </w:rPr>
        <w:t> </w:t>
      </w:r>
      <w:r>
        <w:rPr>
          <w:color w:val="231F20"/>
          <w:sz w:val="19"/>
        </w:rPr>
        <w:t>to</w:t>
      </w:r>
      <w:r>
        <w:rPr>
          <w:color w:val="231F20"/>
          <w:spacing w:val="-11"/>
          <w:sz w:val="19"/>
        </w:rPr>
        <w:t> </w:t>
      </w:r>
      <w:r>
        <w:rPr>
          <w:color w:val="231F20"/>
          <w:sz w:val="19"/>
        </w:rPr>
        <w:t>the</w:t>
      </w:r>
      <w:r>
        <w:rPr>
          <w:color w:val="231F20"/>
          <w:spacing w:val="-11"/>
          <w:sz w:val="19"/>
        </w:rPr>
        <w:t> </w:t>
      </w:r>
      <w:r>
        <w:rPr>
          <w:color w:val="231F20"/>
          <w:sz w:val="19"/>
        </w:rPr>
        <w:t>business.</w:t>
      </w:r>
    </w:p>
    <w:p>
      <w:pPr>
        <w:pStyle w:val="ListParagraph"/>
        <w:numPr>
          <w:ilvl w:val="0"/>
          <w:numId w:val="4"/>
        </w:numPr>
        <w:tabs>
          <w:tab w:pos="1428" w:val="left" w:leader="none"/>
        </w:tabs>
        <w:spacing w:line="288" w:lineRule="auto" w:before="120" w:after="0"/>
        <w:ind w:left="871" w:right="868" w:firstLine="0"/>
        <w:jc w:val="both"/>
        <w:rPr>
          <w:sz w:val="19"/>
        </w:rPr>
      </w:pPr>
      <w:r>
        <w:rPr>
          <w:color w:val="231F20"/>
          <w:sz w:val="19"/>
        </w:rPr>
        <w:t>In</w:t>
      </w:r>
      <w:r>
        <w:rPr>
          <w:color w:val="231F20"/>
          <w:spacing w:val="-10"/>
          <w:sz w:val="19"/>
        </w:rPr>
        <w:t> </w:t>
      </w:r>
      <w:r>
        <w:rPr>
          <w:color w:val="231F20"/>
          <w:sz w:val="19"/>
        </w:rPr>
        <w:t>the</w:t>
      </w:r>
      <w:r>
        <w:rPr>
          <w:color w:val="231F20"/>
          <w:spacing w:val="-10"/>
          <w:sz w:val="19"/>
        </w:rPr>
        <w:t> </w:t>
      </w:r>
      <w:r>
        <w:rPr>
          <w:color w:val="231F20"/>
          <w:sz w:val="19"/>
        </w:rPr>
        <w:t>absence</w:t>
      </w:r>
      <w:r>
        <w:rPr>
          <w:color w:val="231F20"/>
          <w:spacing w:val="-10"/>
          <w:sz w:val="19"/>
        </w:rPr>
        <w:t> </w:t>
      </w:r>
      <w:r>
        <w:rPr>
          <w:color w:val="231F20"/>
          <w:sz w:val="19"/>
        </w:rPr>
        <w:t>of</w:t>
      </w:r>
      <w:r>
        <w:rPr>
          <w:color w:val="231F20"/>
          <w:spacing w:val="-10"/>
          <w:sz w:val="19"/>
        </w:rPr>
        <w:t> </w:t>
      </w:r>
      <w:r>
        <w:rPr>
          <w:color w:val="231F20"/>
          <w:sz w:val="19"/>
        </w:rPr>
        <w:t>a</w:t>
      </w:r>
      <w:r>
        <w:rPr>
          <w:color w:val="231F20"/>
          <w:spacing w:val="-11"/>
          <w:sz w:val="19"/>
        </w:rPr>
        <w:t> </w:t>
      </w:r>
      <w:r>
        <w:rPr>
          <w:color w:val="231F20"/>
          <w:sz w:val="19"/>
        </w:rPr>
        <w:t>valid</w:t>
      </w:r>
      <w:r>
        <w:rPr>
          <w:color w:val="231F20"/>
          <w:spacing w:val="-10"/>
          <w:sz w:val="19"/>
        </w:rPr>
        <w:t> </w:t>
      </w:r>
      <w:r>
        <w:rPr>
          <w:color w:val="231F20"/>
          <w:sz w:val="19"/>
        </w:rPr>
        <w:t>contractual</w:t>
      </w:r>
      <w:r>
        <w:rPr>
          <w:color w:val="231F20"/>
          <w:spacing w:val="-10"/>
          <w:sz w:val="19"/>
        </w:rPr>
        <w:t> </w:t>
      </w:r>
      <w:r>
        <w:rPr>
          <w:color w:val="231F20"/>
          <w:sz w:val="19"/>
        </w:rPr>
        <w:t>distribution</w:t>
      </w:r>
      <w:r>
        <w:rPr>
          <w:color w:val="231F20"/>
          <w:spacing w:val="-11"/>
          <w:sz w:val="19"/>
        </w:rPr>
        <w:t> </w:t>
      </w:r>
      <w:r>
        <w:rPr>
          <w:color w:val="231F20"/>
          <w:sz w:val="19"/>
        </w:rPr>
        <w:t>between</w:t>
      </w:r>
      <w:r>
        <w:rPr>
          <w:color w:val="231F20"/>
          <w:spacing w:val="-12"/>
          <w:sz w:val="19"/>
        </w:rPr>
        <w:t> </w:t>
      </w:r>
      <w:r>
        <w:rPr>
          <w:color w:val="231F20"/>
          <w:sz w:val="19"/>
        </w:rPr>
        <w:t>the</w:t>
      </w:r>
      <w:r>
        <w:rPr>
          <w:color w:val="231F20"/>
          <w:spacing w:val="-10"/>
          <w:sz w:val="19"/>
        </w:rPr>
        <w:t> </w:t>
      </w:r>
      <w:r>
        <w:rPr>
          <w:color w:val="231F20"/>
          <w:sz w:val="19"/>
        </w:rPr>
        <w:t>parties,</w:t>
      </w:r>
      <w:r>
        <w:rPr>
          <w:color w:val="231F20"/>
          <w:spacing w:val="-10"/>
          <w:sz w:val="19"/>
        </w:rPr>
        <w:t> </w:t>
      </w:r>
      <w:r>
        <w:rPr>
          <w:color w:val="231F20"/>
          <w:sz w:val="19"/>
        </w:rPr>
        <w:t>as</w:t>
      </w:r>
      <w:r>
        <w:rPr>
          <w:color w:val="231F20"/>
          <w:spacing w:val="-10"/>
          <w:sz w:val="19"/>
        </w:rPr>
        <w:t> </w:t>
      </w:r>
      <w:r>
        <w:rPr>
          <w:color w:val="231F20"/>
          <w:sz w:val="19"/>
        </w:rPr>
        <w:t>the national</w:t>
      </w:r>
      <w:r>
        <w:rPr>
          <w:color w:val="231F20"/>
          <w:spacing w:val="-12"/>
          <w:sz w:val="19"/>
        </w:rPr>
        <w:t> </w:t>
      </w:r>
      <w:r>
        <w:rPr>
          <w:color w:val="231F20"/>
          <w:sz w:val="19"/>
        </w:rPr>
        <w:t>court</w:t>
      </w:r>
      <w:r>
        <w:rPr>
          <w:color w:val="231F20"/>
          <w:spacing w:val="-11"/>
          <w:sz w:val="19"/>
        </w:rPr>
        <w:t> </w:t>
      </w:r>
      <w:r>
        <w:rPr>
          <w:color w:val="231F20"/>
          <w:sz w:val="19"/>
        </w:rPr>
        <w:t>had</w:t>
      </w:r>
      <w:r>
        <w:rPr>
          <w:color w:val="231F20"/>
          <w:spacing w:val="-12"/>
          <w:sz w:val="19"/>
        </w:rPr>
        <w:t> </w:t>
      </w:r>
      <w:r>
        <w:rPr>
          <w:color w:val="231F20"/>
          <w:sz w:val="19"/>
        </w:rPr>
        <w:t>found,</w:t>
      </w:r>
      <w:r>
        <w:rPr>
          <w:color w:val="231F20"/>
          <w:spacing w:val="-11"/>
          <w:sz w:val="19"/>
        </w:rPr>
        <w:t> </w:t>
      </w:r>
      <w:r>
        <w:rPr>
          <w:color w:val="231F20"/>
          <w:sz w:val="19"/>
        </w:rPr>
        <w:t>it</w:t>
      </w:r>
      <w:r>
        <w:rPr>
          <w:color w:val="231F20"/>
          <w:spacing w:val="-12"/>
          <w:sz w:val="19"/>
        </w:rPr>
        <w:t> </w:t>
      </w:r>
      <w:r>
        <w:rPr>
          <w:color w:val="231F20"/>
          <w:sz w:val="19"/>
        </w:rPr>
        <w:t>is</w:t>
      </w:r>
      <w:r>
        <w:rPr>
          <w:color w:val="231F20"/>
          <w:spacing w:val="-11"/>
          <w:sz w:val="19"/>
        </w:rPr>
        <w:t> </w:t>
      </w:r>
      <w:r>
        <w:rPr>
          <w:color w:val="231F20"/>
          <w:sz w:val="19"/>
        </w:rPr>
        <w:t>questionable</w:t>
      </w:r>
      <w:r>
        <w:rPr>
          <w:color w:val="231F20"/>
          <w:spacing w:val="-12"/>
          <w:sz w:val="19"/>
        </w:rPr>
        <w:t> </w:t>
      </w:r>
      <w:r>
        <w:rPr>
          <w:color w:val="231F20"/>
          <w:sz w:val="19"/>
        </w:rPr>
        <w:t>whether</w:t>
      </w:r>
      <w:r>
        <w:rPr>
          <w:color w:val="231F20"/>
          <w:spacing w:val="-11"/>
          <w:sz w:val="19"/>
        </w:rPr>
        <w:t> </w:t>
      </w:r>
      <w:r>
        <w:rPr>
          <w:color w:val="231F20"/>
          <w:sz w:val="19"/>
        </w:rPr>
        <w:t>the</w:t>
      </w:r>
      <w:r>
        <w:rPr>
          <w:color w:val="231F20"/>
          <w:spacing w:val="-12"/>
          <w:sz w:val="19"/>
        </w:rPr>
        <w:t> </w:t>
      </w:r>
      <w:r>
        <w:rPr>
          <w:color w:val="231F20"/>
          <w:sz w:val="19"/>
        </w:rPr>
        <w:t>application</w:t>
      </w:r>
      <w:r>
        <w:rPr>
          <w:color w:val="231F20"/>
          <w:spacing w:val="-11"/>
          <w:sz w:val="19"/>
        </w:rPr>
        <w:t> </w:t>
      </w:r>
      <w:r>
        <w:rPr>
          <w:color w:val="231F20"/>
          <w:sz w:val="19"/>
        </w:rPr>
        <w:t>of</w:t>
      </w:r>
      <w:r>
        <w:rPr>
          <w:color w:val="231F20"/>
          <w:spacing w:val="-12"/>
          <w:sz w:val="19"/>
        </w:rPr>
        <w:t> </w:t>
      </w:r>
      <w:r>
        <w:rPr>
          <w:color w:val="231F20"/>
          <w:sz w:val="19"/>
        </w:rPr>
        <w:t>national</w:t>
      </w:r>
      <w:r>
        <w:rPr>
          <w:color w:val="231F20"/>
          <w:spacing w:val="-11"/>
          <w:sz w:val="19"/>
        </w:rPr>
        <w:t> </w:t>
      </w:r>
      <w:r>
        <w:rPr>
          <w:color w:val="231F20"/>
          <w:sz w:val="19"/>
        </w:rPr>
        <w:t>law entailed a revision of the contract to fill in the gap that the unfair term</w:t>
      </w:r>
      <w:r>
        <w:rPr>
          <w:color w:val="231F20"/>
          <w:spacing w:val="-1"/>
          <w:sz w:val="19"/>
        </w:rPr>
        <w:t> </w:t>
      </w:r>
      <w:r>
        <w:rPr>
          <w:color w:val="231F20"/>
          <w:sz w:val="19"/>
        </w:rPr>
        <w:t>provoked. Against this, it could be argued that the relationship of the consumer and the business</w:t>
      </w:r>
      <w:r>
        <w:rPr>
          <w:color w:val="231F20"/>
          <w:spacing w:val="-5"/>
          <w:sz w:val="19"/>
        </w:rPr>
        <w:t> </w:t>
      </w:r>
      <w:r>
        <w:rPr>
          <w:color w:val="231F20"/>
          <w:sz w:val="19"/>
        </w:rPr>
        <w:t>with</w:t>
      </w:r>
      <w:r>
        <w:rPr>
          <w:color w:val="231F20"/>
          <w:spacing w:val="-3"/>
          <w:sz w:val="19"/>
        </w:rPr>
        <w:t> </w:t>
      </w:r>
      <w:r>
        <w:rPr>
          <w:color w:val="231F20"/>
          <w:sz w:val="19"/>
        </w:rPr>
        <w:t>third</w:t>
      </w:r>
      <w:r>
        <w:rPr>
          <w:color w:val="231F20"/>
          <w:spacing w:val="-5"/>
          <w:sz w:val="19"/>
        </w:rPr>
        <w:t> </w:t>
      </w:r>
      <w:r>
        <w:rPr>
          <w:color w:val="231F20"/>
          <w:sz w:val="19"/>
        </w:rPr>
        <w:t>parties</w:t>
      </w:r>
      <w:r>
        <w:rPr>
          <w:color w:val="231F20"/>
          <w:spacing w:val="-5"/>
          <w:sz w:val="19"/>
        </w:rPr>
        <w:t> </w:t>
      </w:r>
      <w:r>
        <w:rPr>
          <w:color w:val="231F20"/>
          <w:sz w:val="19"/>
        </w:rPr>
        <w:t>is</w:t>
      </w:r>
      <w:r>
        <w:rPr>
          <w:color w:val="231F20"/>
          <w:spacing w:val="-4"/>
          <w:sz w:val="19"/>
        </w:rPr>
        <w:t> </w:t>
      </w:r>
      <w:r>
        <w:rPr>
          <w:color w:val="231F20"/>
          <w:sz w:val="19"/>
        </w:rPr>
        <w:t>not</w:t>
      </w:r>
      <w:r>
        <w:rPr>
          <w:color w:val="231F20"/>
          <w:spacing w:val="-4"/>
          <w:sz w:val="19"/>
        </w:rPr>
        <w:t> </w:t>
      </w:r>
      <w:r>
        <w:rPr>
          <w:color w:val="231F20"/>
          <w:sz w:val="19"/>
        </w:rPr>
        <w:t>contractual,</w:t>
      </w:r>
      <w:r>
        <w:rPr>
          <w:color w:val="231F20"/>
          <w:spacing w:val="-4"/>
          <w:sz w:val="19"/>
        </w:rPr>
        <w:t> </w:t>
      </w:r>
      <w:r>
        <w:rPr>
          <w:color w:val="231F20"/>
          <w:sz w:val="19"/>
        </w:rPr>
        <w:t>meaning</w:t>
      </w:r>
      <w:r>
        <w:rPr>
          <w:color w:val="231F20"/>
          <w:spacing w:val="-4"/>
          <w:sz w:val="19"/>
        </w:rPr>
        <w:t> </w:t>
      </w:r>
      <w:r>
        <w:rPr>
          <w:color w:val="231F20"/>
          <w:sz w:val="19"/>
        </w:rPr>
        <w:t>that</w:t>
      </w:r>
      <w:r>
        <w:rPr>
          <w:color w:val="231F20"/>
          <w:spacing w:val="-4"/>
          <w:sz w:val="19"/>
        </w:rPr>
        <w:t> </w:t>
      </w:r>
      <w:r>
        <w:rPr>
          <w:color w:val="231F20"/>
          <w:sz w:val="19"/>
        </w:rPr>
        <w:t>it</w:t>
      </w:r>
      <w:r>
        <w:rPr>
          <w:color w:val="231F20"/>
          <w:spacing w:val="-5"/>
          <w:sz w:val="19"/>
        </w:rPr>
        <w:t> </w:t>
      </w:r>
      <w:r>
        <w:rPr>
          <w:color w:val="231F20"/>
          <w:sz w:val="19"/>
        </w:rPr>
        <w:t>is</w:t>
      </w:r>
      <w:r>
        <w:rPr>
          <w:color w:val="231F20"/>
          <w:spacing w:val="-4"/>
          <w:sz w:val="19"/>
        </w:rPr>
        <w:t> </w:t>
      </w:r>
      <w:r>
        <w:rPr>
          <w:color w:val="231F20"/>
          <w:sz w:val="19"/>
        </w:rPr>
        <w:t>regulated</w:t>
      </w:r>
      <w:r>
        <w:rPr>
          <w:color w:val="231F20"/>
          <w:spacing w:val="-5"/>
          <w:sz w:val="19"/>
        </w:rPr>
        <w:t> </w:t>
      </w:r>
      <w:r>
        <w:rPr>
          <w:color w:val="231F20"/>
          <w:sz w:val="19"/>
        </w:rPr>
        <w:t>directly by</w:t>
      </w:r>
      <w:r>
        <w:rPr>
          <w:color w:val="231F20"/>
          <w:spacing w:val="-7"/>
          <w:sz w:val="19"/>
        </w:rPr>
        <w:t> </w:t>
      </w:r>
      <w:r>
        <w:rPr>
          <w:color w:val="231F20"/>
          <w:sz w:val="19"/>
        </w:rPr>
        <w:t>law.</w:t>
      </w:r>
      <w:r>
        <w:rPr>
          <w:color w:val="231F20"/>
          <w:spacing w:val="-6"/>
          <w:sz w:val="19"/>
        </w:rPr>
        <w:t> </w:t>
      </w:r>
      <w:r>
        <w:rPr>
          <w:color w:val="231F20"/>
          <w:sz w:val="19"/>
        </w:rPr>
        <w:t>If</w:t>
      </w:r>
      <w:r>
        <w:rPr>
          <w:color w:val="231F20"/>
          <w:spacing w:val="-7"/>
          <w:sz w:val="19"/>
        </w:rPr>
        <w:t> </w:t>
      </w:r>
      <w:r>
        <w:rPr>
          <w:color w:val="231F20"/>
          <w:sz w:val="19"/>
        </w:rPr>
        <w:t>so,</w:t>
      </w:r>
      <w:r>
        <w:rPr>
          <w:color w:val="231F20"/>
          <w:spacing w:val="-6"/>
          <w:sz w:val="19"/>
        </w:rPr>
        <w:t> </w:t>
      </w:r>
      <w:r>
        <w:rPr>
          <w:color w:val="231F20"/>
          <w:sz w:val="19"/>
        </w:rPr>
        <w:t>the</w:t>
      </w:r>
      <w:r>
        <w:rPr>
          <w:color w:val="231F20"/>
          <w:spacing w:val="-6"/>
          <w:sz w:val="19"/>
        </w:rPr>
        <w:t> </w:t>
      </w:r>
      <w:r>
        <w:rPr>
          <w:color w:val="231F20"/>
          <w:sz w:val="19"/>
        </w:rPr>
        <w:t>payments</w:t>
      </w:r>
      <w:r>
        <w:rPr>
          <w:color w:val="231F20"/>
          <w:spacing w:val="-6"/>
          <w:sz w:val="19"/>
        </w:rPr>
        <w:t> </w:t>
      </w:r>
      <w:r>
        <w:rPr>
          <w:color w:val="231F20"/>
          <w:sz w:val="19"/>
        </w:rPr>
        <w:t>that</w:t>
      </w:r>
      <w:r>
        <w:rPr>
          <w:color w:val="231F20"/>
          <w:spacing w:val="-7"/>
          <w:sz w:val="19"/>
        </w:rPr>
        <w:t> </w:t>
      </w:r>
      <w:r>
        <w:rPr>
          <w:color w:val="231F20"/>
          <w:sz w:val="19"/>
        </w:rPr>
        <w:t>the</w:t>
      </w:r>
      <w:r>
        <w:rPr>
          <w:color w:val="231F20"/>
          <w:spacing w:val="-6"/>
          <w:sz w:val="19"/>
        </w:rPr>
        <w:t> </w:t>
      </w:r>
      <w:r>
        <w:rPr>
          <w:color w:val="231F20"/>
          <w:sz w:val="19"/>
        </w:rPr>
        <w:t>consumer</w:t>
      </w:r>
      <w:r>
        <w:rPr>
          <w:color w:val="231F20"/>
          <w:spacing w:val="-5"/>
          <w:sz w:val="19"/>
        </w:rPr>
        <w:t> </w:t>
      </w:r>
      <w:r>
        <w:rPr>
          <w:color w:val="231F20"/>
          <w:sz w:val="19"/>
        </w:rPr>
        <w:t>made</w:t>
      </w:r>
      <w:r>
        <w:rPr>
          <w:color w:val="231F20"/>
          <w:spacing w:val="-7"/>
          <w:sz w:val="19"/>
        </w:rPr>
        <w:t> </w:t>
      </w:r>
      <w:r>
        <w:rPr>
          <w:color w:val="231F20"/>
          <w:sz w:val="19"/>
        </w:rPr>
        <w:t>to</w:t>
      </w:r>
      <w:r>
        <w:rPr>
          <w:color w:val="231F20"/>
          <w:spacing w:val="-6"/>
          <w:sz w:val="19"/>
        </w:rPr>
        <w:t> </w:t>
      </w:r>
      <w:r>
        <w:rPr>
          <w:color w:val="231F20"/>
          <w:sz w:val="19"/>
        </w:rPr>
        <w:t>the</w:t>
      </w:r>
      <w:r>
        <w:rPr>
          <w:color w:val="231F20"/>
          <w:spacing w:val="-6"/>
          <w:sz w:val="19"/>
        </w:rPr>
        <w:t> </w:t>
      </w:r>
      <w:r>
        <w:rPr>
          <w:color w:val="231F20"/>
          <w:sz w:val="19"/>
        </w:rPr>
        <w:t>business</w:t>
      </w:r>
      <w:r>
        <w:rPr>
          <w:color w:val="231F20"/>
          <w:spacing w:val="-6"/>
          <w:sz w:val="19"/>
        </w:rPr>
        <w:t> </w:t>
      </w:r>
      <w:r>
        <w:rPr>
          <w:color w:val="231F20"/>
          <w:sz w:val="19"/>
        </w:rPr>
        <w:t>for</w:t>
      </w:r>
      <w:r>
        <w:rPr>
          <w:color w:val="231F20"/>
          <w:spacing w:val="-7"/>
          <w:sz w:val="19"/>
        </w:rPr>
        <w:t> </w:t>
      </w:r>
      <w:r>
        <w:rPr>
          <w:color w:val="231F20"/>
          <w:sz w:val="19"/>
        </w:rPr>
        <w:t>those</w:t>
      </w:r>
      <w:r>
        <w:rPr>
          <w:color w:val="231F20"/>
          <w:spacing w:val="-7"/>
          <w:sz w:val="19"/>
        </w:rPr>
        <w:t> </w:t>
      </w:r>
      <w:r>
        <w:rPr>
          <w:color w:val="231F20"/>
          <w:sz w:val="19"/>
        </w:rPr>
        <w:t>costs could be recovered from the business under unjust enrichment. The </w:t>
      </w:r>
      <w:r>
        <w:rPr>
          <w:color w:val="231F20"/>
          <w:sz w:val="19"/>
        </w:rPr>
        <w:t>consumer could only seek reimbursement of the costs that the law attributed to the </w:t>
      </w:r>
      <w:r>
        <w:rPr>
          <w:color w:val="231F20"/>
          <w:spacing w:val="-2"/>
          <w:sz w:val="19"/>
        </w:rPr>
        <w:t>business.</w:t>
      </w:r>
      <w:r>
        <w:rPr>
          <w:color w:val="231F20"/>
          <w:spacing w:val="-2"/>
          <w:sz w:val="19"/>
          <w:vertAlign w:val="superscript"/>
        </w:rPr>
        <w:t>186</w:t>
      </w:r>
    </w:p>
    <w:p>
      <w:pPr>
        <w:pStyle w:val="ListParagraph"/>
        <w:numPr>
          <w:ilvl w:val="0"/>
          <w:numId w:val="4"/>
        </w:numPr>
        <w:tabs>
          <w:tab w:pos="1428" w:val="left" w:leader="none"/>
        </w:tabs>
        <w:spacing w:line="288" w:lineRule="auto" w:before="119" w:after="0"/>
        <w:ind w:left="871" w:right="868" w:firstLine="0"/>
        <w:jc w:val="both"/>
        <w:rPr>
          <w:sz w:val="19"/>
        </w:rPr>
      </w:pPr>
      <w:r>
        <w:rPr>
          <w:color w:val="231F20"/>
          <w:sz w:val="19"/>
        </w:rPr>
        <w:t>In</w:t>
      </w:r>
      <w:r>
        <w:rPr>
          <w:color w:val="231F20"/>
          <w:spacing w:val="-12"/>
          <w:sz w:val="19"/>
        </w:rPr>
        <w:t> </w:t>
      </w:r>
      <w:r>
        <w:rPr>
          <w:color w:val="231F20"/>
          <w:sz w:val="19"/>
        </w:rPr>
        <w:t>any</w:t>
      </w:r>
      <w:r>
        <w:rPr>
          <w:color w:val="231F20"/>
          <w:spacing w:val="-11"/>
          <w:sz w:val="19"/>
        </w:rPr>
        <w:t> </w:t>
      </w:r>
      <w:r>
        <w:rPr>
          <w:color w:val="231F20"/>
          <w:sz w:val="19"/>
        </w:rPr>
        <w:t>case,</w:t>
      </w:r>
      <w:r>
        <w:rPr>
          <w:color w:val="231F20"/>
          <w:spacing w:val="-12"/>
          <w:sz w:val="19"/>
        </w:rPr>
        <w:t> </w:t>
      </w:r>
      <w:r>
        <w:rPr>
          <w:color w:val="231F20"/>
          <w:sz w:val="19"/>
        </w:rPr>
        <w:t>in</w:t>
      </w:r>
      <w:r>
        <w:rPr>
          <w:color w:val="231F20"/>
          <w:spacing w:val="-11"/>
          <w:sz w:val="19"/>
        </w:rPr>
        <w:t> </w:t>
      </w:r>
      <w:r>
        <w:rPr>
          <w:i/>
          <w:color w:val="231F20"/>
          <w:sz w:val="19"/>
        </w:rPr>
        <w:t>Caixabank</w:t>
      </w:r>
      <w:r>
        <w:rPr>
          <w:i/>
          <w:color w:val="231F20"/>
          <w:spacing w:val="-12"/>
          <w:sz w:val="19"/>
        </w:rPr>
        <w:t> </w:t>
      </w:r>
      <w:r>
        <w:rPr>
          <w:color w:val="231F20"/>
          <w:sz w:val="19"/>
        </w:rPr>
        <w:t>the</w:t>
      </w:r>
      <w:r>
        <w:rPr>
          <w:color w:val="231F20"/>
          <w:spacing w:val="-11"/>
          <w:sz w:val="19"/>
        </w:rPr>
        <w:t> </w:t>
      </w:r>
      <w:r>
        <w:rPr>
          <w:color w:val="231F20"/>
          <w:sz w:val="19"/>
        </w:rPr>
        <w:t>ECJ</w:t>
      </w:r>
      <w:r>
        <w:rPr>
          <w:color w:val="231F20"/>
          <w:spacing w:val="-12"/>
          <w:sz w:val="19"/>
        </w:rPr>
        <w:t> </w:t>
      </w:r>
      <w:r>
        <w:rPr>
          <w:color w:val="231F20"/>
          <w:sz w:val="19"/>
        </w:rPr>
        <w:t>allowed</w:t>
      </w:r>
      <w:r>
        <w:rPr>
          <w:color w:val="231F20"/>
          <w:spacing w:val="-11"/>
          <w:sz w:val="19"/>
        </w:rPr>
        <w:t> </w:t>
      </w:r>
      <w:r>
        <w:rPr>
          <w:color w:val="231F20"/>
          <w:sz w:val="19"/>
        </w:rPr>
        <w:t>the</w:t>
      </w:r>
      <w:r>
        <w:rPr>
          <w:color w:val="231F20"/>
          <w:spacing w:val="-12"/>
          <w:sz w:val="19"/>
        </w:rPr>
        <w:t> </w:t>
      </w:r>
      <w:r>
        <w:rPr>
          <w:color w:val="231F20"/>
          <w:sz w:val="19"/>
        </w:rPr>
        <w:t>application</w:t>
      </w:r>
      <w:r>
        <w:rPr>
          <w:color w:val="231F20"/>
          <w:spacing w:val="-11"/>
          <w:sz w:val="19"/>
        </w:rPr>
        <w:t> </w:t>
      </w:r>
      <w:r>
        <w:rPr>
          <w:color w:val="231F20"/>
          <w:sz w:val="19"/>
        </w:rPr>
        <w:t>of</w:t>
      </w:r>
      <w:r>
        <w:rPr>
          <w:color w:val="231F20"/>
          <w:spacing w:val="-12"/>
          <w:sz w:val="19"/>
        </w:rPr>
        <w:t> </w:t>
      </w:r>
      <w:r>
        <w:rPr>
          <w:color w:val="231F20"/>
          <w:sz w:val="19"/>
        </w:rPr>
        <w:t>national</w:t>
      </w:r>
      <w:r>
        <w:rPr>
          <w:color w:val="231F20"/>
          <w:spacing w:val="-11"/>
          <w:sz w:val="19"/>
        </w:rPr>
        <w:t> </w:t>
      </w:r>
      <w:r>
        <w:rPr>
          <w:color w:val="231F20"/>
          <w:sz w:val="19"/>
        </w:rPr>
        <w:t>law</w:t>
      </w:r>
      <w:r>
        <w:rPr>
          <w:color w:val="231F20"/>
          <w:spacing w:val="-11"/>
          <w:sz w:val="19"/>
        </w:rPr>
        <w:t> </w:t>
      </w:r>
      <w:r>
        <w:rPr>
          <w:color w:val="231F20"/>
          <w:sz w:val="19"/>
        </w:rPr>
        <w:t>to regulate the consequences of a gap in the contract after an unfair term had been found, considering it in accordance with Articles 6(1) and 7(1) UCTD. The expla- nation</w:t>
      </w:r>
      <w:r>
        <w:rPr>
          <w:color w:val="231F20"/>
          <w:spacing w:val="-6"/>
          <w:sz w:val="19"/>
        </w:rPr>
        <w:t> </w:t>
      </w:r>
      <w:r>
        <w:rPr>
          <w:color w:val="231F20"/>
          <w:sz w:val="19"/>
        </w:rPr>
        <w:t>for</w:t>
      </w:r>
      <w:r>
        <w:rPr>
          <w:color w:val="231F20"/>
          <w:spacing w:val="-7"/>
          <w:sz w:val="19"/>
        </w:rPr>
        <w:t> </w:t>
      </w:r>
      <w:r>
        <w:rPr>
          <w:color w:val="231F20"/>
          <w:sz w:val="19"/>
        </w:rPr>
        <w:t>the</w:t>
      </w:r>
      <w:r>
        <w:rPr>
          <w:color w:val="231F20"/>
          <w:spacing w:val="-6"/>
          <w:sz w:val="19"/>
        </w:rPr>
        <w:t> </w:t>
      </w:r>
      <w:r>
        <w:rPr>
          <w:color w:val="231F20"/>
          <w:sz w:val="19"/>
        </w:rPr>
        <w:t>deviation</w:t>
      </w:r>
      <w:r>
        <w:rPr>
          <w:color w:val="231F20"/>
          <w:spacing w:val="-6"/>
          <w:sz w:val="19"/>
        </w:rPr>
        <w:t> </w:t>
      </w:r>
      <w:r>
        <w:rPr>
          <w:color w:val="231F20"/>
          <w:sz w:val="19"/>
        </w:rPr>
        <w:t>from</w:t>
      </w:r>
      <w:r>
        <w:rPr>
          <w:color w:val="231F20"/>
          <w:spacing w:val="-5"/>
          <w:sz w:val="19"/>
        </w:rPr>
        <w:t> </w:t>
      </w:r>
      <w:r>
        <w:rPr>
          <w:color w:val="231F20"/>
          <w:sz w:val="19"/>
        </w:rPr>
        <w:t>the</w:t>
      </w:r>
      <w:r>
        <w:rPr>
          <w:color w:val="231F20"/>
          <w:spacing w:val="-6"/>
          <w:sz w:val="19"/>
        </w:rPr>
        <w:t> </w:t>
      </w:r>
      <w:r>
        <w:rPr>
          <w:color w:val="231F20"/>
          <w:sz w:val="19"/>
        </w:rPr>
        <w:t>rule</w:t>
      </w:r>
      <w:r>
        <w:rPr>
          <w:color w:val="231F20"/>
          <w:spacing w:val="-6"/>
          <w:sz w:val="19"/>
        </w:rPr>
        <w:t> </w:t>
      </w:r>
      <w:r>
        <w:rPr>
          <w:color w:val="231F20"/>
          <w:sz w:val="19"/>
        </w:rPr>
        <w:t>in</w:t>
      </w:r>
      <w:r>
        <w:rPr>
          <w:color w:val="231F20"/>
          <w:spacing w:val="-5"/>
          <w:sz w:val="19"/>
        </w:rPr>
        <w:t> </w:t>
      </w:r>
      <w:r>
        <w:rPr>
          <w:i/>
          <w:color w:val="231F20"/>
          <w:sz w:val="19"/>
        </w:rPr>
        <w:t>Banco</w:t>
      </w:r>
      <w:r>
        <w:rPr>
          <w:i/>
          <w:color w:val="231F20"/>
          <w:spacing w:val="-6"/>
          <w:sz w:val="19"/>
        </w:rPr>
        <w:t> </w:t>
      </w:r>
      <w:r>
        <w:rPr>
          <w:i/>
          <w:color w:val="231F20"/>
          <w:sz w:val="19"/>
        </w:rPr>
        <w:t>Español</w:t>
      </w:r>
      <w:r>
        <w:rPr>
          <w:color w:val="231F20"/>
          <w:sz w:val="19"/>
        </w:rPr>
        <w:t>,</w:t>
      </w:r>
      <w:r>
        <w:rPr>
          <w:color w:val="231F20"/>
          <w:spacing w:val="-6"/>
          <w:sz w:val="19"/>
        </w:rPr>
        <w:t> </w:t>
      </w:r>
      <w:r>
        <w:rPr>
          <w:color w:val="231F20"/>
          <w:sz w:val="19"/>
        </w:rPr>
        <w:t>if</w:t>
      </w:r>
      <w:r>
        <w:rPr>
          <w:color w:val="231F20"/>
          <w:spacing w:val="-3"/>
          <w:sz w:val="19"/>
        </w:rPr>
        <w:t> </w:t>
      </w:r>
      <w:r>
        <w:rPr>
          <w:color w:val="231F20"/>
          <w:sz w:val="19"/>
        </w:rPr>
        <w:t>that</w:t>
      </w:r>
      <w:r>
        <w:rPr>
          <w:color w:val="231F20"/>
          <w:spacing w:val="-5"/>
          <w:sz w:val="19"/>
        </w:rPr>
        <w:t> </w:t>
      </w:r>
      <w:r>
        <w:rPr>
          <w:color w:val="231F20"/>
          <w:sz w:val="19"/>
        </w:rPr>
        <w:t>rule</w:t>
      </w:r>
      <w:r>
        <w:rPr>
          <w:color w:val="231F20"/>
          <w:spacing w:val="-5"/>
          <w:sz w:val="19"/>
        </w:rPr>
        <w:t> </w:t>
      </w:r>
      <w:r>
        <w:rPr>
          <w:color w:val="231F20"/>
          <w:sz w:val="19"/>
        </w:rPr>
        <w:t>were</w:t>
      </w:r>
      <w:r>
        <w:rPr>
          <w:color w:val="231F20"/>
          <w:spacing w:val="-5"/>
          <w:sz w:val="19"/>
        </w:rPr>
        <w:t> </w:t>
      </w:r>
      <w:r>
        <w:rPr>
          <w:color w:val="231F20"/>
          <w:sz w:val="19"/>
        </w:rPr>
        <w:t>to</w:t>
      </w:r>
      <w:r>
        <w:rPr>
          <w:color w:val="231F20"/>
          <w:spacing w:val="-6"/>
          <w:sz w:val="19"/>
        </w:rPr>
        <w:t> </w:t>
      </w:r>
      <w:r>
        <w:rPr>
          <w:color w:val="231F20"/>
          <w:sz w:val="19"/>
        </w:rPr>
        <w:t>apply, seems</w:t>
      </w:r>
      <w:r>
        <w:rPr>
          <w:color w:val="231F20"/>
          <w:spacing w:val="-8"/>
          <w:sz w:val="19"/>
        </w:rPr>
        <w:t> </w:t>
      </w:r>
      <w:r>
        <w:rPr>
          <w:color w:val="231F20"/>
          <w:sz w:val="19"/>
        </w:rPr>
        <w:t>justified</w:t>
      </w:r>
      <w:r>
        <w:rPr>
          <w:color w:val="231F20"/>
          <w:spacing w:val="-8"/>
          <w:sz w:val="19"/>
        </w:rPr>
        <w:t> </w:t>
      </w:r>
      <w:r>
        <w:rPr>
          <w:color w:val="231F20"/>
          <w:sz w:val="19"/>
        </w:rPr>
        <w:t>given</w:t>
      </w:r>
      <w:r>
        <w:rPr>
          <w:color w:val="231F20"/>
          <w:spacing w:val="-8"/>
          <w:sz w:val="19"/>
        </w:rPr>
        <w:t> </w:t>
      </w:r>
      <w:r>
        <w:rPr>
          <w:color w:val="231F20"/>
          <w:sz w:val="19"/>
        </w:rPr>
        <w:t>the</w:t>
      </w:r>
      <w:r>
        <w:rPr>
          <w:color w:val="231F20"/>
          <w:spacing w:val="-8"/>
          <w:sz w:val="19"/>
        </w:rPr>
        <w:t> </w:t>
      </w:r>
      <w:r>
        <w:rPr>
          <w:color w:val="231F20"/>
          <w:sz w:val="19"/>
        </w:rPr>
        <w:t>third-party</w:t>
      </w:r>
      <w:r>
        <w:rPr>
          <w:color w:val="231F20"/>
          <w:spacing w:val="-8"/>
          <w:sz w:val="19"/>
        </w:rPr>
        <w:t> </w:t>
      </w:r>
      <w:r>
        <w:rPr>
          <w:color w:val="231F20"/>
          <w:sz w:val="19"/>
        </w:rPr>
        <w:t>rights.</w:t>
      </w:r>
      <w:r>
        <w:rPr>
          <w:color w:val="231F20"/>
          <w:spacing w:val="-7"/>
          <w:sz w:val="19"/>
        </w:rPr>
        <w:t> </w:t>
      </w:r>
      <w:r>
        <w:rPr>
          <w:color w:val="231F20"/>
          <w:sz w:val="19"/>
        </w:rPr>
        <w:t>In</w:t>
      </w:r>
      <w:r>
        <w:rPr>
          <w:color w:val="231F20"/>
          <w:spacing w:val="-8"/>
          <w:sz w:val="19"/>
        </w:rPr>
        <w:t> </w:t>
      </w:r>
      <w:r>
        <w:rPr>
          <w:color w:val="231F20"/>
          <w:sz w:val="19"/>
        </w:rPr>
        <w:t>those</w:t>
      </w:r>
      <w:r>
        <w:rPr>
          <w:color w:val="231F20"/>
          <w:spacing w:val="-7"/>
          <w:sz w:val="19"/>
        </w:rPr>
        <w:t> </w:t>
      </w:r>
      <w:r>
        <w:rPr>
          <w:color w:val="231F20"/>
          <w:sz w:val="19"/>
        </w:rPr>
        <w:t>cases,</w:t>
      </w:r>
      <w:r>
        <w:rPr>
          <w:color w:val="231F20"/>
          <w:spacing w:val="-8"/>
          <w:sz w:val="19"/>
        </w:rPr>
        <w:t> </w:t>
      </w:r>
      <w:r>
        <w:rPr>
          <w:color w:val="231F20"/>
          <w:sz w:val="19"/>
        </w:rPr>
        <w:t>national</w:t>
      </w:r>
      <w:r>
        <w:rPr>
          <w:color w:val="231F20"/>
          <w:spacing w:val="-8"/>
          <w:sz w:val="19"/>
        </w:rPr>
        <w:t> </w:t>
      </w:r>
      <w:r>
        <w:rPr>
          <w:color w:val="231F20"/>
          <w:sz w:val="19"/>
        </w:rPr>
        <w:t>law</w:t>
      </w:r>
      <w:r>
        <w:rPr>
          <w:color w:val="231F20"/>
          <w:spacing w:val="-10"/>
          <w:sz w:val="19"/>
        </w:rPr>
        <w:t> </w:t>
      </w:r>
      <w:r>
        <w:rPr>
          <w:color w:val="231F20"/>
          <w:sz w:val="19"/>
        </w:rPr>
        <w:t>can</w:t>
      </w:r>
      <w:r>
        <w:rPr>
          <w:color w:val="231F20"/>
          <w:spacing w:val="-8"/>
          <w:sz w:val="19"/>
        </w:rPr>
        <w:t> </w:t>
      </w:r>
      <w:r>
        <w:rPr>
          <w:color w:val="231F20"/>
          <w:sz w:val="19"/>
        </w:rPr>
        <w:t>apply, even</w:t>
      </w:r>
      <w:r>
        <w:rPr>
          <w:color w:val="231F20"/>
          <w:spacing w:val="-8"/>
          <w:sz w:val="19"/>
        </w:rPr>
        <w:t> </w:t>
      </w:r>
      <w:r>
        <w:rPr>
          <w:color w:val="231F20"/>
          <w:sz w:val="19"/>
        </w:rPr>
        <w:t>to</w:t>
      </w:r>
      <w:r>
        <w:rPr>
          <w:color w:val="231F20"/>
          <w:spacing w:val="-9"/>
          <w:sz w:val="19"/>
        </w:rPr>
        <w:t> </w:t>
      </w:r>
      <w:r>
        <w:rPr>
          <w:color w:val="231F20"/>
          <w:sz w:val="19"/>
        </w:rPr>
        <w:t>the</w:t>
      </w:r>
      <w:r>
        <w:rPr>
          <w:color w:val="231F20"/>
          <w:spacing w:val="-9"/>
          <w:sz w:val="19"/>
        </w:rPr>
        <w:t> </w:t>
      </w:r>
      <w:r>
        <w:rPr>
          <w:color w:val="231F20"/>
          <w:sz w:val="19"/>
        </w:rPr>
        <w:t>detriment</w:t>
      </w:r>
      <w:r>
        <w:rPr>
          <w:color w:val="231F20"/>
          <w:spacing w:val="-8"/>
          <w:sz w:val="19"/>
        </w:rPr>
        <w:t> </w:t>
      </w:r>
      <w:r>
        <w:rPr>
          <w:color w:val="231F20"/>
          <w:sz w:val="19"/>
        </w:rPr>
        <w:t>of</w:t>
      </w:r>
      <w:r>
        <w:rPr>
          <w:color w:val="231F20"/>
          <w:spacing w:val="-8"/>
          <w:sz w:val="19"/>
        </w:rPr>
        <w:t> </w:t>
      </w:r>
      <w:r>
        <w:rPr>
          <w:color w:val="231F20"/>
          <w:sz w:val="19"/>
        </w:rPr>
        <w:t>consumers,</w:t>
      </w:r>
      <w:r>
        <w:rPr>
          <w:color w:val="231F20"/>
          <w:spacing w:val="-8"/>
          <w:sz w:val="19"/>
        </w:rPr>
        <w:t> </w:t>
      </w:r>
      <w:r>
        <w:rPr>
          <w:color w:val="231F20"/>
          <w:sz w:val="19"/>
        </w:rPr>
        <w:t>who</w:t>
      </w:r>
      <w:r>
        <w:rPr>
          <w:color w:val="231F20"/>
          <w:spacing w:val="-10"/>
          <w:sz w:val="19"/>
        </w:rPr>
        <w:t> </w:t>
      </w:r>
      <w:r>
        <w:rPr>
          <w:color w:val="231F20"/>
          <w:sz w:val="19"/>
        </w:rPr>
        <w:t>would</w:t>
      </w:r>
      <w:r>
        <w:rPr>
          <w:color w:val="231F20"/>
          <w:spacing w:val="-8"/>
          <w:sz w:val="19"/>
        </w:rPr>
        <w:t> </w:t>
      </w:r>
      <w:r>
        <w:rPr>
          <w:color w:val="231F20"/>
          <w:sz w:val="19"/>
        </w:rPr>
        <w:t>be</w:t>
      </w:r>
      <w:r>
        <w:rPr>
          <w:color w:val="231F20"/>
          <w:spacing w:val="-8"/>
          <w:sz w:val="19"/>
        </w:rPr>
        <w:t> </w:t>
      </w:r>
      <w:r>
        <w:rPr>
          <w:color w:val="231F20"/>
          <w:sz w:val="19"/>
        </w:rPr>
        <w:t>unable</w:t>
      </w:r>
      <w:r>
        <w:rPr>
          <w:color w:val="231F20"/>
          <w:spacing w:val="-9"/>
          <w:sz w:val="19"/>
        </w:rPr>
        <w:t> </w:t>
      </w:r>
      <w:r>
        <w:rPr>
          <w:color w:val="231F20"/>
          <w:sz w:val="19"/>
        </w:rPr>
        <w:t>to</w:t>
      </w:r>
      <w:r>
        <w:rPr>
          <w:color w:val="231F20"/>
          <w:spacing w:val="-9"/>
          <w:sz w:val="19"/>
        </w:rPr>
        <w:t> </w:t>
      </w:r>
      <w:r>
        <w:rPr>
          <w:color w:val="231F20"/>
          <w:sz w:val="19"/>
        </w:rPr>
        <w:t>recover</w:t>
      </w:r>
      <w:r>
        <w:rPr>
          <w:color w:val="231F20"/>
          <w:spacing w:val="-8"/>
          <w:sz w:val="19"/>
        </w:rPr>
        <w:t> </w:t>
      </w:r>
      <w:r>
        <w:rPr>
          <w:color w:val="231F20"/>
          <w:sz w:val="19"/>
        </w:rPr>
        <w:t>the</w:t>
      </w:r>
      <w:r>
        <w:rPr>
          <w:color w:val="231F20"/>
          <w:spacing w:val="-9"/>
          <w:sz w:val="19"/>
        </w:rPr>
        <w:t> </w:t>
      </w:r>
      <w:r>
        <w:rPr>
          <w:color w:val="231F20"/>
          <w:sz w:val="19"/>
        </w:rPr>
        <w:t>costs</w:t>
      </w:r>
      <w:r>
        <w:rPr>
          <w:color w:val="231F20"/>
          <w:spacing w:val="-9"/>
          <w:sz w:val="19"/>
        </w:rPr>
        <w:t> </w:t>
      </w:r>
      <w:r>
        <w:rPr>
          <w:color w:val="231F20"/>
          <w:sz w:val="19"/>
        </w:rPr>
        <w:t>that the law attributes to them.</w:t>
      </w:r>
    </w:p>
    <w:p>
      <w:pPr>
        <w:pStyle w:val="ListParagraph"/>
        <w:numPr>
          <w:ilvl w:val="0"/>
          <w:numId w:val="4"/>
        </w:numPr>
        <w:tabs>
          <w:tab w:pos="1428" w:val="left" w:leader="none"/>
        </w:tabs>
        <w:spacing w:line="288" w:lineRule="auto" w:before="120" w:after="0"/>
        <w:ind w:left="871" w:right="868" w:firstLine="0"/>
        <w:jc w:val="both"/>
        <w:rPr>
          <w:sz w:val="19"/>
        </w:rPr>
      </w:pPr>
      <w:r>
        <w:rPr>
          <w:color w:val="231F20"/>
          <w:sz w:val="19"/>
        </w:rPr>
        <w:t>In a different scenario, which had nothing to do with gap-filling, the ECJ also allowed the application of national law against the backdrop of Articles 6(1) and 7(1) UCTD.</w:t>
      </w:r>
    </w:p>
    <w:p>
      <w:pPr>
        <w:pStyle w:val="ListParagraph"/>
        <w:numPr>
          <w:ilvl w:val="0"/>
          <w:numId w:val="4"/>
        </w:numPr>
        <w:tabs>
          <w:tab w:pos="1428" w:val="left" w:leader="none"/>
        </w:tabs>
        <w:spacing w:line="288" w:lineRule="auto" w:before="119" w:after="0"/>
        <w:ind w:left="871" w:right="866" w:firstLine="0"/>
        <w:jc w:val="both"/>
        <w:rPr>
          <w:sz w:val="19"/>
        </w:rPr>
      </w:pPr>
      <w:r>
        <w:rPr>
          <w:color w:val="231F20"/>
          <w:sz w:val="19"/>
        </w:rPr>
        <w:t>In</w:t>
      </w:r>
      <w:r>
        <w:rPr>
          <w:color w:val="231F20"/>
          <w:spacing w:val="-4"/>
          <w:sz w:val="19"/>
        </w:rPr>
        <w:t> </w:t>
      </w:r>
      <w:r>
        <w:rPr>
          <w:color w:val="231F20"/>
          <w:sz w:val="19"/>
        </w:rPr>
        <w:t>Case</w:t>
      </w:r>
      <w:r>
        <w:rPr>
          <w:color w:val="231F20"/>
          <w:spacing w:val="-3"/>
          <w:sz w:val="19"/>
        </w:rPr>
        <w:t> </w:t>
      </w:r>
      <w:r>
        <w:rPr>
          <w:color w:val="231F20"/>
          <w:sz w:val="19"/>
        </w:rPr>
        <w:t>C-520/21,</w:t>
      </w:r>
      <w:r>
        <w:rPr>
          <w:color w:val="231F20"/>
          <w:spacing w:val="-4"/>
          <w:sz w:val="19"/>
        </w:rPr>
        <w:t> </w:t>
      </w:r>
      <w:r>
        <w:rPr>
          <w:i/>
          <w:color w:val="231F20"/>
          <w:sz w:val="19"/>
        </w:rPr>
        <w:t>Bank</w:t>
      </w:r>
      <w:r>
        <w:rPr>
          <w:i/>
          <w:color w:val="231F20"/>
          <w:spacing w:val="-3"/>
          <w:sz w:val="19"/>
        </w:rPr>
        <w:t> </w:t>
      </w:r>
      <w:r>
        <w:rPr>
          <w:i/>
          <w:color w:val="231F20"/>
          <w:sz w:val="19"/>
        </w:rPr>
        <w:t>M.</w:t>
      </w:r>
      <w:r>
        <w:rPr>
          <w:color w:val="231F20"/>
          <w:sz w:val="19"/>
        </w:rPr>
        <w:t>,</w:t>
      </w:r>
      <w:r>
        <w:rPr>
          <w:color w:val="231F20"/>
          <w:sz w:val="19"/>
          <w:vertAlign w:val="superscript"/>
        </w:rPr>
        <w:t>187</w:t>
      </w:r>
      <w:r>
        <w:rPr>
          <w:color w:val="231F20"/>
          <w:spacing w:val="-3"/>
          <w:sz w:val="19"/>
          <w:vertAlign w:val="baseline"/>
        </w:rPr>
        <w:t> </w:t>
      </w:r>
      <w:r>
        <w:rPr>
          <w:color w:val="231F20"/>
          <w:sz w:val="19"/>
          <w:vertAlign w:val="baseline"/>
        </w:rPr>
        <w:t>the</w:t>
      </w:r>
      <w:r>
        <w:rPr>
          <w:color w:val="231F20"/>
          <w:spacing w:val="-4"/>
          <w:sz w:val="19"/>
          <w:vertAlign w:val="baseline"/>
        </w:rPr>
        <w:t> </w:t>
      </w:r>
      <w:r>
        <w:rPr>
          <w:color w:val="231F20"/>
          <w:sz w:val="19"/>
          <w:vertAlign w:val="baseline"/>
        </w:rPr>
        <w:t>Court</w:t>
      </w:r>
      <w:r>
        <w:rPr>
          <w:color w:val="231F20"/>
          <w:spacing w:val="-3"/>
          <w:sz w:val="19"/>
          <w:vertAlign w:val="baseline"/>
        </w:rPr>
        <w:t> </w:t>
      </w:r>
      <w:r>
        <w:rPr>
          <w:color w:val="231F20"/>
          <w:sz w:val="19"/>
          <w:vertAlign w:val="baseline"/>
        </w:rPr>
        <w:t>was</w:t>
      </w:r>
      <w:r>
        <w:rPr>
          <w:color w:val="231F20"/>
          <w:spacing w:val="-3"/>
          <w:sz w:val="19"/>
          <w:vertAlign w:val="baseline"/>
        </w:rPr>
        <w:t> </w:t>
      </w:r>
      <w:r>
        <w:rPr>
          <w:color w:val="231F20"/>
          <w:sz w:val="19"/>
          <w:vertAlign w:val="baseline"/>
        </w:rPr>
        <w:t>asked</w:t>
      </w:r>
      <w:r>
        <w:rPr>
          <w:color w:val="231F20"/>
          <w:spacing w:val="-3"/>
          <w:sz w:val="19"/>
          <w:vertAlign w:val="baseline"/>
        </w:rPr>
        <w:t> </w:t>
      </w:r>
      <w:r>
        <w:rPr>
          <w:color w:val="231F20"/>
          <w:sz w:val="19"/>
          <w:vertAlign w:val="baseline"/>
        </w:rPr>
        <w:t>about</w:t>
      </w:r>
      <w:r>
        <w:rPr>
          <w:color w:val="231F20"/>
          <w:spacing w:val="-3"/>
          <w:sz w:val="19"/>
          <w:vertAlign w:val="baseline"/>
        </w:rPr>
        <w:t> </w:t>
      </w:r>
      <w:r>
        <w:rPr>
          <w:color w:val="231F20"/>
          <w:sz w:val="19"/>
          <w:vertAlign w:val="baseline"/>
        </w:rPr>
        <w:t>certain</w:t>
      </w:r>
      <w:r>
        <w:rPr>
          <w:color w:val="231F20"/>
          <w:spacing w:val="-4"/>
          <w:sz w:val="19"/>
          <w:vertAlign w:val="baseline"/>
        </w:rPr>
        <w:t> </w:t>
      </w:r>
      <w:r>
        <w:rPr>
          <w:color w:val="231F20"/>
          <w:sz w:val="19"/>
          <w:vertAlign w:val="baseline"/>
        </w:rPr>
        <w:t>follow-on consequences of contracts that were invalidated after finding an unfair term.</w:t>
      </w:r>
      <w:r>
        <w:rPr>
          <w:color w:val="231F20"/>
          <w:spacing w:val="-1"/>
          <w:sz w:val="19"/>
          <w:vertAlign w:val="baseline"/>
        </w:rPr>
        <w:t> </w:t>
      </w:r>
      <w:r>
        <w:rPr>
          <w:color w:val="231F20"/>
          <w:sz w:val="19"/>
          <w:vertAlign w:val="baseline"/>
        </w:rPr>
        <w:t>The referring</w:t>
      </w:r>
      <w:r>
        <w:rPr>
          <w:color w:val="231F20"/>
          <w:spacing w:val="-5"/>
          <w:sz w:val="19"/>
          <w:vertAlign w:val="baseline"/>
        </w:rPr>
        <w:t> </w:t>
      </w:r>
      <w:r>
        <w:rPr>
          <w:color w:val="231F20"/>
          <w:sz w:val="19"/>
          <w:vertAlign w:val="baseline"/>
        </w:rPr>
        <w:t>court</w:t>
      </w:r>
      <w:r>
        <w:rPr>
          <w:color w:val="231F20"/>
          <w:spacing w:val="-3"/>
          <w:sz w:val="19"/>
          <w:vertAlign w:val="baseline"/>
        </w:rPr>
        <w:t> </w:t>
      </w:r>
      <w:r>
        <w:rPr>
          <w:color w:val="231F20"/>
          <w:sz w:val="19"/>
          <w:vertAlign w:val="baseline"/>
        </w:rPr>
        <w:t>asked</w:t>
      </w:r>
      <w:r>
        <w:rPr>
          <w:color w:val="231F20"/>
          <w:spacing w:val="-5"/>
          <w:sz w:val="19"/>
          <w:vertAlign w:val="baseline"/>
        </w:rPr>
        <w:t> </w:t>
      </w:r>
      <w:r>
        <w:rPr>
          <w:color w:val="231F20"/>
          <w:sz w:val="19"/>
          <w:vertAlign w:val="baseline"/>
        </w:rPr>
        <w:t>whether,</w:t>
      </w:r>
      <w:r>
        <w:rPr>
          <w:color w:val="231F20"/>
          <w:spacing w:val="-5"/>
          <w:sz w:val="19"/>
          <w:vertAlign w:val="baseline"/>
        </w:rPr>
        <w:t> </w:t>
      </w:r>
      <w:r>
        <w:rPr>
          <w:color w:val="231F20"/>
          <w:sz w:val="19"/>
          <w:vertAlign w:val="baseline"/>
        </w:rPr>
        <w:t>in</w:t>
      </w:r>
      <w:r>
        <w:rPr>
          <w:color w:val="231F20"/>
          <w:spacing w:val="-5"/>
          <w:sz w:val="19"/>
          <w:vertAlign w:val="baseline"/>
        </w:rPr>
        <w:t> </w:t>
      </w:r>
      <w:r>
        <w:rPr>
          <w:color w:val="231F20"/>
          <w:sz w:val="19"/>
          <w:vertAlign w:val="baseline"/>
        </w:rPr>
        <w:t>those</w:t>
      </w:r>
      <w:r>
        <w:rPr>
          <w:color w:val="231F20"/>
          <w:spacing w:val="-5"/>
          <w:sz w:val="19"/>
          <w:vertAlign w:val="baseline"/>
        </w:rPr>
        <w:t> </w:t>
      </w:r>
      <w:r>
        <w:rPr>
          <w:color w:val="231F20"/>
          <w:sz w:val="19"/>
          <w:vertAlign w:val="baseline"/>
        </w:rPr>
        <w:t>circumstances,</w:t>
      </w:r>
      <w:r>
        <w:rPr>
          <w:color w:val="231F20"/>
          <w:spacing w:val="-5"/>
          <w:sz w:val="19"/>
          <w:vertAlign w:val="baseline"/>
        </w:rPr>
        <w:t> </w:t>
      </w:r>
      <w:r>
        <w:rPr>
          <w:color w:val="231F20"/>
          <w:sz w:val="19"/>
          <w:vertAlign w:val="baseline"/>
        </w:rPr>
        <w:t>consumers</w:t>
      </w:r>
      <w:r>
        <w:rPr>
          <w:color w:val="231F20"/>
          <w:spacing w:val="-5"/>
          <w:sz w:val="19"/>
          <w:vertAlign w:val="baseline"/>
        </w:rPr>
        <w:t> </w:t>
      </w:r>
      <w:r>
        <w:rPr>
          <w:color w:val="231F20"/>
          <w:sz w:val="19"/>
          <w:vertAlign w:val="baseline"/>
        </w:rPr>
        <w:t>and</w:t>
      </w:r>
      <w:r>
        <w:rPr>
          <w:color w:val="231F20"/>
          <w:spacing w:val="-5"/>
          <w:sz w:val="19"/>
          <w:vertAlign w:val="baseline"/>
        </w:rPr>
        <w:t> </w:t>
      </w:r>
      <w:r>
        <w:rPr>
          <w:color w:val="231F20"/>
          <w:sz w:val="19"/>
          <w:vertAlign w:val="baseline"/>
        </w:rPr>
        <w:t>businesses could seek compensation, under national law, in addition to restitution. The ECJ decided that Articles 6(1) and 7(1) UCTD did not preclude such a solution for consumers.</w:t>
      </w:r>
      <w:r>
        <w:rPr>
          <w:color w:val="231F20"/>
          <w:sz w:val="19"/>
          <w:vertAlign w:val="superscript"/>
        </w:rPr>
        <w:t>188</w:t>
      </w:r>
      <w:r>
        <w:rPr>
          <w:color w:val="231F20"/>
          <w:sz w:val="19"/>
          <w:vertAlign w:val="baseline"/>
        </w:rPr>
        <w:t> The Court emphasized the two aims of Article 6(1) UCTD, namely the restoration of the position of the consumer and dissuasiveness, to determine the compatibility of the national law solution with the UCTD.</w:t>
      </w:r>
    </w:p>
    <w:p>
      <w:pPr>
        <w:pStyle w:val="BodyText"/>
        <w:spacing w:before="130"/>
        <w:rPr>
          <w:sz w:val="20"/>
        </w:rPr>
      </w:pPr>
      <w:r>
        <w:rPr/>
        <mc:AlternateContent>
          <mc:Choice Requires="wps">
            <w:drawing>
              <wp:anchor distT="0" distB="0" distL="0" distR="0" allowOverlap="1" layoutInCell="1" locked="0" behindDoc="1" simplePos="0" relativeHeight="487604224">
                <wp:simplePos x="0" y="0"/>
                <wp:positionH relativeFrom="page">
                  <wp:posOffset>1979993</wp:posOffset>
                </wp:positionH>
                <wp:positionV relativeFrom="paragraph">
                  <wp:posOffset>242419</wp:posOffset>
                </wp:positionV>
                <wp:extent cx="1656080" cy="4445"/>
                <wp:effectExtent l="0" t="0" r="0" b="0"/>
                <wp:wrapTopAndBottom/>
                <wp:docPr id="35" name="Graphic 35"/>
                <wp:cNvGraphicFramePr>
                  <a:graphicFrameLocks/>
                </wp:cNvGraphicFramePr>
                <a:graphic>
                  <a:graphicData uri="http://schemas.microsoft.com/office/word/2010/wordprocessingShape">
                    <wps:wsp>
                      <wps:cNvPr id="35" name="Graphic 35"/>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9.08814pt;width:130.394pt;height:.34015pt;mso-position-horizontal-relative:page;mso-position-vertical-relative:paragraph;z-index:-15712256;mso-wrap-distance-left:0;mso-wrap-distance-right:0" id="docshape35"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w:t>
      </w:r>
      <w:r>
        <w:rPr>
          <w:color w:val="231F20"/>
          <w:spacing w:val="-5"/>
          <w:sz w:val="16"/>
        </w:rPr>
        <w:t> </w:t>
      </w:r>
      <w:r>
        <w:rPr>
          <w:color w:val="231F20"/>
          <w:sz w:val="16"/>
        </w:rPr>
        <w:t>16</w:t>
      </w:r>
      <w:r>
        <w:rPr>
          <w:color w:val="231F20"/>
          <w:spacing w:val="-4"/>
          <w:sz w:val="16"/>
        </w:rPr>
        <w:t> </w:t>
      </w:r>
      <w:r>
        <w:rPr>
          <w:color w:val="231F20"/>
          <w:sz w:val="16"/>
        </w:rPr>
        <w:t>Jul.</w:t>
      </w:r>
      <w:r>
        <w:rPr>
          <w:color w:val="231F20"/>
          <w:spacing w:val="-3"/>
          <w:sz w:val="16"/>
        </w:rPr>
        <w:t> </w:t>
      </w:r>
      <w:r>
        <w:rPr>
          <w:color w:val="231F20"/>
          <w:sz w:val="16"/>
        </w:rPr>
        <w:t>2020,</w:t>
      </w:r>
      <w:r>
        <w:rPr>
          <w:color w:val="231F20"/>
          <w:spacing w:val="-5"/>
          <w:sz w:val="16"/>
        </w:rPr>
        <w:t> </w:t>
      </w:r>
      <w:r>
        <w:rPr>
          <w:color w:val="231F20"/>
          <w:sz w:val="16"/>
        </w:rPr>
        <w:t>ECLI:EU:C:2020:578,</w:t>
      </w:r>
      <w:r>
        <w:rPr>
          <w:color w:val="231F20"/>
          <w:spacing w:val="-3"/>
          <w:sz w:val="16"/>
        </w:rPr>
        <w:t> </w:t>
      </w:r>
      <w:r>
        <w:rPr>
          <w:i/>
          <w:color w:val="231F20"/>
          <w:sz w:val="16"/>
        </w:rPr>
        <w:t>Caixabank</w:t>
      </w:r>
      <w:r>
        <w:rPr>
          <w:color w:val="231F20"/>
          <w:sz w:val="16"/>
        </w:rPr>
        <w:t>,</w:t>
      </w:r>
      <w:r>
        <w:rPr>
          <w:color w:val="231F20"/>
          <w:spacing w:val="-4"/>
          <w:sz w:val="16"/>
        </w:rPr>
        <w:t> </w:t>
      </w:r>
      <w:r>
        <w:rPr>
          <w:color w:val="231F20"/>
          <w:sz w:val="16"/>
        </w:rPr>
        <w:t>para.</w:t>
      </w:r>
      <w:r>
        <w:rPr>
          <w:color w:val="231F20"/>
          <w:spacing w:val="-4"/>
          <w:sz w:val="16"/>
        </w:rPr>
        <w:t> </w:t>
      </w:r>
      <w:r>
        <w:rPr>
          <w:color w:val="231F20"/>
          <w:spacing w:val="-5"/>
          <w:sz w:val="16"/>
        </w:rPr>
        <w:t>31.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Tribunal</w:t>
      </w:r>
      <w:r>
        <w:rPr>
          <w:color w:val="231F20"/>
          <w:spacing w:val="9"/>
          <w:sz w:val="16"/>
        </w:rPr>
        <w:t> </w:t>
      </w:r>
      <w:r>
        <w:rPr>
          <w:color w:val="231F20"/>
          <w:sz w:val="16"/>
        </w:rPr>
        <w:t>Supremo</w:t>
      </w:r>
      <w:r>
        <w:rPr>
          <w:color w:val="231F20"/>
          <w:spacing w:val="9"/>
          <w:sz w:val="16"/>
        </w:rPr>
        <w:t> </w:t>
      </w:r>
      <w:r>
        <w:rPr>
          <w:color w:val="231F20"/>
          <w:sz w:val="16"/>
        </w:rPr>
        <w:t>(1</w:t>
      </w:r>
      <w:r>
        <w:rPr>
          <w:color w:val="231F20"/>
          <w:spacing w:val="10"/>
          <w:sz w:val="16"/>
        </w:rPr>
        <w:t> </w:t>
      </w:r>
      <w:r>
        <w:rPr>
          <w:color w:val="231F20"/>
          <w:sz w:val="16"/>
        </w:rPr>
        <w:t>Civil)</w:t>
      </w:r>
      <w:r>
        <w:rPr>
          <w:color w:val="231F20"/>
          <w:spacing w:val="10"/>
          <w:sz w:val="16"/>
        </w:rPr>
        <w:t> </w:t>
      </w:r>
      <w:r>
        <w:rPr>
          <w:color w:val="231F20"/>
          <w:sz w:val="16"/>
        </w:rPr>
        <w:t>23</w:t>
      </w:r>
      <w:r>
        <w:rPr>
          <w:color w:val="231F20"/>
          <w:spacing w:val="9"/>
          <w:sz w:val="16"/>
        </w:rPr>
        <w:t> </w:t>
      </w:r>
      <w:r>
        <w:rPr>
          <w:color w:val="231F20"/>
          <w:sz w:val="16"/>
        </w:rPr>
        <w:t>Jan.</w:t>
      </w:r>
      <w:r>
        <w:rPr>
          <w:color w:val="231F20"/>
          <w:spacing w:val="10"/>
          <w:sz w:val="16"/>
        </w:rPr>
        <w:t> </w:t>
      </w:r>
      <w:r>
        <w:rPr>
          <w:color w:val="231F20"/>
          <w:sz w:val="16"/>
        </w:rPr>
        <w:t>0201,</w:t>
      </w:r>
      <w:r>
        <w:rPr>
          <w:color w:val="231F20"/>
          <w:spacing w:val="10"/>
          <w:sz w:val="16"/>
        </w:rPr>
        <w:t> </w:t>
      </w:r>
      <w:r>
        <w:rPr>
          <w:color w:val="231F20"/>
          <w:sz w:val="16"/>
        </w:rPr>
        <w:t>STS</w:t>
      </w:r>
      <w:r>
        <w:rPr>
          <w:color w:val="231F20"/>
          <w:spacing w:val="10"/>
          <w:sz w:val="16"/>
        </w:rPr>
        <w:t> </w:t>
      </w:r>
      <w:r>
        <w:rPr>
          <w:color w:val="231F20"/>
          <w:sz w:val="16"/>
        </w:rPr>
        <w:t>101/2019,</w:t>
      </w:r>
      <w:r>
        <w:rPr>
          <w:color w:val="231F20"/>
          <w:spacing w:val="11"/>
          <w:sz w:val="16"/>
        </w:rPr>
        <w:t> </w:t>
      </w:r>
      <w:r>
        <w:rPr>
          <w:color w:val="231F20"/>
          <w:spacing w:val="-2"/>
          <w:sz w:val="16"/>
        </w:rPr>
        <w:t>ECLI:ES:TS:2019:101.</w:t>
      </w:r>
    </w:p>
    <w:p>
      <w:pPr>
        <w:pStyle w:val="ListParagraph"/>
        <w:numPr>
          <w:ilvl w:val="0"/>
          <w:numId w:val="3"/>
        </w:numPr>
        <w:tabs>
          <w:tab w:pos="865" w:val="left" w:leader="none"/>
        </w:tabs>
        <w:spacing w:line="240" w:lineRule="auto" w:before="37" w:after="0"/>
        <w:ind w:left="865" w:right="0" w:hanging="353"/>
        <w:jc w:val="left"/>
        <w:rPr>
          <w:i/>
          <w:sz w:val="16"/>
        </w:rPr>
      </w:pPr>
      <w:r>
        <w:rPr>
          <w:color w:val="231F20"/>
          <w:sz w:val="16"/>
        </w:rPr>
        <w:t>ECJ</w:t>
      </w:r>
      <w:r>
        <w:rPr>
          <w:color w:val="231F20"/>
          <w:spacing w:val="-1"/>
          <w:sz w:val="16"/>
        </w:rPr>
        <w:t> </w:t>
      </w:r>
      <w:r>
        <w:rPr>
          <w:color w:val="231F20"/>
          <w:sz w:val="16"/>
        </w:rPr>
        <w:t>15 Jun.</w:t>
      </w:r>
      <w:r>
        <w:rPr>
          <w:color w:val="231F20"/>
          <w:spacing w:val="1"/>
          <w:sz w:val="16"/>
        </w:rPr>
        <w:t> </w:t>
      </w:r>
      <w:r>
        <w:rPr>
          <w:color w:val="231F20"/>
          <w:sz w:val="16"/>
        </w:rPr>
        <w:t>2023, ECLI:EU:C:2023:478,</w:t>
      </w:r>
      <w:r>
        <w:rPr>
          <w:color w:val="231F20"/>
          <w:spacing w:val="1"/>
          <w:sz w:val="16"/>
        </w:rPr>
        <w:t> </w:t>
      </w:r>
      <w:r>
        <w:rPr>
          <w:i/>
          <w:color w:val="231F20"/>
          <w:sz w:val="16"/>
        </w:rPr>
        <w:t>Bank </w:t>
      </w:r>
      <w:r>
        <w:rPr>
          <w:i/>
          <w:color w:val="231F20"/>
          <w:spacing w:val="-5"/>
          <w:sz w:val="16"/>
        </w:rPr>
        <w:t>M.</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74.</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428" w:val="left" w:leader="none"/>
        </w:tabs>
        <w:spacing w:line="288" w:lineRule="auto" w:before="0" w:after="0"/>
        <w:ind w:left="871" w:right="869" w:firstLine="0"/>
        <w:jc w:val="both"/>
        <w:rPr>
          <w:sz w:val="19"/>
        </w:rPr>
      </w:pPr>
      <w:r>
        <w:rPr>
          <w:color w:val="231F20"/>
          <w:sz w:val="19"/>
        </w:rPr>
        <w:t>Instead, the ECJ denied businesses the right to obtain compensation from consumers. It did so under the principle of dissuasiveness, after quoting </w:t>
      </w:r>
      <w:r>
        <w:rPr>
          <w:i/>
          <w:color w:val="231F20"/>
          <w:sz w:val="19"/>
        </w:rPr>
        <w:t>Banco</w:t>
      </w:r>
      <w:r>
        <w:rPr>
          <w:i/>
          <w:color w:val="231F20"/>
          <w:sz w:val="19"/>
        </w:rPr>
        <w:t> </w:t>
      </w:r>
      <w:r>
        <w:rPr>
          <w:i/>
          <w:color w:val="231F20"/>
          <w:spacing w:val="-2"/>
          <w:sz w:val="19"/>
        </w:rPr>
        <w:t>Español</w:t>
      </w:r>
      <w:r>
        <w:rPr>
          <w:color w:val="231F20"/>
          <w:spacing w:val="-2"/>
          <w:sz w:val="19"/>
        </w:rPr>
        <w:t>,</w:t>
      </w:r>
      <w:r>
        <w:rPr>
          <w:color w:val="231F20"/>
          <w:spacing w:val="-10"/>
          <w:sz w:val="19"/>
        </w:rPr>
        <w:t> </w:t>
      </w:r>
      <w:r>
        <w:rPr>
          <w:color w:val="231F20"/>
          <w:spacing w:val="-2"/>
          <w:sz w:val="19"/>
        </w:rPr>
        <w:t>as</w:t>
      </w:r>
      <w:r>
        <w:rPr>
          <w:color w:val="231F20"/>
          <w:spacing w:val="-9"/>
          <w:sz w:val="19"/>
        </w:rPr>
        <w:t> </w:t>
      </w:r>
      <w:r>
        <w:rPr>
          <w:color w:val="231F20"/>
          <w:spacing w:val="-2"/>
          <w:sz w:val="19"/>
        </w:rPr>
        <w:t>allowing</w:t>
      </w:r>
      <w:r>
        <w:rPr>
          <w:color w:val="231F20"/>
          <w:spacing w:val="-10"/>
          <w:sz w:val="19"/>
        </w:rPr>
        <w:t> </w:t>
      </w:r>
      <w:r>
        <w:rPr>
          <w:color w:val="231F20"/>
          <w:spacing w:val="-2"/>
          <w:sz w:val="19"/>
        </w:rPr>
        <w:t>businesses</w:t>
      </w:r>
      <w:r>
        <w:rPr>
          <w:color w:val="231F20"/>
          <w:spacing w:val="-9"/>
          <w:sz w:val="19"/>
        </w:rPr>
        <w:t> </w:t>
      </w:r>
      <w:r>
        <w:rPr>
          <w:color w:val="231F20"/>
          <w:spacing w:val="-2"/>
          <w:sz w:val="19"/>
        </w:rPr>
        <w:t>to</w:t>
      </w:r>
      <w:r>
        <w:rPr>
          <w:color w:val="231F20"/>
          <w:spacing w:val="-10"/>
          <w:sz w:val="19"/>
        </w:rPr>
        <w:t> </w:t>
      </w:r>
      <w:r>
        <w:rPr>
          <w:color w:val="231F20"/>
          <w:spacing w:val="-2"/>
          <w:sz w:val="19"/>
        </w:rPr>
        <w:t>seek</w:t>
      </w:r>
      <w:r>
        <w:rPr>
          <w:color w:val="231F20"/>
          <w:spacing w:val="-9"/>
          <w:sz w:val="19"/>
        </w:rPr>
        <w:t> </w:t>
      </w:r>
      <w:r>
        <w:rPr>
          <w:color w:val="231F20"/>
          <w:spacing w:val="-2"/>
          <w:sz w:val="19"/>
        </w:rPr>
        <w:t>compensation</w:t>
      </w:r>
      <w:r>
        <w:rPr>
          <w:color w:val="231F20"/>
          <w:spacing w:val="-10"/>
          <w:sz w:val="19"/>
        </w:rPr>
        <w:t> </w:t>
      </w:r>
      <w:r>
        <w:rPr>
          <w:color w:val="231F20"/>
          <w:spacing w:val="-2"/>
          <w:sz w:val="19"/>
        </w:rPr>
        <w:t>could</w:t>
      </w:r>
      <w:r>
        <w:rPr>
          <w:color w:val="231F20"/>
          <w:spacing w:val="-9"/>
          <w:sz w:val="19"/>
        </w:rPr>
        <w:t> </w:t>
      </w:r>
      <w:r>
        <w:rPr>
          <w:color w:val="231F20"/>
          <w:spacing w:val="-2"/>
          <w:sz w:val="19"/>
        </w:rPr>
        <w:t>eliminate</w:t>
      </w:r>
      <w:r>
        <w:rPr>
          <w:color w:val="231F20"/>
          <w:spacing w:val="-10"/>
          <w:sz w:val="19"/>
        </w:rPr>
        <w:t> </w:t>
      </w:r>
      <w:r>
        <w:rPr>
          <w:color w:val="231F20"/>
          <w:spacing w:val="-2"/>
          <w:sz w:val="19"/>
        </w:rPr>
        <w:t>the</w:t>
      </w:r>
      <w:r>
        <w:rPr>
          <w:color w:val="231F20"/>
          <w:spacing w:val="-9"/>
          <w:sz w:val="19"/>
        </w:rPr>
        <w:t> </w:t>
      </w:r>
      <w:r>
        <w:rPr>
          <w:color w:val="231F20"/>
          <w:spacing w:val="-2"/>
          <w:sz w:val="19"/>
        </w:rPr>
        <w:t>deterrent </w:t>
      </w:r>
      <w:r>
        <w:rPr>
          <w:color w:val="231F20"/>
          <w:sz w:val="19"/>
        </w:rPr>
        <w:t>effect of invalidating the contract following the finding of an unfair term.</w:t>
      </w:r>
      <w:r>
        <w:rPr>
          <w:color w:val="231F20"/>
          <w:sz w:val="19"/>
          <w:vertAlign w:val="superscript"/>
        </w:rPr>
        <w:t>189</w:t>
      </w:r>
    </w:p>
    <w:p>
      <w:pPr>
        <w:pStyle w:val="ListParagraph"/>
        <w:numPr>
          <w:ilvl w:val="0"/>
          <w:numId w:val="4"/>
        </w:numPr>
        <w:tabs>
          <w:tab w:pos="1428" w:val="left" w:leader="none"/>
        </w:tabs>
        <w:spacing w:line="288" w:lineRule="auto" w:before="119" w:after="0"/>
        <w:ind w:left="871" w:right="868" w:firstLine="0"/>
        <w:jc w:val="both"/>
        <w:rPr>
          <w:sz w:val="19"/>
        </w:rPr>
      </w:pPr>
      <w:r>
        <w:rPr>
          <w:color w:val="231F20"/>
          <w:sz w:val="19"/>
        </w:rPr>
        <w:t>The</w:t>
      </w:r>
      <w:r>
        <w:rPr>
          <w:color w:val="231F20"/>
          <w:spacing w:val="-12"/>
          <w:sz w:val="19"/>
        </w:rPr>
        <w:t> </w:t>
      </w:r>
      <w:r>
        <w:rPr>
          <w:color w:val="231F20"/>
          <w:sz w:val="19"/>
        </w:rPr>
        <w:t>Court</w:t>
      </w:r>
      <w:r>
        <w:rPr>
          <w:color w:val="231F20"/>
          <w:spacing w:val="-11"/>
          <w:sz w:val="19"/>
        </w:rPr>
        <w:t> </w:t>
      </w:r>
      <w:r>
        <w:rPr>
          <w:color w:val="231F20"/>
          <w:sz w:val="19"/>
        </w:rPr>
        <w:t>also</w:t>
      </w:r>
      <w:r>
        <w:rPr>
          <w:color w:val="231F20"/>
          <w:spacing w:val="-12"/>
          <w:sz w:val="19"/>
        </w:rPr>
        <w:t> </w:t>
      </w:r>
      <w:r>
        <w:rPr>
          <w:color w:val="231F20"/>
          <w:sz w:val="19"/>
        </w:rPr>
        <w:t>justified</w:t>
      </w:r>
      <w:r>
        <w:rPr>
          <w:color w:val="231F20"/>
          <w:spacing w:val="-11"/>
          <w:sz w:val="19"/>
        </w:rPr>
        <w:t> </w:t>
      </w:r>
      <w:r>
        <w:rPr>
          <w:color w:val="231F20"/>
          <w:sz w:val="19"/>
        </w:rPr>
        <w:t>its</w:t>
      </w:r>
      <w:r>
        <w:rPr>
          <w:color w:val="231F20"/>
          <w:spacing w:val="-12"/>
          <w:sz w:val="19"/>
        </w:rPr>
        <w:t> </w:t>
      </w:r>
      <w:r>
        <w:rPr>
          <w:color w:val="231F20"/>
          <w:sz w:val="19"/>
        </w:rPr>
        <w:t>ruling</w:t>
      </w:r>
      <w:r>
        <w:rPr>
          <w:color w:val="231F20"/>
          <w:spacing w:val="-11"/>
          <w:sz w:val="19"/>
        </w:rPr>
        <w:t> </w:t>
      </w:r>
      <w:r>
        <w:rPr>
          <w:color w:val="231F20"/>
          <w:sz w:val="19"/>
        </w:rPr>
        <w:t>under</w:t>
      </w:r>
      <w:r>
        <w:rPr>
          <w:color w:val="231F20"/>
          <w:spacing w:val="-12"/>
          <w:sz w:val="19"/>
        </w:rPr>
        <w:t> </w:t>
      </w:r>
      <w:r>
        <w:rPr>
          <w:color w:val="231F20"/>
          <w:sz w:val="19"/>
        </w:rPr>
        <w:t>the</w:t>
      </w:r>
      <w:r>
        <w:rPr>
          <w:color w:val="231F20"/>
          <w:spacing w:val="-11"/>
          <w:sz w:val="19"/>
        </w:rPr>
        <w:t> </w:t>
      </w:r>
      <w:r>
        <w:rPr>
          <w:color w:val="231F20"/>
          <w:sz w:val="19"/>
        </w:rPr>
        <w:t>principle</w:t>
      </w:r>
      <w:r>
        <w:rPr>
          <w:color w:val="231F20"/>
          <w:spacing w:val="-11"/>
          <w:sz w:val="19"/>
        </w:rPr>
        <w:t> </w:t>
      </w:r>
      <w:r>
        <w:rPr>
          <w:color w:val="231F20"/>
          <w:sz w:val="19"/>
        </w:rPr>
        <w:t>of</w:t>
      </w:r>
      <w:r>
        <w:rPr>
          <w:color w:val="231F20"/>
          <w:spacing w:val="-11"/>
          <w:sz w:val="19"/>
        </w:rPr>
        <w:t> </w:t>
      </w:r>
      <w:r>
        <w:rPr>
          <w:color w:val="231F20"/>
          <w:sz w:val="19"/>
        </w:rPr>
        <w:t>effectiveness,</w:t>
      </w:r>
      <w:r>
        <w:rPr>
          <w:color w:val="231F20"/>
          <w:spacing w:val="-12"/>
          <w:sz w:val="19"/>
        </w:rPr>
        <w:t> </w:t>
      </w:r>
      <w:r>
        <w:rPr>
          <w:color w:val="231F20"/>
          <w:sz w:val="19"/>
        </w:rPr>
        <w:t>which could be undermined by the risk of consumers having to pay compensation.</w:t>
      </w:r>
      <w:r>
        <w:rPr>
          <w:color w:val="231F20"/>
          <w:sz w:val="19"/>
          <w:vertAlign w:val="superscript"/>
        </w:rPr>
        <w:t>190</w:t>
      </w:r>
      <w:r>
        <w:rPr>
          <w:color w:val="231F20"/>
          <w:sz w:val="19"/>
          <w:vertAlign w:val="baseline"/>
        </w:rPr>
        <w:t> </w:t>
      </w:r>
      <w:r>
        <w:rPr>
          <w:color w:val="231F20"/>
          <w:sz w:val="19"/>
          <w:vertAlign w:val="baseline"/>
        </w:rPr>
        <w:t>In the</w:t>
      </w:r>
      <w:r>
        <w:rPr>
          <w:color w:val="231F20"/>
          <w:spacing w:val="-6"/>
          <w:sz w:val="19"/>
          <w:vertAlign w:val="baseline"/>
        </w:rPr>
        <w:t> </w:t>
      </w:r>
      <w:r>
        <w:rPr>
          <w:color w:val="231F20"/>
          <w:sz w:val="19"/>
          <w:vertAlign w:val="baseline"/>
        </w:rPr>
        <w:t>case,</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non-contractual</w:t>
      </w:r>
      <w:r>
        <w:rPr>
          <w:color w:val="231F20"/>
          <w:spacing w:val="-7"/>
          <w:sz w:val="19"/>
          <w:vertAlign w:val="baseline"/>
        </w:rPr>
        <w:t> </w:t>
      </w:r>
      <w:r>
        <w:rPr>
          <w:color w:val="231F20"/>
          <w:sz w:val="19"/>
          <w:vertAlign w:val="baseline"/>
        </w:rPr>
        <w:t>compensation</w:t>
      </w:r>
      <w:r>
        <w:rPr>
          <w:color w:val="231F20"/>
          <w:spacing w:val="-7"/>
          <w:sz w:val="19"/>
          <w:vertAlign w:val="baseline"/>
        </w:rPr>
        <w:t> </w:t>
      </w:r>
      <w:r>
        <w:rPr>
          <w:color w:val="231F20"/>
          <w:sz w:val="19"/>
          <w:vertAlign w:val="baseline"/>
        </w:rPr>
        <w:t>for</w:t>
      </w:r>
      <w:r>
        <w:rPr>
          <w:color w:val="231F20"/>
          <w:spacing w:val="-9"/>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use</w:t>
      </w:r>
      <w:r>
        <w:rPr>
          <w:color w:val="231F20"/>
          <w:spacing w:val="-6"/>
          <w:sz w:val="19"/>
          <w:vertAlign w:val="baseline"/>
        </w:rPr>
        <w:t> </w:t>
      </w:r>
      <w:r>
        <w:rPr>
          <w:color w:val="231F20"/>
          <w:sz w:val="19"/>
          <w:vertAlign w:val="baseline"/>
        </w:rPr>
        <w:t>of</w:t>
      </w:r>
      <w:r>
        <w:rPr>
          <w:color w:val="231F20"/>
          <w:spacing w:val="-6"/>
          <w:sz w:val="19"/>
          <w:vertAlign w:val="baseline"/>
        </w:rPr>
        <w:t> </w:t>
      </w:r>
      <w:r>
        <w:rPr>
          <w:color w:val="231F20"/>
          <w:sz w:val="19"/>
          <w:vertAlign w:val="baseline"/>
        </w:rPr>
        <w:t>a</w:t>
      </w:r>
      <w:r>
        <w:rPr>
          <w:color w:val="231F20"/>
          <w:spacing w:val="-6"/>
          <w:sz w:val="19"/>
          <w:vertAlign w:val="baseline"/>
        </w:rPr>
        <w:t> </w:t>
      </w:r>
      <w:r>
        <w:rPr>
          <w:color w:val="231F20"/>
          <w:sz w:val="19"/>
          <w:vertAlign w:val="baseline"/>
        </w:rPr>
        <w:t>loan</w:t>
      </w:r>
      <w:r>
        <w:rPr>
          <w:color w:val="231F20"/>
          <w:spacing w:val="-6"/>
          <w:sz w:val="19"/>
          <w:vertAlign w:val="baseline"/>
        </w:rPr>
        <w:t> </w:t>
      </w:r>
      <w:r>
        <w:rPr>
          <w:color w:val="231F20"/>
          <w:sz w:val="19"/>
          <w:vertAlign w:val="baseline"/>
        </w:rPr>
        <w:t>was</w:t>
      </w:r>
      <w:r>
        <w:rPr>
          <w:color w:val="231F20"/>
          <w:spacing w:val="-6"/>
          <w:sz w:val="19"/>
          <w:vertAlign w:val="baseline"/>
        </w:rPr>
        <w:t> </w:t>
      </w:r>
      <w:r>
        <w:rPr>
          <w:color w:val="231F20"/>
          <w:sz w:val="19"/>
          <w:vertAlign w:val="baseline"/>
        </w:rPr>
        <w:t>equivalent</w:t>
      </w:r>
      <w:r>
        <w:rPr>
          <w:color w:val="231F20"/>
          <w:spacing w:val="-6"/>
          <w:sz w:val="19"/>
          <w:vertAlign w:val="baseline"/>
        </w:rPr>
        <w:t> </w:t>
      </w:r>
      <w:r>
        <w:rPr>
          <w:color w:val="231F20"/>
          <w:sz w:val="19"/>
          <w:vertAlign w:val="baseline"/>
        </w:rPr>
        <w:t>to approximately two-thirds of the capital.</w:t>
      </w:r>
      <w:r>
        <w:rPr>
          <w:color w:val="231F20"/>
          <w:sz w:val="19"/>
          <w:vertAlign w:val="superscript"/>
        </w:rPr>
        <w:t>191</w:t>
      </w:r>
      <w:r>
        <w:rPr>
          <w:color w:val="231F20"/>
          <w:sz w:val="19"/>
          <w:vertAlign w:val="baseline"/>
        </w:rPr>
        <w:t> The possibility of having to pay such a high compensation could force</w:t>
      </w:r>
      <w:r>
        <w:rPr>
          <w:color w:val="231F20"/>
          <w:sz w:val="19"/>
          <w:vertAlign w:val="baseline"/>
        </w:rPr>
        <w:t> consumers to remain in a contract that contains unfair terms, rather than exercising their rights under the UCTD.</w:t>
      </w:r>
      <w:r>
        <w:rPr>
          <w:color w:val="231F20"/>
          <w:sz w:val="19"/>
          <w:vertAlign w:val="superscript"/>
        </w:rPr>
        <w:t>192</w:t>
      </w:r>
    </w:p>
    <w:p>
      <w:pPr>
        <w:pStyle w:val="ListParagraph"/>
        <w:numPr>
          <w:ilvl w:val="0"/>
          <w:numId w:val="4"/>
        </w:numPr>
        <w:tabs>
          <w:tab w:pos="1428" w:val="left" w:leader="none"/>
        </w:tabs>
        <w:spacing w:line="288" w:lineRule="auto" w:before="115" w:after="0"/>
        <w:ind w:left="871" w:right="869" w:firstLine="0"/>
        <w:jc w:val="both"/>
        <w:rPr>
          <w:sz w:val="19"/>
        </w:rPr>
      </w:pPr>
      <w:r>
        <w:rPr>
          <w:color w:val="231F20"/>
          <w:sz w:val="19"/>
        </w:rPr>
        <w:t>The ECJ was impervious to the bank</w:t>
      </w:r>
      <w:r>
        <w:rPr>
          <w:rFonts w:ascii="Arial" w:hAnsi="Arial"/>
          <w:color w:val="231F20"/>
          <w:sz w:val="19"/>
        </w:rPr>
        <w:t>’</w:t>
      </w:r>
      <w:r>
        <w:rPr>
          <w:color w:val="231F20"/>
          <w:sz w:val="19"/>
        </w:rPr>
        <w:t>s argument that, in the absence of compensation, consumers would obtain a loan free of charge.</w:t>
      </w:r>
      <w:r>
        <w:rPr>
          <w:color w:val="231F20"/>
          <w:sz w:val="19"/>
          <w:vertAlign w:val="superscript"/>
        </w:rPr>
        <w:t>193</w:t>
      </w:r>
      <w:r>
        <w:rPr>
          <w:color w:val="231F20"/>
          <w:sz w:val="19"/>
          <w:vertAlign w:val="baseline"/>
        </w:rPr>
        <w:t> Therefore, </w:t>
      </w:r>
      <w:r>
        <w:rPr>
          <w:color w:val="231F20"/>
          <w:sz w:val="19"/>
          <w:vertAlign w:val="baseline"/>
        </w:rPr>
        <w:t>it </w:t>
      </w:r>
      <w:r>
        <w:rPr>
          <w:color w:val="231F20"/>
          <w:spacing w:val="-2"/>
          <w:sz w:val="19"/>
          <w:vertAlign w:val="baseline"/>
        </w:rPr>
        <w:t>implicitly</w:t>
      </w:r>
      <w:r>
        <w:rPr>
          <w:color w:val="231F20"/>
          <w:spacing w:val="-8"/>
          <w:sz w:val="19"/>
          <w:vertAlign w:val="baseline"/>
        </w:rPr>
        <w:t> </w:t>
      </w:r>
      <w:r>
        <w:rPr>
          <w:color w:val="231F20"/>
          <w:spacing w:val="-2"/>
          <w:sz w:val="19"/>
          <w:vertAlign w:val="baseline"/>
        </w:rPr>
        <w:t>discarded</w:t>
      </w:r>
      <w:r>
        <w:rPr>
          <w:color w:val="231F20"/>
          <w:spacing w:val="-8"/>
          <w:sz w:val="19"/>
          <w:vertAlign w:val="baseline"/>
        </w:rPr>
        <w:t> </w:t>
      </w:r>
      <w:r>
        <w:rPr>
          <w:color w:val="231F20"/>
          <w:spacing w:val="-2"/>
          <w:sz w:val="19"/>
          <w:vertAlign w:val="baseline"/>
        </w:rPr>
        <w:t>the</w:t>
      </w:r>
      <w:r>
        <w:rPr>
          <w:color w:val="231F20"/>
          <w:spacing w:val="-8"/>
          <w:sz w:val="19"/>
          <w:vertAlign w:val="baseline"/>
        </w:rPr>
        <w:t> </w:t>
      </w:r>
      <w:r>
        <w:rPr>
          <w:color w:val="231F20"/>
          <w:spacing w:val="-2"/>
          <w:sz w:val="19"/>
          <w:vertAlign w:val="baseline"/>
        </w:rPr>
        <w:t>unjust</w:t>
      </w:r>
      <w:r>
        <w:rPr>
          <w:color w:val="231F20"/>
          <w:spacing w:val="-8"/>
          <w:sz w:val="19"/>
          <w:vertAlign w:val="baseline"/>
        </w:rPr>
        <w:t> </w:t>
      </w:r>
      <w:r>
        <w:rPr>
          <w:color w:val="231F20"/>
          <w:spacing w:val="-2"/>
          <w:sz w:val="19"/>
          <w:vertAlign w:val="baseline"/>
        </w:rPr>
        <w:t>enrichment</w:t>
      </w:r>
      <w:r>
        <w:rPr>
          <w:color w:val="231F20"/>
          <w:spacing w:val="-9"/>
          <w:sz w:val="19"/>
          <w:vertAlign w:val="baseline"/>
        </w:rPr>
        <w:t> </w:t>
      </w:r>
      <w:r>
        <w:rPr>
          <w:color w:val="231F20"/>
          <w:spacing w:val="-2"/>
          <w:sz w:val="19"/>
          <w:vertAlign w:val="baseline"/>
        </w:rPr>
        <w:t>of</w:t>
      </w:r>
      <w:r>
        <w:rPr>
          <w:color w:val="231F20"/>
          <w:spacing w:val="-8"/>
          <w:sz w:val="19"/>
          <w:vertAlign w:val="baseline"/>
        </w:rPr>
        <w:t> </w:t>
      </w:r>
      <w:r>
        <w:rPr>
          <w:color w:val="231F20"/>
          <w:spacing w:val="-2"/>
          <w:sz w:val="19"/>
          <w:vertAlign w:val="baseline"/>
        </w:rPr>
        <w:t>consumers</w:t>
      </w:r>
      <w:r>
        <w:rPr>
          <w:color w:val="231F20"/>
          <w:spacing w:val="-8"/>
          <w:sz w:val="19"/>
          <w:vertAlign w:val="baseline"/>
        </w:rPr>
        <w:t> </w:t>
      </w:r>
      <w:r>
        <w:rPr>
          <w:color w:val="231F20"/>
          <w:spacing w:val="-2"/>
          <w:sz w:val="19"/>
          <w:vertAlign w:val="baseline"/>
        </w:rPr>
        <w:t>to</w:t>
      </w:r>
      <w:r>
        <w:rPr>
          <w:color w:val="231F20"/>
          <w:spacing w:val="-9"/>
          <w:sz w:val="19"/>
          <w:vertAlign w:val="baseline"/>
        </w:rPr>
        <w:t> </w:t>
      </w:r>
      <w:r>
        <w:rPr>
          <w:color w:val="231F20"/>
          <w:spacing w:val="-2"/>
          <w:sz w:val="19"/>
          <w:vertAlign w:val="baseline"/>
        </w:rPr>
        <w:t>calibrate</w:t>
      </w:r>
      <w:r>
        <w:rPr>
          <w:color w:val="231F20"/>
          <w:spacing w:val="-8"/>
          <w:sz w:val="19"/>
          <w:vertAlign w:val="baseline"/>
        </w:rPr>
        <w:t> </w:t>
      </w:r>
      <w:r>
        <w:rPr>
          <w:color w:val="231F20"/>
          <w:spacing w:val="-2"/>
          <w:sz w:val="19"/>
          <w:vertAlign w:val="baseline"/>
        </w:rPr>
        <w:t>the</w:t>
      </w:r>
      <w:r>
        <w:rPr>
          <w:color w:val="231F20"/>
          <w:spacing w:val="-8"/>
          <w:sz w:val="19"/>
          <w:vertAlign w:val="baseline"/>
        </w:rPr>
        <w:t> </w:t>
      </w:r>
      <w:r>
        <w:rPr>
          <w:color w:val="231F20"/>
          <w:spacing w:val="-2"/>
          <w:sz w:val="19"/>
          <w:vertAlign w:val="baseline"/>
        </w:rPr>
        <w:t>imposition </w:t>
      </w:r>
      <w:r>
        <w:rPr>
          <w:color w:val="231F20"/>
          <w:sz w:val="19"/>
          <w:vertAlign w:val="baseline"/>
        </w:rPr>
        <w:t>of</w:t>
      </w:r>
      <w:r>
        <w:rPr>
          <w:color w:val="231F20"/>
          <w:spacing w:val="-5"/>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sanction,</w:t>
      </w:r>
      <w:r>
        <w:rPr>
          <w:color w:val="231F20"/>
          <w:spacing w:val="-7"/>
          <w:sz w:val="19"/>
          <w:vertAlign w:val="baseline"/>
        </w:rPr>
        <w:t> </w:t>
      </w:r>
      <w:r>
        <w:rPr>
          <w:color w:val="231F20"/>
          <w:sz w:val="19"/>
          <w:vertAlign w:val="baseline"/>
        </w:rPr>
        <w:t>which</w:t>
      </w:r>
      <w:r>
        <w:rPr>
          <w:color w:val="231F20"/>
          <w:spacing w:val="-7"/>
          <w:sz w:val="19"/>
          <w:vertAlign w:val="baseline"/>
        </w:rPr>
        <w:t> </w:t>
      </w:r>
      <w:r>
        <w:rPr>
          <w:color w:val="231F20"/>
          <w:sz w:val="19"/>
          <w:vertAlign w:val="baseline"/>
        </w:rPr>
        <w:t>consisted</w:t>
      </w:r>
      <w:r>
        <w:rPr>
          <w:color w:val="231F20"/>
          <w:spacing w:val="-7"/>
          <w:sz w:val="19"/>
          <w:vertAlign w:val="baseline"/>
        </w:rPr>
        <w:t> </w:t>
      </w:r>
      <w:r>
        <w:rPr>
          <w:color w:val="231F20"/>
          <w:sz w:val="19"/>
          <w:vertAlign w:val="baseline"/>
        </w:rPr>
        <w:t>of</w:t>
      </w:r>
      <w:r>
        <w:rPr>
          <w:color w:val="231F20"/>
          <w:spacing w:val="-7"/>
          <w:sz w:val="19"/>
          <w:vertAlign w:val="baseline"/>
        </w:rPr>
        <w:t> </w:t>
      </w:r>
      <w:r>
        <w:rPr>
          <w:color w:val="231F20"/>
          <w:sz w:val="19"/>
          <w:vertAlign w:val="baseline"/>
        </w:rPr>
        <w:t>denying</w:t>
      </w:r>
      <w:r>
        <w:rPr>
          <w:color w:val="231F20"/>
          <w:spacing w:val="-7"/>
          <w:sz w:val="19"/>
          <w:vertAlign w:val="baseline"/>
        </w:rPr>
        <w:t> </w:t>
      </w:r>
      <w:r>
        <w:rPr>
          <w:color w:val="231F20"/>
          <w:sz w:val="19"/>
          <w:vertAlign w:val="baseline"/>
        </w:rPr>
        <w:t>extraeontractual</w:t>
      </w:r>
      <w:r>
        <w:rPr>
          <w:color w:val="231F20"/>
          <w:spacing w:val="-7"/>
          <w:sz w:val="19"/>
          <w:vertAlign w:val="baseline"/>
        </w:rPr>
        <w:t> </w:t>
      </w:r>
      <w:r>
        <w:rPr>
          <w:color w:val="231F20"/>
          <w:sz w:val="19"/>
          <w:vertAlign w:val="baseline"/>
        </w:rPr>
        <w:t>remuneration</w:t>
      </w:r>
      <w:r>
        <w:rPr>
          <w:color w:val="231F20"/>
          <w:spacing w:val="-8"/>
          <w:sz w:val="19"/>
          <w:vertAlign w:val="baseline"/>
        </w:rPr>
        <w:t> </w:t>
      </w:r>
      <w:r>
        <w:rPr>
          <w:color w:val="231F20"/>
          <w:sz w:val="19"/>
          <w:vertAlign w:val="baseline"/>
        </w:rPr>
        <w:t>for</w:t>
      </w:r>
      <w:r>
        <w:rPr>
          <w:color w:val="231F20"/>
          <w:spacing w:val="-8"/>
          <w:sz w:val="19"/>
          <w:vertAlign w:val="baseline"/>
        </w:rPr>
        <w:t> </w:t>
      </w:r>
      <w:r>
        <w:rPr>
          <w:color w:val="231F20"/>
          <w:sz w:val="19"/>
          <w:vertAlign w:val="baseline"/>
        </w:rPr>
        <w:t>the use of capital before it was reimbursed to the professional. The Court had pre- </w:t>
      </w:r>
      <w:r>
        <w:rPr>
          <w:color w:val="231F20"/>
          <w:spacing w:val="-2"/>
          <w:sz w:val="19"/>
          <w:vertAlign w:val="baseline"/>
        </w:rPr>
        <w:t>viously</w:t>
      </w:r>
      <w:r>
        <w:rPr>
          <w:color w:val="231F20"/>
          <w:spacing w:val="-8"/>
          <w:sz w:val="19"/>
          <w:vertAlign w:val="baseline"/>
        </w:rPr>
        <w:t> </w:t>
      </w:r>
      <w:r>
        <w:rPr>
          <w:color w:val="231F20"/>
          <w:spacing w:val="-2"/>
          <w:sz w:val="19"/>
          <w:vertAlign w:val="baseline"/>
        </w:rPr>
        <w:t>reached</w:t>
      </w:r>
      <w:r>
        <w:rPr>
          <w:color w:val="231F20"/>
          <w:spacing w:val="-10"/>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same</w:t>
      </w:r>
      <w:r>
        <w:rPr>
          <w:color w:val="231F20"/>
          <w:spacing w:val="-8"/>
          <w:sz w:val="19"/>
          <w:vertAlign w:val="baseline"/>
        </w:rPr>
        <w:t> </w:t>
      </w:r>
      <w:r>
        <w:rPr>
          <w:color w:val="231F20"/>
          <w:spacing w:val="-2"/>
          <w:sz w:val="19"/>
          <w:vertAlign w:val="baseline"/>
        </w:rPr>
        <w:t>conclusion</w:t>
      </w:r>
      <w:r>
        <w:rPr>
          <w:color w:val="231F20"/>
          <w:spacing w:val="-9"/>
          <w:sz w:val="19"/>
          <w:vertAlign w:val="baseline"/>
        </w:rPr>
        <w:t> </w:t>
      </w:r>
      <w:r>
        <w:rPr>
          <w:color w:val="231F20"/>
          <w:spacing w:val="-2"/>
          <w:sz w:val="19"/>
          <w:vertAlign w:val="baseline"/>
        </w:rPr>
        <w:t>under</w:t>
      </w:r>
      <w:r>
        <w:rPr>
          <w:color w:val="231F20"/>
          <w:spacing w:val="-9"/>
          <w:sz w:val="19"/>
          <w:vertAlign w:val="baseline"/>
        </w:rPr>
        <w:t> </w:t>
      </w:r>
      <w:r>
        <w:rPr>
          <w:color w:val="231F20"/>
          <w:spacing w:val="-2"/>
          <w:sz w:val="19"/>
          <w:vertAlign w:val="baseline"/>
        </w:rPr>
        <w:t>the</w:t>
      </w:r>
      <w:r>
        <w:rPr>
          <w:color w:val="231F20"/>
          <w:spacing w:val="-9"/>
          <w:sz w:val="19"/>
          <w:vertAlign w:val="baseline"/>
        </w:rPr>
        <w:t> </w:t>
      </w:r>
      <w:r>
        <w:rPr>
          <w:color w:val="231F20"/>
          <w:spacing w:val="-2"/>
          <w:sz w:val="19"/>
          <w:vertAlign w:val="baseline"/>
        </w:rPr>
        <w:t>2008</w:t>
      </w:r>
      <w:r>
        <w:rPr>
          <w:color w:val="231F20"/>
          <w:spacing w:val="-8"/>
          <w:sz w:val="19"/>
          <w:vertAlign w:val="baseline"/>
        </w:rPr>
        <w:t> </w:t>
      </w:r>
      <w:r>
        <w:rPr>
          <w:color w:val="231F20"/>
          <w:spacing w:val="-2"/>
          <w:sz w:val="19"/>
          <w:vertAlign w:val="baseline"/>
        </w:rPr>
        <w:t>Consumer</w:t>
      </w:r>
      <w:r>
        <w:rPr>
          <w:color w:val="231F20"/>
          <w:spacing w:val="-10"/>
          <w:sz w:val="19"/>
          <w:vertAlign w:val="baseline"/>
        </w:rPr>
        <w:t> </w:t>
      </w:r>
      <w:r>
        <w:rPr>
          <w:color w:val="231F20"/>
          <w:spacing w:val="-2"/>
          <w:sz w:val="19"/>
          <w:vertAlign w:val="baseline"/>
        </w:rPr>
        <w:t>Credit</w:t>
      </w:r>
      <w:r>
        <w:rPr>
          <w:color w:val="231F20"/>
          <w:spacing w:val="-8"/>
          <w:sz w:val="19"/>
          <w:vertAlign w:val="baseline"/>
        </w:rPr>
        <w:t> </w:t>
      </w:r>
      <w:r>
        <w:rPr>
          <w:color w:val="231F20"/>
          <w:spacing w:val="-2"/>
          <w:sz w:val="19"/>
          <w:vertAlign w:val="baseline"/>
        </w:rPr>
        <w:t>Directive.</w:t>
      </w:r>
      <w:r>
        <w:rPr>
          <w:color w:val="231F20"/>
          <w:spacing w:val="-2"/>
          <w:sz w:val="19"/>
          <w:vertAlign w:val="superscript"/>
        </w:rPr>
        <w:t>194</w:t>
      </w:r>
    </w:p>
    <w:p>
      <w:pPr>
        <w:pStyle w:val="ListParagraph"/>
        <w:numPr>
          <w:ilvl w:val="0"/>
          <w:numId w:val="4"/>
        </w:numPr>
        <w:tabs>
          <w:tab w:pos="1428" w:val="left" w:leader="none"/>
        </w:tabs>
        <w:spacing w:line="288" w:lineRule="auto" w:before="120" w:after="0"/>
        <w:ind w:left="871" w:right="868" w:firstLine="0"/>
        <w:jc w:val="both"/>
        <w:rPr>
          <w:sz w:val="19"/>
        </w:rPr>
      </w:pPr>
      <w:r>
        <w:rPr>
          <w:color w:val="231F20"/>
          <w:sz w:val="19"/>
        </w:rPr>
        <w:t>Therefore, unlike in joined Cases C-96/16 and C-94/17, </w:t>
      </w:r>
      <w:r>
        <w:rPr>
          <w:i/>
          <w:color w:val="231F20"/>
          <w:sz w:val="19"/>
        </w:rPr>
        <w:t>Escobedo </w:t>
      </w:r>
      <w:r>
        <w:rPr>
          <w:i/>
          <w:color w:val="231F20"/>
          <w:sz w:val="19"/>
        </w:rPr>
        <w:t>Cortés</w:t>
      </w:r>
      <w:r>
        <w:rPr>
          <w:color w:val="231F20"/>
          <w:sz w:val="19"/>
        </w:rPr>
        <w:t>, the prohibition of unjust enrichment did not lead to a nuanced application of the sanction</w:t>
      </w:r>
      <w:r>
        <w:rPr>
          <w:color w:val="231F20"/>
          <w:spacing w:val="-5"/>
          <w:sz w:val="19"/>
        </w:rPr>
        <w:t> </w:t>
      </w:r>
      <w:r>
        <w:rPr>
          <w:color w:val="231F20"/>
          <w:sz w:val="19"/>
        </w:rPr>
        <w:t>to</w:t>
      </w:r>
      <w:r>
        <w:rPr>
          <w:color w:val="231F20"/>
          <w:spacing w:val="-5"/>
          <w:sz w:val="19"/>
        </w:rPr>
        <w:t> </w:t>
      </w:r>
      <w:r>
        <w:rPr>
          <w:color w:val="231F20"/>
          <w:sz w:val="19"/>
        </w:rPr>
        <w:t>the</w:t>
      </w:r>
      <w:r>
        <w:rPr>
          <w:color w:val="231F20"/>
          <w:spacing w:val="-5"/>
          <w:sz w:val="19"/>
        </w:rPr>
        <w:t> </w:t>
      </w:r>
      <w:r>
        <w:rPr>
          <w:color w:val="231F20"/>
          <w:sz w:val="19"/>
        </w:rPr>
        <w:t>business.</w:t>
      </w:r>
      <w:r>
        <w:rPr>
          <w:color w:val="231F20"/>
          <w:sz w:val="19"/>
          <w:vertAlign w:val="superscript"/>
        </w:rPr>
        <w:t>195</w:t>
      </w:r>
      <w:r>
        <w:rPr>
          <w:color w:val="231F20"/>
          <w:spacing w:val="-5"/>
          <w:sz w:val="19"/>
          <w:vertAlign w:val="baseline"/>
        </w:rPr>
        <w:t> </w:t>
      </w:r>
      <w:r>
        <w:rPr>
          <w:color w:val="231F20"/>
          <w:sz w:val="19"/>
          <w:vertAlign w:val="baseline"/>
        </w:rPr>
        <w:t>It</w:t>
      </w:r>
      <w:r>
        <w:rPr>
          <w:color w:val="231F20"/>
          <w:spacing w:val="-5"/>
          <w:sz w:val="19"/>
          <w:vertAlign w:val="baseline"/>
        </w:rPr>
        <w:t> </w:t>
      </w:r>
      <w:r>
        <w:rPr>
          <w:color w:val="231F20"/>
          <w:sz w:val="19"/>
          <w:vertAlign w:val="baseline"/>
        </w:rPr>
        <w:t>may</w:t>
      </w:r>
      <w:r>
        <w:rPr>
          <w:color w:val="231F20"/>
          <w:spacing w:val="-5"/>
          <w:sz w:val="19"/>
          <w:vertAlign w:val="baseline"/>
        </w:rPr>
        <w:t> </w:t>
      </w:r>
      <w:r>
        <w:rPr>
          <w:color w:val="231F20"/>
          <w:sz w:val="19"/>
          <w:vertAlign w:val="baseline"/>
        </w:rPr>
        <w:t>be</w:t>
      </w:r>
      <w:r>
        <w:rPr>
          <w:color w:val="231F20"/>
          <w:spacing w:val="-5"/>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different</w:t>
      </w:r>
      <w:r>
        <w:rPr>
          <w:color w:val="231F20"/>
          <w:spacing w:val="-5"/>
          <w:sz w:val="19"/>
          <w:vertAlign w:val="baseline"/>
        </w:rPr>
        <w:t> </w:t>
      </w:r>
      <w:r>
        <w:rPr>
          <w:color w:val="231F20"/>
          <w:sz w:val="19"/>
          <w:vertAlign w:val="baseline"/>
        </w:rPr>
        <w:t>from</w:t>
      </w:r>
      <w:r>
        <w:rPr>
          <w:color w:val="231F20"/>
          <w:spacing w:val="-5"/>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case,</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remunera- tion</w:t>
      </w:r>
      <w:r>
        <w:rPr>
          <w:color w:val="231F20"/>
          <w:spacing w:val="-5"/>
          <w:sz w:val="19"/>
          <w:vertAlign w:val="baseline"/>
        </w:rPr>
        <w:t> </w:t>
      </w:r>
      <w:r>
        <w:rPr>
          <w:color w:val="231F20"/>
          <w:sz w:val="19"/>
          <w:vertAlign w:val="baseline"/>
        </w:rPr>
        <w:t>that</w:t>
      </w:r>
      <w:r>
        <w:rPr>
          <w:color w:val="231F20"/>
          <w:spacing w:val="-5"/>
          <w:sz w:val="19"/>
          <w:vertAlign w:val="baseline"/>
        </w:rPr>
        <w:t> </w:t>
      </w:r>
      <w:r>
        <w:rPr>
          <w:color w:val="231F20"/>
          <w:sz w:val="19"/>
          <w:vertAlign w:val="baseline"/>
        </w:rPr>
        <w:t>Bank</w:t>
      </w:r>
      <w:r>
        <w:rPr>
          <w:color w:val="231F20"/>
          <w:spacing w:val="-5"/>
          <w:sz w:val="19"/>
          <w:vertAlign w:val="baseline"/>
        </w:rPr>
        <w:t> </w:t>
      </w:r>
      <w:r>
        <w:rPr>
          <w:color w:val="231F20"/>
          <w:sz w:val="19"/>
          <w:vertAlign w:val="baseline"/>
        </w:rPr>
        <w:t>M.</w:t>
      </w:r>
      <w:r>
        <w:rPr>
          <w:color w:val="231F20"/>
          <w:spacing w:val="-5"/>
          <w:sz w:val="19"/>
          <w:vertAlign w:val="baseline"/>
        </w:rPr>
        <w:t> </w:t>
      </w:r>
      <w:r>
        <w:rPr>
          <w:color w:val="231F20"/>
          <w:sz w:val="19"/>
          <w:vertAlign w:val="baseline"/>
        </w:rPr>
        <w:t>claimed</w:t>
      </w:r>
      <w:r>
        <w:rPr>
          <w:color w:val="231F20"/>
          <w:spacing w:val="-5"/>
          <w:sz w:val="19"/>
          <w:vertAlign w:val="baseline"/>
        </w:rPr>
        <w:t> </w:t>
      </w:r>
      <w:r>
        <w:rPr>
          <w:color w:val="231F20"/>
          <w:sz w:val="19"/>
          <w:vertAlign w:val="baseline"/>
        </w:rPr>
        <w:t>would</w:t>
      </w:r>
      <w:r>
        <w:rPr>
          <w:color w:val="231F20"/>
          <w:spacing w:val="-6"/>
          <w:sz w:val="19"/>
          <w:vertAlign w:val="baseline"/>
        </w:rPr>
        <w:t> </w:t>
      </w:r>
      <w:r>
        <w:rPr>
          <w:color w:val="231F20"/>
          <w:sz w:val="19"/>
          <w:vertAlign w:val="baseline"/>
        </w:rPr>
        <w:t>have</w:t>
      </w:r>
      <w:r>
        <w:rPr>
          <w:color w:val="231F20"/>
          <w:spacing w:val="-5"/>
          <w:sz w:val="19"/>
          <w:vertAlign w:val="baseline"/>
        </w:rPr>
        <w:t> </w:t>
      </w:r>
      <w:r>
        <w:rPr>
          <w:color w:val="231F20"/>
          <w:sz w:val="19"/>
          <w:vertAlign w:val="baseline"/>
        </w:rPr>
        <w:t>led</w:t>
      </w:r>
      <w:r>
        <w:rPr>
          <w:color w:val="231F20"/>
          <w:spacing w:val="-5"/>
          <w:sz w:val="19"/>
          <w:vertAlign w:val="baseline"/>
        </w:rPr>
        <w:t> </w:t>
      </w:r>
      <w:r>
        <w:rPr>
          <w:color w:val="231F20"/>
          <w:sz w:val="19"/>
          <w:vertAlign w:val="baseline"/>
        </w:rPr>
        <w:t>to</w:t>
      </w:r>
      <w:r>
        <w:rPr>
          <w:color w:val="231F20"/>
          <w:spacing w:val="-5"/>
          <w:sz w:val="19"/>
          <w:vertAlign w:val="baseline"/>
        </w:rPr>
        <w:t> </w:t>
      </w:r>
      <w:r>
        <w:rPr>
          <w:color w:val="231F20"/>
          <w:sz w:val="19"/>
          <w:vertAlign w:val="baseline"/>
        </w:rPr>
        <w:t>an</w:t>
      </w:r>
      <w:r>
        <w:rPr>
          <w:color w:val="231F20"/>
          <w:spacing w:val="-6"/>
          <w:sz w:val="19"/>
          <w:vertAlign w:val="baseline"/>
        </w:rPr>
        <w:t> </w:t>
      </w:r>
      <w:r>
        <w:rPr>
          <w:color w:val="231F20"/>
          <w:sz w:val="19"/>
          <w:vertAlign w:val="baseline"/>
        </w:rPr>
        <w:t>outcome</w:t>
      </w:r>
      <w:r>
        <w:rPr>
          <w:color w:val="231F20"/>
          <w:spacing w:val="-5"/>
          <w:sz w:val="19"/>
          <w:vertAlign w:val="baseline"/>
        </w:rPr>
        <w:t> </w:t>
      </w:r>
      <w:r>
        <w:rPr>
          <w:color w:val="231F20"/>
          <w:sz w:val="19"/>
          <w:vertAlign w:val="baseline"/>
        </w:rPr>
        <w:t>with</w:t>
      </w:r>
      <w:r>
        <w:rPr>
          <w:color w:val="231F20"/>
          <w:spacing w:val="-5"/>
          <w:sz w:val="19"/>
          <w:vertAlign w:val="baseline"/>
        </w:rPr>
        <w:t> </w:t>
      </w:r>
      <w:r>
        <w:rPr>
          <w:color w:val="231F20"/>
          <w:sz w:val="19"/>
          <w:vertAlign w:val="baseline"/>
        </w:rPr>
        <w:t>no</w:t>
      </w:r>
      <w:r>
        <w:rPr>
          <w:color w:val="231F20"/>
          <w:spacing w:val="-6"/>
          <w:sz w:val="19"/>
          <w:vertAlign w:val="baseline"/>
        </w:rPr>
        <w:t> </w:t>
      </w:r>
      <w:r>
        <w:rPr>
          <w:color w:val="231F20"/>
          <w:sz w:val="19"/>
          <w:vertAlign w:val="baseline"/>
        </w:rPr>
        <w:t>sanction.</w:t>
      </w:r>
      <w:r>
        <w:rPr>
          <w:color w:val="231F20"/>
          <w:spacing w:val="-5"/>
          <w:sz w:val="19"/>
          <w:vertAlign w:val="baseline"/>
        </w:rPr>
        <w:t> </w:t>
      </w:r>
      <w:r>
        <w:rPr>
          <w:color w:val="231F20"/>
          <w:sz w:val="19"/>
          <w:vertAlign w:val="baseline"/>
        </w:rPr>
        <w:t>Hence, there</w:t>
      </w:r>
      <w:r>
        <w:rPr>
          <w:color w:val="231F20"/>
          <w:spacing w:val="-5"/>
          <w:sz w:val="19"/>
          <w:vertAlign w:val="baseline"/>
        </w:rPr>
        <w:t> </w:t>
      </w:r>
      <w:r>
        <w:rPr>
          <w:color w:val="231F20"/>
          <w:sz w:val="19"/>
          <w:vertAlign w:val="baseline"/>
        </w:rPr>
        <w:t>would</w:t>
      </w:r>
      <w:r>
        <w:rPr>
          <w:color w:val="231F20"/>
          <w:spacing w:val="-6"/>
          <w:sz w:val="19"/>
          <w:vertAlign w:val="baseline"/>
        </w:rPr>
        <w:t> </w:t>
      </w:r>
      <w:r>
        <w:rPr>
          <w:color w:val="231F20"/>
          <w:sz w:val="19"/>
          <w:vertAlign w:val="baseline"/>
        </w:rPr>
        <w:t>have</w:t>
      </w:r>
      <w:r>
        <w:rPr>
          <w:color w:val="231F20"/>
          <w:spacing w:val="-6"/>
          <w:sz w:val="19"/>
          <w:vertAlign w:val="baseline"/>
        </w:rPr>
        <w:t> </w:t>
      </w:r>
      <w:r>
        <w:rPr>
          <w:color w:val="231F20"/>
          <w:sz w:val="19"/>
          <w:vertAlign w:val="baseline"/>
        </w:rPr>
        <w:t>been</w:t>
      </w:r>
      <w:r>
        <w:rPr>
          <w:color w:val="231F20"/>
          <w:spacing w:val="-5"/>
          <w:sz w:val="19"/>
          <w:vertAlign w:val="baseline"/>
        </w:rPr>
        <w:t> </w:t>
      </w:r>
      <w:r>
        <w:rPr>
          <w:color w:val="231F20"/>
          <w:sz w:val="19"/>
          <w:vertAlign w:val="baseline"/>
        </w:rPr>
        <w:t>no</w:t>
      </w:r>
      <w:r>
        <w:rPr>
          <w:color w:val="231F20"/>
          <w:spacing w:val="-5"/>
          <w:sz w:val="19"/>
          <w:vertAlign w:val="baseline"/>
        </w:rPr>
        <w:t> </w:t>
      </w:r>
      <w:r>
        <w:rPr>
          <w:color w:val="231F20"/>
          <w:sz w:val="19"/>
          <w:vertAlign w:val="baseline"/>
        </w:rPr>
        <w:t>dissuasion.</w:t>
      </w:r>
      <w:r>
        <w:rPr>
          <w:color w:val="231F20"/>
          <w:spacing w:val="-5"/>
          <w:sz w:val="19"/>
          <w:vertAlign w:val="baseline"/>
        </w:rPr>
        <w:t> </w:t>
      </w:r>
      <w:r>
        <w:rPr>
          <w:color w:val="231F20"/>
          <w:sz w:val="19"/>
          <w:vertAlign w:val="baseline"/>
        </w:rPr>
        <w:t>Besides,</w:t>
      </w:r>
      <w:r>
        <w:rPr>
          <w:color w:val="231F20"/>
          <w:spacing w:val="-5"/>
          <w:sz w:val="19"/>
          <w:vertAlign w:val="baseline"/>
        </w:rPr>
        <w:t> </w:t>
      </w:r>
      <w:r>
        <w:rPr>
          <w:color w:val="231F20"/>
          <w:sz w:val="19"/>
          <w:vertAlign w:val="baseline"/>
        </w:rPr>
        <w:t>in</w:t>
      </w:r>
      <w:r>
        <w:rPr>
          <w:color w:val="231F20"/>
          <w:spacing w:val="-5"/>
          <w:sz w:val="19"/>
          <w:vertAlign w:val="baseline"/>
        </w:rPr>
        <w:t> </w:t>
      </w:r>
      <w:r>
        <w:rPr>
          <w:i/>
          <w:color w:val="231F20"/>
          <w:sz w:val="19"/>
          <w:vertAlign w:val="baseline"/>
        </w:rPr>
        <w:t>Escobedo</w:t>
      </w:r>
      <w:r>
        <w:rPr>
          <w:i/>
          <w:color w:val="231F20"/>
          <w:spacing w:val="-6"/>
          <w:sz w:val="19"/>
          <w:vertAlign w:val="baseline"/>
        </w:rPr>
        <w:t> </w:t>
      </w:r>
      <w:r>
        <w:rPr>
          <w:i/>
          <w:color w:val="231F20"/>
          <w:sz w:val="19"/>
          <w:vertAlign w:val="baseline"/>
        </w:rPr>
        <w:t>Cortés</w:t>
      </w:r>
      <w:r>
        <w:rPr>
          <w:color w:val="231F20"/>
          <w:sz w:val="19"/>
          <w:vertAlign w:val="baseline"/>
        </w:rPr>
        <w:t>,</w:t>
      </w:r>
      <w:r>
        <w:rPr>
          <w:color w:val="231F20"/>
          <w:spacing w:val="-5"/>
          <w:sz w:val="19"/>
          <w:vertAlign w:val="baseline"/>
        </w:rPr>
        <w:t> </w:t>
      </w:r>
      <w:r>
        <w:rPr>
          <w:color w:val="231F20"/>
          <w:sz w:val="19"/>
          <w:vertAlign w:val="baseline"/>
        </w:rPr>
        <w:t>the</w:t>
      </w:r>
      <w:r>
        <w:rPr>
          <w:color w:val="231F20"/>
          <w:spacing w:val="-5"/>
          <w:sz w:val="19"/>
          <w:vertAlign w:val="baseline"/>
        </w:rPr>
        <w:t> </w:t>
      </w:r>
      <w:r>
        <w:rPr>
          <w:color w:val="231F20"/>
          <w:sz w:val="19"/>
          <w:vertAlign w:val="baseline"/>
        </w:rPr>
        <w:t>remunera- tion under the contract was not tainted with unfairness.</w:t>
      </w:r>
    </w:p>
    <w:p>
      <w:pPr>
        <w:pStyle w:val="ListParagraph"/>
        <w:numPr>
          <w:ilvl w:val="0"/>
          <w:numId w:val="4"/>
        </w:numPr>
        <w:tabs>
          <w:tab w:pos="1428" w:val="left" w:leader="none"/>
        </w:tabs>
        <w:spacing w:line="288" w:lineRule="auto" w:before="119" w:after="0"/>
        <w:ind w:left="871" w:right="869" w:firstLine="0"/>
        <w:jc w:val="both"/>
        <w:rPr>
          <w:sz w:val="19"/>
        </w:rPr>
      </w:pPr>
      <w:r>
        <w:rPr>
          <w:color w:val="231F20"/>
          <w:sz w:val="19"/>
        </w:rPr>
        <w:t>In addition, the principle of effectiveness, which the Court also referred to in</w:t>
      </w:r>
      <w:r>
        <w:rPr>
          <w:color w:val="231F20"/>
          <w:spacing w:val="-12"/>
          <w:sz w:val="19"/>
        </w:rPr>
        <w:t> </w:t>
      </w:r>
      <w:r>
        <w:rPr>
          <w:i/>
          <w:color w:val="231F20"/>
          <w:sz w:val="19"/>
        </w:rPr>
        <w:t>Bank</w:t>
      </w:r>
      <w:r>
        <w:rPr>
          <w:i/>
          <w:color w:val="231F20"/>
          <w:spacing w:val="-11"/>
          <w:sz w:val="19"/>
        </w:rPr>
        <w:t> </w:t>
      </w:r>
      <w:r>
        <w:rPr>
          <w:i/>
          <w:color w:val="231F20"/>
          <w:sz w:val="19"/>
        </w:rPr>
        <w:t>M.</w:t>
      </w:r>
      <w:r>
        <w:rPr>
          <w:color w:val="231F20"/>
          <w:sz w:val="19"/>
        </w:rPr>
        <w:t>,</w:t>
      </w:r>
      <w:r>
        <w:rPr>
          <w:color w:val="231F20"/>
          <w:spacing w:val="-11"/>
          <w:sz w:val="19"/>
        </w:rPr>
        <w:t> </w:t>
      </w:r>
      <w:r>
        <w:rPr>
          <w:color w:val="231F20"/>
          <w:sz w:val="19"/>
        </w:rPr>
        <w:t>seems</w:t>
      </w:r>
      <w:r>
        <w:rPr>
          <w:color w:val="231F20"/>
          <w:spacing w:val="-11"/>
          <w:sz w:val="19"/>
        </w:rPr>
        <w:t> </w:t>
      </w:r>
      <w:r>
        <w:rPr>
          <w:color w:val="231F20"/>
          <w:sz w:val="19"/>
        </w:rPr>
        <w:t>to</w:t>
      </w:r>
      <w:r>
        <w:rPr>
          <w:color w:val="231F20"/>
          <w:spacing w:val="-11"/>
          <w:sz w:val="19"/>
        </w:rPr>
        <w:t> </w:t>
      </w:r>
      <w:r>
        <w:rPr>
          <w:color w:val="231F20"/>
          <w:sz w:val="19"/>
        </w:rPr>
        <w:t>have</w:t>
      </w:r>
      <w:r>
        <w:rPr>
          <w:color w:val="231F20"/>
          <w:spacing w:val="-12"/>
          <w:sz w:val="19"/>
        </w:rPr>
        <w:t> </w:t>
      </w:r>
      <w:r>
        <w:rPr>
          <w:color w:val="231F20"/>
          <w:sz w:val="19"/>
        </w:rPr>
        <w:t>added</w:t>
      </w:r>
      <w:r>
        <w:rPr>
          <w:color w:val="231F20"/>
          <w:spacing w:val="-10"/>
          <w:sz w:val="19"/>
        </w:rPr>
        <w:t> </w:t>
      </w:r>
      <w:r>
        <w:rPr>
          <w:color w:val="231F20"/>
          <w:sz w:val="19"/>
        </w:rPr>
        <w:t>to</w:t>
      </w:r>
      <w:r>
        <w:rPr>
          <w:color w:val="231F20"/>
          <w:spacing w:val="-11"/>
          <w:sz w:val="19"/>
        </w:rPr>
        <w:t> </w:t>
      </w:r>
      <w:r>
        <w:rPr>
          <w:color w:val="231F20"/>
          <w:sz w:val="19"/>
        </w:rPr>
        <w:t>the</w:t>
      </w:r>
      <w:r>
        <w:rPr>
          <w:color w:val="231F20"/>
          <w:spacing w:val="-11"/>
          <w:sz w:val="19"/>
        </w:rPr>
        <w:t> </w:t>
      </w:r>
      <w:r>
        <w:rPr>
          <w:color w:val="231F20"/>
          <w:sz w:val="19"/>
        </w:rPr>
        <w:t>equation</w:t>
      </w:r>
      <w:r>
        <w:rPr>
          <w:color w:val="231F20"/>
          <w:spacing w:val="-11"/>
          <w:sz w:val="19"/>
        </w:rPr>
        <w:t> </w:t>
      </w:r>
      <w:r>
        <w:rPr>
          <w:color w:val="231F20"/>
          <w:sz w:val="19"/>
        </w:rPr>
        <w:t>(it</w:t>
      </w:r>
      <w:r>
        <w:rPr>
          <w:color w:val="231F20"/>
          <w:spacing w:val="-11"/>
          <w:sz w:val="19"/>
        </w:rPr>
        <w:t> </w:t>
      </w:r>
      <w:r>
        <w:rPr>
          <w:color w:val="231F20"/>
          <w:sz w:val="19"/>
        </w:rPr>
        <w:t>was</w:t>
      </w:r>
      <w:r>
        <w:rPr>
          <w:color w:val="231F20"/>
          <w:spacing w:val="-11"/>
          <w:sz w:val="19"/>
        </w:rPr>
        <w:t> </w:t>
      </w:r>
      <w:r>
        <w:rPr>
          <w:color w:val="231F20"/>
          <w:sz w:val="19"/>
        </w:rPr>
        <w:t>absent</w:t>
      </w:r>
      <w:r>
        <w:rPr>
          <w:color w:val="231F20"/>
          <w:spacing w:val="-11"/>
          <w:sz w:val="19"/>
        </w:rPr>
        <w:t> </w:t>
      </w:r>
      <w:r>
        <w:rPr>
          <w:color w:val="231F20"/>
          <w:sz w:val="19"/>
        </w:rPr>
        <w:t>in</w:t>
      </w:r>
      <w:r>
        <w:rPr>
          <w:color w:val="231F20"/>
          <w:spacing w:val="-11"/>
          <w:sz w:val="19"/>
        </w:rPr>
        <w:t> </w:t>
      </w:r>
      <w:r>
        <w:rPr>
          <w:i/>
          <w:color w:val="231F20"/>
          <w:sz w:val="19"/>
        </w:rPr>
        <w:t>Escobedo</w:t>
      </w:r>
      <w:r>
        <w:rPr>
          <w:i/>
          <w:color w:val="231F20"/>
          <w:spacing w:val="-11"/>
          <w:sz w:val="19"/>
        </w:rPr>
        <w:t> </w:t>
      </w:r>
      <w:r>
        <w:rPr>
          <w:i/>
          <w:color w:val="231F20"/>
          <w:sz w:val="19"/>
        </w:rPr>
        <w:t>Cortés</w:t>
      </w:r>
      <w:r>
        <w:rPr>
          <w:i/>
          <w:color w:val="231F20"/>
          <w:sz w:val="19"/>
        </w:rPr>
        <w:t> </w:t>
      </w:r>
      <w:r>
        <w:rPr>
          <w:color w:val="231F20"/>
          <w:sz w:val="19"/>
        </w:rPr>
        <w:t>in this aspect). The ECJ refused to allow compensation to the bank following the invalidity of the contract, as it would prevent consumers from exercising their rights under Article 6(1) UCTD.</w:t>
      </w:r>
    </w:p>
    <w:p>
      <w:pPr>
        <w:pStyle w:val="ListParagraph"/>
        <w:numPr>
          <w:ilvl w:val="0"/>
          <w:numId w:val="4"/>
        </w:numPr>
        <w:tabs>
          <w:tab w:pos="1428" w:val="left" w:leader="none"/>
        </w:tabs>
        <w:spacing w:line="283" w:lineRule="auto" w:before="115" w:after="0"/>
        <w:ind w:left="871" w:right="868" w:firstLine="0"/>
        <w:jc w:val="both"/>
        <w:rPr>
          <w:sz w:val="19"/>
        </w:rPr>
      </w:pPr>
      <w:r>
        <w:rPr>
          <w:color w:val="231F20"/>
          <w:sz w:val="19"/>
        </w:rPr>
        <w:t>Following</w:t>
      </w:r>
      <w:r>
        <w:rPr>
          <w:color w:val="231F20"/>
          <w:spacing w:val="-12"/>
          <w:sz w:val="19"/>
        </w:rPr>
        <w:t> </w:t>
      </w:r>
      <w:r>
        <w:rPr>
          <w:color w:val="231F20"/>
          <w:sz w:val="19"/>
        </w:rPr>
        <w:t>Reich</w:t>
      </w:r>
      <w:r>
        <w:rPr>
          <w:rFonts w:ascii="Arial" w:hAnsi="Arial"/>
          <w:color w:val="231F20"/>
          <w:sz w:val="19"/>
        </w:rPr>
        <w:t>’</w:t>
      </w:r>
      <w:r>
        <w:rPr>
          <w:color w:val="231F20"/>
          <w:sz w:val="19"/>
        </w:rPr>
        <w:t>s</w:t>
      </w:r>
      <w:r>
        <w:rPr>
          <w:color w:val="231F20"/>
          <w:spacing w:val="-11"/>
          <w:sz w:val="19"/>
        </w:rPr>
        <w:t> </w:t>
      </w:r>
      <w:r>
        <w:rPr>
          <w:color w:val="231F20"/>
          <w:sz w:val="19"/>
        </w:rPr>
        <w:t>classification</w:t>
      </w:r>
      <w:r>
        <w:rPr>
          <w:color w:val="231F20"/>
          <w:spacing w:val="-12"/>
          <w:sz w:val="19"/>
        </w:rPr>
        <w:t> </w:t>
      </w:r>
      <w:r>
        <w:rPr>
          <w:color w:val="231F20"/>
          <w:sz w:val="19"/>
        </w:rPr>
        <w:t>of</w:t>
      </w:r>
      <w:r>
        <w:rPr>
          <w:color w:val="231F20"/>
          <w:spacing w:val="-9"/>
          <w:sz w:val="19"/>
        </w:rPr>
        <w:t> </w:t>
      </w:r>
      <w:r>
        <w:rPr>
          <w:color w:val="231F20"/>
          <w:sz w:val="19"/>
        </w:rPr>
        <w:t>the</w:t>
      </w:r>
      <w:r>
        <w:rPr>
          <w:color w:val="231F20"/>
          <w:spacing w:val="-10"/>
          <w:sz w:val="19"/>
        </w:rPr>
        <w:t> </w:t>
      </w:r>
      <w:r>
        <w:rPr>
          <w:color w:val="231F20"/>
          <w:sz w:val="19"/>
        </w:rPr>
        <w:t>functions</w:t>
      </w:r>
      <w:r>
        <w:rPr>
          <w:color w:val="231F20"/>
          <w:spacing w:val="-11"/>
          <w:sz w:val="19"/>
        </w:rPr>
        <w:t> </w:t>
      </w:r>
      <w:r>
        <w:rPr>
          <w:color w:val="231F20"/>
          <w:sz w:val="19"/>
        </w:rPr>
        <w:t>of</w:t>
      </w:r>
      <w:r>
        <w:rPr>
          <w:color w:val="231F20"/>
          <w:spacing w:val="-12"/>
          <w:sz w:val="19"/>
        </w:rPr>
        <w:t> </w:t>
      </w:r>
      <w:r>
        <w:rPr>
          <w:color w:val="231F20"/>
          <w:sz w:val="19"/>
        </w:rPr>
        <w:t>effectiveness,</w:t>
      </w:r>
      <w:r>
        <w:rPr>
          <w:color w:val="231F20"/>
          <w:sz w:val="19"/>
          <w:vertAlign w:val="superscript"/>
        </w:rPr>
        <w:t>196</w:t>
      </w:r>
      <w:r>
        <w:rPr>
          <w:color w:val="231F20"/>
          <w:spacing w:val="-10"/>
          <w:sz w:val="19"/>
          <w:vertAlign w:val="baseline"/>
        </w:rPr>
        <w:t> </w:t>
      </w:r>
      <w:r>
        <w:rPr>
          <w:color w:val="231F20"/>
          <w:sz w:val="19"/>
          <w:vertAlign w:val="baseline"/>
        </w:rPr>
        <w:t>what</w:t>
      </w:r>
      <w:r>
        <w:rPr>
          <w:color w:val="231F20"/>
          <w:spacing w:val="-11"/>
          <w:sz w:val="19"/>
          <w:vertAlign w:val="baseline"/>
        </w:rPr>
        <w:t> </w:t>
      </w:r>
      <w:r>
        <w:rPr>
          <w:color w:val="231F20"/>
          <w:sz w:val="19"/>
          <w:vertAlign w:val="baseline"/>
        </w:rPr>
        <w:t>the Court</w:t>
      </w:r>
      <w:r>
        <w:rPr>
          <w:color w:val="231F20"/>
          <w:spacing w:val="4"/>
          <w:sz w:val="19"/>
          <w:vertAlign w:val="baseline"/>
        </w:rPr>
        <w:t> </w:t>
      </w:r>
      <w:r>
        <w:rPr>
          <w:color w:val="231F20"/>
          <w:sz w:val="19"/>
          <w:vertAlign w:val="baseline"/>
        </w:rPr>
        <w:t>did</w:t>
      </w:r>
      <w:r>
        <w:rPr>
          <w:color w:val="231F20"/>
          <w:spacing w:val="4"/>
          <w:sz w:val="19"/>
          <w:vertAlign w:val="baseline"/>
        </w:rPr>
        <w:t> </w:t>
      </w:r>
      <w:r>
        <w:rPr>
          <w:color w:val="231F20"/>
          <w:sz w:val="19"/>
          <w:vertAlign w:val="baseline"/>
        </w:rPr>
        <w:t>in</w:t>
      </w:r>
      <w:r>
        <w:rPr>
          <w:color w:val="231F20"/>
          <w:spacing w:val="5"/>
          <w:sz w:val="19"/>
          <w:vertAlign w:val="baseline"/>
        </w:rPr>
        <w:t> </w:t>
      </w:r>
      <w:r>
        <w:rPr>
          <w:i/>
          <w:color w:val="231F20"/>
          <w:sz w:val="19"/>
          <w:vertAlign w:val="baseline"/>
        </w:rPr>
        <w:t>Bank</w:t>
      </w:r>
      <w:r>
        <w:rPr>
          <w:i/>
          <w:color w:val="231F20"/>
          <w:spacing w:val="4"/>
          <w:sz w:val="19"/>
          <w:vertAlign w:val="baseline"/>
        </w:rPr>
        <w:t> </w:t>
      </w:r>
      <w:r>
        <w:rPr>
          <w:i/>
          <w:color w:val="231F20"/>
          <w:sz w:val="19"/>
          <w:vertAlign w:val="baseline"/>
        </w:rPr>
        <w:t>M.</w:t>
      </w:r>
      <w:r>
        <w:rPr>
          <w:i/>
          <w:color w:val="231F20"/>
          <w:spacing w:val="6"/>
          <w:sz w:val="19"/>
          <w:vertAlign w:val="baseline"/>
        </w:rPr>
        <w:t> </w:t>
      </w:r>
      <w:r>
        <w:rPr>
          <w:color w:val="231F20"/>
          <w:sz w:val="19"/>
          <w:vertAlign w:val="baseline"/>
        </w:rPr>
        <w:t>points</w:t>
      </w:r>
      <w:r>
        <w:rPr>
          <w:color w:val="231F20"/>
          <w:spacing w:val="4"/>
          <w:sz w:val="19"/>
          <w:vertAlign w:val="baseline"/>
        </w:rPr>
        <w:t> </w:t>
      </w:r>
      <w:r>
        <w:rPr>
          <w:color w:val="231F20"/>
          <w:sz w:val="19"/>
          <w:vertAlign w:val="baseline"/>
        </w:rPr>
        <w:t>to</w:t>
      </w:r>
      <w:r>
        <w:rPr>
          <w:color w:val="231F20"/>
          <w:spacing w:val="3"/>
          <w:sz w:val="19"/>
          <w:vertAlign w:val="baseline"/>
        </w:rPr>
        <w:t> </w:t>
      </w:r>
      <w:r>
        <w:rPr>
          <w:color w:val="231F20"/>
          <w:sz w:val="19"/>
          <w:vertAlign w:val="baseline"/>
        </w:rPr>
        <w:t>its</w:t>
      </w:r>
      <w:r>
        <w:rPr>
          <w:color w:val="231F20"/>
          <w:spacing w:val="5"/>
          <w:sz w:val="19"/>
          <w:vertAlign w:val="baseline"/>
        </w:rPr>
        <w:t> </w:t>
      </w:r>
      <w:r>
        <w:rPr>
          <w:color w:val="231F20"/>
          <w:sz w:val="19"/>
          <w:vertAlign w:val="baseline"/>
        </w:rPr>
        <w:t>use</w:t>
      </w:r>
      <w:r>
        <w:rPr>
          <w:color w:val="231F20"/>
          <w:spacing w:val="5"/>
          <w:sz w:val="19"/>
          <w:vertAlign w:val="baseline"/>
        </w:rPr>
        <w:t> </w:t>
      </w:r>
      <w:r>
        <w:rPr>
          <w:color w:val="231F20"/>
          <w:sz w:val="19"/>
          <w:vertAlign w:val="baseline"/>
        </w:rPr>
        <w:t>as</w:t>
      </w:r>
      <w:r>
        <w:rPr>
          <w:color w:val="231F20"/>
          <w:spacing w:val="4"/>
          <w:sz w:val="19"/>
          <w:vertAlign w:val="baseline"/>
        </w:rPr>
        <w:t> </w:t>
      </w:r>
      <w:r>
        <w:rPr>
          <w:color w:val="231F20"/>
          <w:sz w:val="19"/>
          <w:vertAlign w:val="baseline"/>
        </w:rPr>
        <w:t>an</w:t>
      </w:r>
      <w:r>
        <w:rPr>
          <w:color w:val="231F20"/>
          <w:spacing w:val="4"/>
          <w:sz w:val="19"/>
          <w:vertAlign w:val="baseline"/>
        </w:rPr>
        <w:t> </w:t>
      </w:r>
      <w:r>
        <w:rPr>
          <w:rFonts w:ascii="Arial" w:hAnsi="Arial"/>
          <w:color w:val="231F20"/>
          <w:sz w:val="19"/>
          <w:vertAlign w:val="baseline"/>
        </w:rPr>
        <w:t>‘</w:t>
      </w:r>
      <w:r>
        <w:rPr>
          <w:color w:val="231F20"/>
          <w:sz w:val="19"/>
          <w:vertAlign w:val="baseline"/>
        </w:rPr>
        <w:t>elimination</w:t>
      </w:r>
      <w:r>
        <w:rPr>
          <w:color w:val="231F20"/>
          <w:spacing w:val="4"/>
          <w:sz w:val="19"/>
          <w:vertAlign w:val="baseline"/>
        </w:rPr>
        <w:t> </w:t>
      </w:r>
      <w:r>
        <w:rPr>
          <w:color w:val="231F20"/>
          <w:sz w:val="19"/>
          <w:vertAlign w:val="baseline"/>
        </w:rPr>
        <w:t>rule</w:t>
      </w:r>
      <w:r>
        <w:rPr>
          <w:rFonts w:ascii="Arial" w:hAnsi="Arial"/>
          <w:color w:val="231F20"/>
          <w:sz w:val="19"/>
          <w:vertAlign w:val="baseline"/>
        </w:rPr>
        <w:t>’</w:t>
      </w:r>
      <w:r>
        <w:rPr>
          <w:color w:val="231F20"/>
          <w:sz w:val="19"/>
          <w:vertAlign w:val="baseline"/>
        </w:rPr>
        <w:t>.</w:t>
      </w:r>
      <w:r>
        <w:rPr>
          <w:color w:val="231F20"/>
          <w:sz w:val="19"/>
          <w:vertAlign w:val="superscript"/>
        </w:rPr>
        <w:t>197</w:t>
      </w:r>
      <w:r>
        <w:rPr>
          <w:color w:val="231F20"/>
          <w:spacing w:val="4"/>
          <w:sz w:val="19"/>
          <w:vertAlign w:val="baseline"/>
        </w:rPr>
        <w:t> </w:t>
      </w:r>
      <w:r>
        <w:rPr>
          <w:color w:val="231F20"/>
          <w:sz w:val="19"/>
          <w:vertAlign w:val="baseline"/>
        </w:rPr>
        <w:t>If</w:t>
      </w:r>
      <w:r>
        <w:rPr>
          <w:color w:val="231F20"/>
          <w:spacing w:val="4"/>
          <w:sz w:val="19"/>
          <w:vertAlign w:val="baseline"/>
        </w:rPr>
        <w:t> </w:t>
      </w:r>
      <w:r>
        <w:rPr>
          <w:color w:val="231F20"/>
          <w:sz w:val="19"/>
          <w:vertAlign w:val="baseline"/>
        </w:rPr>
        <w:t>a</w:t>
      </w:r>
      <w:r>
        <w:rPr>
          <w:color w:val="231F20"/>
          <w:spacing w:val="5"/>
          <w:sz w:val="19"/>
          <w:vertAlign w:val="baseline"/>
        </w:rPr>
        <w:t> </w:t>
      </w:r>
      <w:r>
        <w:rPr>
          <w:color w:val="231F20"/>
          <w:sz w:val="19"/>
          <w:vertAlign w:val="baseline"/>
        </w:rPr>
        <w:t>national</w:t>
      </w:r>
      <w:r>
        <w:rPr>
          <w:color w:val="231F20"/>
          <w:spacing w:val="5"/>
          <w:sz w:val="19"/>
          <w:vertAlign w:val="baseline"/>
        </w:rPr>
        <w:t> </w:t>
      </w:r>
      <w:r>
        <w:rPr>
          <w:color w:val="231F20"/>
          <w:spacing w:val="-5"/>
          <w:sz w:val="19"/>
          <w:vertAlign w:val="baseline"/>
        </w:rPr>
        <w:t>law</w:t>
      </w:r>
    </w:p>
    <w:p>
      <w:pPr>
        <w:pStyle w:val="BodyText"/>
        <w:spacing w:before="157"/>
        <w:rPr>
          <w:sz w:val="20"/>
        </w:rPr>
      </w:pPr>
      <w:r>
        <w:rPr/>
        <mc:AlternateContent>
          <mc:Choice Requires="wps">
            <w:drawing>
              <wp:anchor distT="0" distB="0" distL="0" distR="0" allowOverlap="1" layoutInCell="1" locked="0" behindDoc="1" simplePos="0" relativeHeight="487604736">
                <wp:simplePos x="0" y="0"/>
                <wp:positionH relativeFrom="page">
                  <wp:posOffset>1979993</wp:posOffset>
                </wp:positionH>
                <wp:positionV relativeFrom="paragraph">
                  <wp:posOffset>259299</wp:posOffset>
                </wp:positionV>
                <wp:extent cx="1656080" cy="4445"/>
                <wp:effectExtent l="0" t="0" r="0" b="0"/>
                <wp:wrapTopAndBottom/>
                <wp:docPr id="36" name="Graphic 36"/>
                <wp:cNvGraphicFramePr>
                  <a:graphicFrameLocks/>
                </wp:cNvGraphicFramePr>
                <a:graphic>
                  <a:graphicData uri="http://schemas.microsoft.com/office/word/2010/wordprocessingShape">
                    <wps:wsp>
                      <wps:cNvPr id="36" name="Graphic 36"/>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20.417322pt;width:130.394pt;height:.34015pt;mso-position-horizontal-relative:page;mso-position-vertical-relative:paragraph;z-index:-15711744;mso-wrap-distance-left:0;mso-wrap-distance-right:0" id="docshape36"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6" w:val="left" w:leader="none"/>
        </w:tabs>
        <w:spacing w:line="290" w:lineRule="auto" w:before="0" w:after="0"/>
        <w:ind w:left="866" w:right="869" w:hanging="354"/>
        <w:jc w:val="both"/>
        <w:rPr>
          <w:sz w:val="16"/>
        </w:rPr>
      </w:pPr>
      <w:r>
        <w:rPr>
          <w:color w:val="231F20"/>
          <w:sz w:val="16"/>
        </w:rPr>
        <w:t>ECJ</w:t>
      </w:r>
      <w:r>
        <w:rPr>
          <w:color w:val="231F20"/>
          <w:spacing w:val="-6"/>
          <w:sz w:val="16"/>
        </w:rPr>
        <w:t> </w:t>
      </w:r>
      <w:r>
        <w:rPr>
          <w:color w:val="231F20"/>
          <w:sz w:val="16"/>
        </w:rPr>
        <w:t>15</w:t>
      </w:r>
      <w:r>
        <w:rPr>
          <w:color w:val="231F20"/>
          <w:spacing w:val="-6"/>
          <w:sz w:val="16"/>
        </w:rPr>
        <w:t> </w:t>
      </w:r>
      <w:r>
        <w:rPr>
          <w:color w:val="231F20"/>
          <w:sz w:val="16"/>
        </w:rPr>
        <w:t>Jun.</w:t>
      </w:r>
      <w:r>
        <w:rPr>
          <w:color w:val="231F20"/>
          <w:spacing w:val="-6"/>
          <w:sz w:val="16"/>
        </w:rPr>
        <w:t> </w:t>
      </w:r>
      <w:r>
        <w:rPr>
          <w:color w:val="231F20"/>
          <w:sz w:val="16"/>
        </w:rPr>
        <w:t>2023,</w:t>
      </w:r>
      <w:r>
        <w:rPr>
          <w:color w:val="231F20"/>
          <w:spacing w:val="-6"/>
          <w:sz w:val="16"/>
        </w:rPr>
        <w:t> </w:t>
      </w:r>
      <w:r>
        <w:rPr>
          <w:color w:val="231F20"/>
          <w:sz w:val="16"/>
        </w:rPr>
        <w:t>ECLI:EU:C:2023:478,</w:t>
      </w:r>
      <w:r>
        <w:rPr>
          <w:color w:val="231F20"/>
          <w:spacing w:val="-7"/>
          <w:sz w:val="16"/>
        </w:rPr>
        <w:t> </w:t>
      </w:r>
      <w:r>
        <w:rPr>
          <w:i/>
          <w:color w:val="231F20"/>
          <w:sz w:val="16"/>
        </w:rPr>
        <w:t>Bank</w:t>
      </w:r>
      <w:r>
        <w:rPr>
          <w:i/>
          <w:color w:val="231F20"/>
          <w:spacing w:val="-6"/>
          <w:sz w:val="16"/>
        </w:rPr>
        <w:t> </w:t>
      </w:r>
      <w:r>
        <w:rPr>
          <w:i/>
          <w:color w:val="231F20"/>
          <w:sz w:val="16"/>
        </w:rPr>
        <w:t>M.</w:t>
      </w:r>
      <w:r>
        <w:rPr>
          <w:color w:val="231F20"/>
          <w:sz w:val="16"/>
        </w:rPr>
        <w:t>,</w:t>
      </w:r>
      <w:r>
        <w:rPr>
          <w:color w:val="231F20"/>
          <w:spacing w:val="-6"/>
          <w:sz w:val="16"/>
        </w:rPr>
        <w:t> </w:t>
      </w:r>
      <w:r>
        <w:rPr>
          <w:color w:val="231F20"/>
          <w:sz w:val="16"/>
        </w:rPr>
        <w:t>para.</w:t>
      </w:r>
      <w:r>
        <w:rPr>
          <w:color w:val="231F20"/>
          <w:spacing w:val="-6"/>
          <w:sz w:val="16"/>
        </w:rPr>
        <w:t> </w:t>
      </w:r>
      <w:r>
        <w:rPr>
          <w:color w:val="231F20"/>
          <w:sz w:val="16"/>
        </w:rPr>
        <w:t>78.</w:t>
      </w:r>
      <w:r>
        <w:rPr>
          <w:color w:val="231F20"/>
          <w:spacing w:val="-6"/>
          <w:sz w:val="16"/>
        </w:rPr>
        <w:t> </w:t>
      </w:r>
      <w:r>
        <w:rPr>
          <w:color w:val="231F20"/>
          <w:sz w:val="16"/>
        </w:rPr>
        <w:t>This</w:t>
      </w:r>
      <w:r>
        <w:rPr>
          <w:color w:val="231F20"/>
          <w:spacing w:val="-6"/>
          <w:sz w:val="16"/>
        </w:rPr>
        <w:t> </w:t>
      </w:r>
      <w:r>
        <w:rPr>
          <w:color w:val="231F20"/>
          <w:sz w:val="16"/>
        </w:rPr>
        <w:t>argument</w:t>
      </w:r>
      <w:r>
        <w:rPr>
          <w:color w:val="231F20"/>
          <w:spacing w:val="-6"/>
          <w:sz w:val="16"/>
        </w:rPr>
        <w:t> </w:t>
      </w:r>
      <w:r>
        <w:rPr>
          <w:color w:val="231F20"/>
          <w:sz w:val="16"/>
        </w:rPr>
        <w:t>was</w:t>
      </w:r>
      <w:r>
        <w:rPr>
          <w:color w:val="231F20"/>
          <w:spacing w:val="-6"/>
          <w:sz w:val="16"/>
        </w:rPr>
        <w:t> </w:t>
      </w:r>
      <w:r>
        <w:rPr>
          <w:color w:val="231F20"/>
          <w:sz w:val="16"/>
        </w:rPr>
        <w:t>reiterated</w:t>
      </w:r>
      <w:r>
        <w:rPr>
          <w:color w:val="231F20"/>
          <w:spacing w:val="-6"/>
          <w:sz w:val="16"/>
        </w:rPr>
        <w:t> </w:t>
      </w:r>
      <w:r>
        <w:rPr>
          <w:color w:val="231F20"/>
          <w:sz w:val="16"/>
        </w:rPr>
        <w:t>in</w:t>
      </w:r>
      <w:r>
        <w:rPr>
          <w:color w:val="231F20"/>
          <w:spacing w:val="-6"/>
          <w:sz w:val="16"/>
        </w:rPr>
        <w:t> </w:t>
      </w:r>
      <w:r>
        <w:rPr>
          <w:color w:val="231F20"/>
          <w:sz w:val="16"/>
        </w:rPr>
        <w:t>ECJ</w:t>
      </w:r>
      <w:r>
        <w:rPr>
          <w:color w:val="231F20"/>
          <w:spacing w:val="40"/>
          <w:sz w:val="16"/>
        </w:rPr>
        <w:t> </w:t>
      </w:r>
      <w:r>
        <w:rPr>
          <w:color w:val="231F20"/>
          <w:sz w:val="16"/>
        </w:rPr>
        <w:t>7 Dec. 2023, ECLI:EU:C:2023:965, </w:t>
      </w:r>
      <w:r>
        <w:rPr>
          <w:i/>
          <w:color w:val="231F20"/>
          <w:sz w:val="16"/>
        </w:rPr>
        <w:t>mBank (Déclaration du consommateur)</w:t>
      </w:r>
      <w:r>
        <w:rPr>
          <w:color w:val="231F20"/>
          <w:sz w:val="16"/>
        </w:rPr>
        <w:t>, curia.europa.eu/</w:t>
      </w:r>
      <w:r>
        <w:rPr>
          <w:color w:val="231F20"/>
          <w:spacing w:val="40"/>
          <w:sz w:val="16"/>
        </w:rPr>
        <w:t> </w:t>
      </w:r>
      <w:r>
        <w:rPr>
          <w:color w:val="231F20"/>
          <w:sz w:val="16"/>
        </w:rPr>
        <w:t>juris/liste.jsf?num=C-140/22, para. 63.</w:t>
      </w:r>
    </w:p>
    <w:p>
      <w:pPr>
        <w:pStyle w:val="ListParagraph"/>
        <w:numPr>
          <w:ilvl w:val="0"/>
          <w:numId w:val="3"/>
        </w:numPr>
        <w:tabs>
          <w:tab w:pos="865" w:val="left" w:leader="none"/>
        </w:tabs>
        <w:spacing w:line="179" w:lineRule="exact" w:before="0" w:after="0"/>
        <w:ind w:left="865" w:right="0" w:hanging="353"/>
        <w:jc w:val="both"/>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79.</w:t>
      </w:r>
    </w:p>
    <w:p>
      <w:pPr>
        <w:pStyle w:val="ListParagraph"/>
        <w:numPr>
          <w:ilvl w:val="0"/>
          <w:numId w:val="3"/>
        </w:numPr>
        <w:tabs>
          <w:tab w:pos="865" w:val="left" w:leader="none"/>
        </w:tabs>
        <w:spacing w:line="240" w:lineRule="auto" w:before="37" w:after="0"/>
        <w:ind w:left="865" w:right="0" w:hanging="353"/>
        <w:jc w:val="both"/>
        <w:rPr>
          <w:sz w:val="16"/>
        </w:rPr>
      </w:pPr>
      <w:r>
        <w:rPr>
          <w:color w:val="231F20"/>
          <w:sz w:val="16"/>
        </w:rPr>
        <w:t>Opinion</w:t>
      </w:r>
      <w:r>
        <w:rPr>
          <w:color w:val="231F20"/>
          <w:spacing w:val="5"/>
          <w:sz w:val="16"/>
        </w:rPr>
        <w:t> </w:t>
      </w:r>
      <w:r>
        <w:rPr>
          <w:color w:val="231F20"/>
          <w:sz w:val="16"/>
        </w:rPr>
        <w:t>of</w:t>
      </w:r>
      <w:r>
        <w:rPr>
          <w:color w:val="231F20"/>
          <w:spacing w:val="6"/>
          <w:sz w:val="16"/>
        </w:rPr>
        <w:t> </w:t>
      </w:r>
      <w:r>
        <w:rPr>
          <w:color w:val="231F20"/>
          <w:sz w:val="16"/>
        </w:rPr>
        <w:t>AG</w:t>
      </w:r>
      <w:r>
        <w:rPr>
          <w:color w:val="231F20"/>
          <w:spacing w:val="6"/>
          <w:sz w:val="16"/>
        </w:rPr>
        <w:t> </w:t>
      </w:r>
      <w:r>
        <w:rPr>
          <w:color w:val="231F20"/>
          <w:sz w:val="16"/>
        </w:rPr>
        <w:t>C</w:t>
      </w:r>
      <w:r>
        <w:rPr>
          <w:color w:val="231F20"/>
          <w:sz w:val="11"/>
        </w:rPr>
        <w:t>OLLINS</w:t>
      </w:r>
      <w:r>
        <w:rPr>
          <w:color w:val="231F20"/>
          <w:spacing w:val="18"/>
          <w:sz w:val="11"/>
        </w:rPr>
        <w:t> </w:t>
      </w:r>
      <w:r>
        <w:rPr>
          <w:color w:val="231F20"/>
          <w:sz w:val="16"/>
        </w:rPr>
        <w:t>16</w:t>
      </w:r>
      <w:r>
        <w:rPr>
          <w:color w:val="231F20"/>
          <w:spacing w:val="5"/>
          <w:sz w:val="16"/>
        </w:rPr>
        <w:t> </w:t>
      </w:r>
      <w:r>
        <w:rPr>
          <w:color w:val="231F20"/>
          <w:sz w:val="16"/>
        </w:rPr>
        <w:t>Feb.</w:t>
      </w:r>
      <w:r>
        <w:rPr>
          <w:color w:val="231F20"/>
          <w:spacing w:val="7"/>
          <w:sz w:val="16"/>
        </w:rPr>
        <w:t> </w:t>
      </w:r>
      <w:r>
        <w:rPr>
          <w:color w:val="231F20"/>
          <w:sz w:val="16"/>
        </w:rPr>
        <w:t>2023,</w:t>
      </w:r>
      <w:r>
        <w:rPr>
          <w:color w:val="231F20"/>
          <w:spacing w:val="6"/>
          <w:sz w:val="16"/>
        </w:rPr>
        <w:t> </w:t>
      </w:r>
      <w:r>
        <w:rPr>
          <w:color w:val="231F20"/>
          <w:sz w:val="16"/>
        </w:rPr>
        <w:t>ECLI:EU:C:2023:120,</w:t>
      </w:r>
      <w:r>
        <w:rPr>
          <w:color w:val="231F20"/>
          <w:spacing w:val="6"/>
          <w:sz w:val="16"/>
        </w:rPr>
        <w:t> </w:t>
      </w:r>
      <w:r>
        <w:rPr>
          <w:i/>
          <w:color w:val="231F20"/>
          <w:sz w:val="16"/>
        </w:rPr>
        <w:t>Bank</w:t>
      </w:r>
      <w:r>
        <w:rPr>
          <w:i/>
          <w:color w:val="231F20"/>
          <w:spacing w:val="6"/>
          <w:sz w:val="16"/>
        </w:rPr>
        <w:t> </w:t>
      </w:r>
      <w:r>
        <w:rPr>
          <w:i/>
          <w:color w:val="231F20"/>
          <w:sz w:val="16"/>
        </w:rPr>
        <w:t>M.</w:t>
      </w:r>
      <w:r>
        <w:rPr>
          <w:color w:val="231F20"/>
          <w:sz w:val="16"/>
        </w:rPr>
        <w:t>,</w:t>
      </w:r>
      <w:r>
        <w:rPr>
          <w:color w:val="231F20"/>
          <w:spacing w:val="5"/>
          <w:sz w:val="16"/>
        </w:rPr>
        <w:t> </w:t>
      </w:r>
      <w:r>
        <w:rPr>
          <w:color w:val="231F20"/>
          <w:sz w:val="16"/>
        </w:rPr>
        <w:t>para.</w:t>
      </w:r>
      <w:r>
        <w:rPr>
          <w:color w:val="231F20"/>
          <w:spacing w:val="6"/>
          <w:sz w:val="16"/>
        </w:rPr>
        <w:t> </w:t>
      </w:r>
      <w:r>
        <w:rPr>
          <w:color w:val="231F20"/>
          <w:spacing w:val="-5"/>
          <w:sz w:val="16"/>
        </w:rPr>
        <w:t>61.</w:t>
      </w:r>
    </w:p>
    <w:p>
      <w:pPr>
        <w:pStyle w:val="ListParagraph"/>
        <w:numPr>
          <w:ilvl w:val="0"/>
          <w:numId w:val="3"/>
        </w:numPr>
        <w:tabs>
          <w:tab w:pos="865" w:val="left" w:leader="none"/>
        </w:tabs>
        <w:spacing w:line="240" w:lineRule="auto" w:before="36"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79.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80.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9</w:t>
      </w:r>
      <w:r>
        <w:rPr>
          <w:color w:val="231F20"/>
          <w:spacing w:val="-4"/>
          <w:sz w:val="16"/>
        </w:rPr>
        <w:t> </w:t>
      </w:r>
      <w:r>
        <w:rPr>
          <w:color w:val="231F20"/>
          <w:sz w:val="16"/>
        </w:rPr>
        <w:t>Nov.</w:t>
      </w:r>
      <w:r>
        <w:rPr>
          <w:color w:val="231F20"/>
          <w:spacing w:val="-3"/>
          <w:sz w:val="16"/>
        </w:rPr>
        <w:t> </w:t>
      </w:r>
      <w:r>
        <w:rPr>
          <w:color w:val="231F20"/>
          <w:sz w:val="16"/>
        </w:rPr>
        <w:t>2016,</w:t>
      </w:r>
      <w:r>
        <w:rPr>
          <w:color w:val="231F20"/>
          <w:spacing w:val="-4"/>
          <w:sz w:val="16"/>
        </w:rPr>
        <w:t> </w:t>
      </w:r>
      <w:r>
        <w:rPr>
          <w:color w:val="231F20"/>
          <w:sz w:val="16"/>
        </w:rPr>
        <w:t>ECLI:EU:C:2016:842,</w:t>
      </w:r>
      <w:r>
        <w:rPr>
          <w:color w:val="231F20"/>
          <w:spacing w:val="-4"/>
          <w:sz w:val="16"/>
        </w:rPr>
        <w:t> </w:t>
      </w:r>
      <w:r>
        <w:rPr>
          <w:i/>
          <w:color w:val="231F20"/>
          <w:sz w:val="16"/>
        </w:rPr>
        <w:t>Home</w:t>
      </w:r>
      <w:r>
        <w:rPr>
          <w:i/>
          <w:color w:val="231F20"/>
          <w:spacing w:val="-4"/>
          <w:sz w:val="16"/>
        </w:rPr>
        <w:t> </w:t>
      </w:r>
      <w:r>
        <w:rPr>
          <w:i/>
          <w:color w:val="231F20"/>
          <w:sz w:val="16"/>
        </w:rPr>
        <w:t>Credit</w:t>
      </w:r>
      <w:r>
        <w:rPr>
          <w:i/>
          <w:color w:val="231F20"/>
          <w:spacing w:val="-2"/>
          <w:sz w:val="16"/>
        </w:rPr>
        <w:t> </w:t>
      </w:r>
      <w:r>
        <w:rPr>
          <w:i/>
          <w:color w:val="231F20"/>
          <w:sz w:val="16"/>
        </w:rPr>
        <w:t>Slovakia</w:t>
      </w:r>
      <w:r>
        <w:rPr>
          <w:color w:val="231F20"/>
          <w:sz w:val="16"/>
        </w:rPr>
        <w:t>,</w:t>
      </w:r>
      <w:r>
        <w:rPr>
          <w:color w:val="231F20"/>
          <w:spacing w:val="-5"/>
          <w:sz w:val="16"/>
        </w:rPr>
        <w:t> </w:t>
      </w:r>
      <w:r>
        <w:rPr>
          <w:color w:val="231F20"/>
          <w:sz w:val="16"/>
        </w:rPr>
        <w:t>para.</w:t>
      </w:r>
      <w:r>
        <w:rPr>
          <w:color w:val="231F20"/>
          <w:spacing w:val="-4"/>
          <w:sz w:val="16"/>
        </w:rPr>
        <w:t> </w:t>
      </w:r>
      <w:r>
        <w:rPr>
          <w:color w:val="231F20"/>
          <w:spacing w:val="-5"/>
          <w:sz w:val="16"/>
        </w:rPr>
        <w:t>71.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4"/>
          <w:sz w:val="16"/>
        </w:rPr>
        <w:t>5.3.</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N.</w:t>
      </w:r>
      <w:r>
        <w:rPr>
          <w:color w:val="231F20"/>
          <w:spacing w:val="3"/>
          <w:sz w:val="16"/>
        </w:rPr>
        <w:t> </w:t>
      </w:r>
      <w:r>
        <w:rPr>
          <w:color w:val="231F20"/>
          <w:spacing w:val="-2"/>
          <w:sz w:val="16"/>
        </w:rPr>
        <w:t>R</w:t>
      </w:r>
      <w:r>
        <w:rPr>
          <w:color w:val="231F20"/>
          <w:spacing w:val="-2"/>
          <w:sz w:val="11"/>
        </w:rPr>
        <w:t>EICH</w:t>
      </w:r>
      <w:r>
        <w:rPr>
          <w:color w:val="231F20"/>
          <w:spacing w:val="-2"/>
          <w:sz w:val="16"/>
        </w:rPr>
        <w:t>,</w:t>
      </w:r>
      <w:r>
        <w:rPr>
          <w:color w:val="231F20"/>
          <w:spacing w:val="3"/>
          <w:sz w:val="16"/>
        </w:rPr>
        <w:t> </w:t>
      </w:r>
      <w:r>
        <w:rPr>
          <w:i/>
          <w:color w:val="231F20"/>
          <w:spacing w:val="-2"/>
          <w:sz w:val="16"/>
        </w:rPr>
        <w:t>General</w:t>
      </w:r>
      <w:r>
        <w:rPr>
          <w:i/>
          <w:color w:val="231F20"/>
          <w:spacing w:val="4"/>
          <w:sz w:val="16"/>
        </w:rPr>
        <w:t> </w:t>
      </w:r>
      <w:r>
        <w:rPr>
          <w:i/>
          <w:color w:val="231F20"/>
          <w:spacing w:val="-2"/>
          <w:sz w:val="16"/>
        </w:rPr>
        <w:t>Principles</w:t>
      </w:r>
      <w:r>
        <w:rPr>
          <w:color w:val="231F20"/>
          <w:spacing w:val="-2"/>
          <w:sz w:val="16"/>
        </w:rPr>
        <w:t>,</w:t>
      </w:r>
      <w:r>
        <w:rPr>
          <w:color w:val="231F20"/>
          <w:spacing w:val="3"/>
          <w:sz w:val="16"/>
        </w:rPr>
        <w:t> </w:t>
      </w:r>
      <w:r>
        <w:rPr>
          <w:color w:val="231F20"/>
          <w:spacing w:val="-2"/>
          <w:sz w:val="16"/>
        </w:rPr>
        <w:t>p</w:t>
      </w:r>
      <w:r>
        <w:rPr>
          <w:color w:val="231F20"/>
          <w:spacing w:val="3"/>
          <w:sz w:val="16"/>
        </w:rPr>
        <w:t> </w:t>
      </w:r>
      <w:r>
        <w:rPr>
          <w:color w:val="231F20"/>
          <w:spacing w:val="-5"/>
          <w:sz w:val="16"/>
        </w:rPr>
        <w:t>91.</w:t>
      </w:r>
    </w:p>
    <w:p>
      <w:pPr>
        <w:pStyle w:val="ListParagraph"/>
        <w:numPr>
          <w:ilvl w:val="0"/>
          <w:numId w:val="3"/>
        </w:numPr>
        <w:tabs>
          <w:tab w:pos="865" w:val="left" w:leader="none"/>
        </w:tabs>
        <w:spacing w:line="240" w:lineRule="auto" w:before="34" w:after="0"/>
        <w:ind w:left="865" w:right="0" w:hanging="353"/>
        <w:jc w:val="left"/>
        <w:rPr>
          <w:sz w:val="16"/>
        </w:rPr>
      </w:pPr>
      <w:r>
        <w:rPr>
          <w:color w:val="231F20"/>
          <w:spacing w:val="-2"/>
          <w:sz w:val="16"/>
        </w:rPr>
        <w:t>N.</w:t>
      </w:r>
      <w:r>
        <w:rPr>
          <w:color w:val="231F20"/>
          <w:spacing w:val="3"/>
          <w:sz w:val="16"/>
        </w:rPr>
        <w:t> </w:t>
      </w:r>
      <w:r>
        <w:rPr>
          <w:color w:val="231F20"/>
          <w:spacing w:val="-2"/>
          <w:sz w:val="16"/>
        </w:rPr>
        <w:t>R</w:t>
      </w:r>
      <w:r>
        <w:rPr>
          <w:color w:val="231F20"/>
          <w:spacing w:val="-2"/>
          <w:sz w:val="11"/>
        </w:rPr>
        <w:t>EICH</w:t>
      </w:r>
      <w:r>
        <w:rPr>
          <w:color w:val="231F20"/>
          <w:spacing w:val="-2"/>
          <w:sz w:val="16"/>
        </w:rPr>
        <w:t>,</w:t>
      </w:r>
      <w:r>
        <w:rPr>
          <w:color w:val="231F20"/>
          <w:spacing w:val="3"/>
          <w:sz w:val="16"/>
        </w:rPr>
        <w:t> </w:t>
      </w:r>
      <w:r>
        <w:rPr>
          <w:i/>
          <w:color w:val="231F20"/>
          <w:spacing w:val="-2"/>
          <w:sz w:val="16"/>
        </w:rPr>
        <w:t>General</w:t>
      </w:r>
      <w:r>
        <w:rPr>
          <w:i/>
          <w:color w:val="231F20"/>
          <w:spacing w:val="3"/>
          <w:sz w:val="16"/>
        </w:rPr>
        <w:t> </w:t>
      </w:r>
      <w:r>
        <w:rPr>
          <w:i/>
          <w:color w:val="231F20"/>
          <w:spacing w:val="-2"/>
          <w:sz w:val="16"/>
        </w:rPr>
        <w:t>Principles</w:t>
      </w:r>
      <w:r>
        <w:rPr>
          <w:color w:val="231F20"/>
          <w:spacing w:val="-2"/>
          <w:sz w:val="16"/>
        </w:rPr>
        <w:t>,</w:t>
      </w:r>
      <w:r>
        <w:rPr>
          <w:color w:val="231F20"/>
          <w:spacing w:val="2"/>
          <w:sz w:val="16"/>
        </w:rPr>
        <w:t> </w:t>
      </w:r>
      <w:r>
        <w:rPr>
          <w:color w:val="231F20"/>
          <w:spacing w:val="-2"/>
          <w:sz w:val="16"/>
        </w:rPr>
        <w:t>pp</w:t>
      </w:r>
      <w:r>
        <w:rPr>
          <w:color w:val="231F20"/>
          <w:spacing w:val="3"/>
          <w:sz w:val="16"/>
        </w:rPr>
        <w:t> </w:t>
      </w:r>
      <w:r>
        <w:rPr>
          <w:color w:val="231F20"/>
          <w:spacing w:val="-2"/>
          <w:sz w:val="16"/>
        </w:rPr>
        <w:t>91</w:t>
      </w:r>
      <w:r>
        <w:rPr>
          <w:rFonts w:ascii="Arial" w:hAnsi="Arial"/>
          <w:color w:val="231F20"/>
          <w:spacing w:val="-2"/>
          <w:sz w:val="16"/>
        </w:rPr>
        <w:t>–</w:t>
      </w:r>
      <w:r>
        <w:rPr>
          <w:color w:val="231F20"/>
          <w:spacing w:val="-2"/>
          <w:sz w:val="16"/>
        </w:rPr>
        <w:t>95.</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BodyText"/>
        <w:spacing w:line="288" w:lineRule="auto"/>
        <w:ind w:left="871" w:right="866"/>
        <w:jc w:val="both"/>
      </w:pPr>
      <w:r>
        <w:rPr>
          <w:color w:val="231F20"/>
        </w:rPr>
        <w:t>makes</w:t>
      </w:r>
      <w:r>
        <w:rPr>
          <w:color w:val="231F20"/>
          <w:spacing w:val="-11"/>
        </w:rPr>
        <w:t> </w:t>
      </w:r>
      <w:r>
        <w:rPr>
          <w:color w:val="231F20"/>
        </w:rPr>
        <w:t>the</w:t>
      </w:r>
      <w:r>
        <w:rPr>
          <w:color w:val="231F20"/>
          <w:spacing w:val="-10"/>
        </w:rPr>
        <w:t> </w:t>
      </w:r>
      <w:r>
        <w:rPr>
          <w:color w:val="231F20"/>
        </w:rPr>
        <w:t>exercise</w:t>
      </w:r>
      <w:r>
        <w:rPr>
          <w:color w:val="231F20"/>
          <w:spacing w:val="-10"/>
        </w:rPr>
        <w:t> </w:t>
      </w:r>
      <w:r>
        <w:rPr>
          <w:color w:val="231F20"/>
        </w:rPr>
        <w:t>of</w:t>
      </w:r>
      <w:r>
        <w:rPr>
          <w:color w:val="231F20"/>
          <w:spacing w:val="-10"/>
        </w:rPr>
        <w:t> </w:t>
      </w:r>
      <w:r>
        <w:rPr>
          <w:color w:val="231F20"/>
        </w:rPr>
        <w:t>a</w:t>
      </w:r>
      <w:r>
        <w:rPr>
          <w:color w:val="231F20"/>
          <w:spacing w:val="-9"/>
        </w:rPr>
        <w:t> </w:t>
      </w:r>
      <w:r>
        <w:rPr>
          <w:color w:val="231F20"/>
        </w:rPr>
        <w:t>Union</w:t>
      </w:r>
      <w:r>
        <w:rPr>
          <w:color w:val="231F20"/>
          <w:spacing w:val="-11"/>
        </w:rPr>
        <w:t> </w:t>
      </w:r>
      <w:r>
        <w:rPr>
          <w:color w:val="231F20"/>
        </w:rPr>
        <w:t>right</w:t>
      </w:r>
      <w:r>
        <w:rPr>
          <w:color w:val="231F20"/>
          <w:spacing w:val="-9"/>
        </w:rPr>
        <w:t> </w:t>
      </w:r>
      <w:r>
        <w:rPr>
          <w:color w:val="231F20"/>
        </w:rPr>
        <w:t>excessively</w:t>
      </w:r>
      <w:r>
        <w:rPr>
          <w:color w:val="231F20"/>
          <w:spacing w:val="-9"/>
        </w:rPr>
        <w:t> </w:t>
      </w:r>
      <w:r>
        <w:rPr>
          <w:color w:val="231F20"/>
        </w:rPr>
        <w:t>difficult,</w:t>
      </w:r>
      <w:r>
        <w:rPr>
          <w:color w:val="231F20"/>
          <w:spacing w:val="-11"/>
        </w:rPr>
        <w:t> </w:t>
      </w:r>
      <w:r>
        <w:rPr>
          <w:color w:val="231F20"/>
        </w:rPr>
        <w:t>then</w:t>
      </w:r>
      <w:r>
        <w:rPr>
          <w:color w:val="231F20"/>
          <w:spacing w:val="-10"/>
        </w:rPr>
        <w:t> </w:t>
      </w:r>
      <w:r>
        <w:rPr>
          <w:color w:val="231F20"/>
        </w:rPr>
        <w:t>courts</w:t>
      </w:r>
      <w:r>
        <w:rPr>
          <w:color w:val="231F20"/>
          <w:spacing w:val="-10"/>
        </w:rPr>
        <w:t> </w:t>
      </w:r>
      <w:r>
        <w:rPr>
          <w:color w:val="231F20"/>
        </w:rPr>
        <w:t>must</w:t>
      </w:r>
      <w:r>
        <w:rPr>
          <w:color w:val="231F20"/>
          <w:spacing w:val="-10"/>
        </w:rPr>
        <w:t> </w:t>
      </w:r>
      <w:r>
        <w:rPr>
          <w:color w:val="231F20"/>
        </w:rPr>
        <w:t>disapply it.</w:t>
      </w:r>
      <w:r>
        <w:rPr>
          <w:color w:val="231F20"/>
          <w:vertAlign w:val="superscript"/>
        </w:rPr>
        <w:t>198</w:t>
      </w:r>
      <w:r>
        <w:rPr>
          <w:color w:val="231F20"/>
          <w:spacing w:val="-2"/>
          <w:vertAlign w:val="baseline"/>
        </w:rPr>
        <w:t> </w:t>
      </w:r>
      <w:r>
        <w:rPr>
          <w:color w:val="231F20"/>
          <w:vertAlign w:val="baseline"/>
        </w:rPr>
        <w:t>In</w:t>
      </w:r>
      <w:r>
        <w:rPr>
          <w:color w:val="231F20"/>
          <w:spacing w:val="-2"/>
          <w:vertAlign w:val="baseline"/>
        </w:rPr>
        <w:t> </w:t>
      </w:r>
      <w:r>
        <w:rPr>
          <w:color w:val="231F20"/>
          <w:vertAlign w:val="baseline"/>
        </w:rPr>
        <w:t>this</w:t>
      </w:r>
      <w:r>
        <w:rPr>
          <w:color w:val="231F20"/>
          <w:spacing w:val="-2"/>
          <w:vertAlign w:val="baseline"/>
        </w:rPr>
        <w:t> </w:t>
      </w:r>
      <w:r>
        <w:rPr>
          <w:color w:val="231F20"/>
          <w:vertAlign w:val="baseline"/>
        </w:rPr>
        <w:t>case,</w:t>
      </w:r>
      <w:r>
        <w:rPr>
          <w:color w:val="231F20"/>
          <w:spacing w:val="-2"/>
          <w:vertAlign w:val="baseline"/>
        </w:rPr>
        <w:t> </w:t>
      </w:r>
      <w:r>
        <w:rPr>
          <w:color w:val="231F20"/>
          <w:vertAlign w:val="baseline"/>
        </w:rPr>
        <w:t>it</w:t>
      </w:r>
      <w:r>
        <w:rPr>
          <w:color w:val="231F20"/>
          <w:spacing w:val="-1"/>
          <w:vertAlign w:val="baseline"/>
        </w:rPr>
        <w:t> </w:t>
      </w:r>
      <w:r>
        <w:rPr>
          <w:color w:val="231F20"/>
          <w:vertAlign w:val="baseline"/>
        </w:rPr>
        <w:t>could</w:t>
      </w:r>
      <w:r>
        <w:rPr>
          <w:color w:val="231F20"/>
          <w:spacing w:val="-2"/>
          <w:vertAlign w:val="baseline"/>
        </w:rPr>
        <w:t> </w:t>
      </w:r>
      <w:r>
        <w:rPr>
          <w:color w:val="231F20"/>
          <w:vertAlign w:val="baseline"/>
        </w:rPr>
        <w:t>explain</w:t>
      </w:r>
      <w:r>
        <w:rPr>
          <w:color w:val="231F20"/>
          <w:spacing w:val="-2"/>
          <w:vertAlign w:val="baseline"/>
        </w:rPr>
        <w:t> </w:t>
      </w:r>
      <w:r>
        <w:rPr>
          <w:color w:val="231F20"/>
          <w:vertAlign w:val="baseline"/>
        </w:rPr>
        <w:t>the</w:t>
      </w:r>
      <w:r>
        <w:rPr>
          <w:color w:val="231F20"/>
          <w:spacing w:val="-2"/>
          <w:vertAlign w:val="baseline"/>
        </w:rPr>
        <w:t> </w:t>
      </w:r>
      <w:r>
        <w:rPr>
          <w:color w:val="231F20"/>
          <w:vertAlign w:val="baseline"/>
        </w:rPr>
        <w:t>restriction</w:t>
      </w:r>
      <w:r>
        <w:rPr>
          <w:color w:val="231F20"/>
          <w:spacing w:val="-1"/>
          <w:vertAlign w:val="baseline"/>
        </w:rPr>
        <w:t> </w:t>
      </w:r>
      <w:r>
        <w:rPr>
          <w:color w:val="231F20"/>
          <w:vertAlign w:val="baseline"/>
        </w:rPr>
        <w:t>of the</w:t>
      </w:r>
      <w:r>
        <w:rPr>
          <w:color w:val="231F20"/>
          <w:spacing w:val="-2"/>
          <w:vertAlign w:val="baseline"/>
        </w:rPr>
        <w:t> </w:t>
      </w:r>
      <w:r>
        <w:rPr>
          <w:color w:val="231F20"/>
          <w:vertAlign w:val="baseline"/>
        </w:rPr>
        <w:t>right</w:t>
      </w:r>
      <w:r>
        <w:rPr>
          <w:color w:val="231F20"/>
          <w:spacing w:val="-2"/>
          <w:vertAlign w:val="baseline"/>
        </w:rPr>
        <w:t> </w:t>
      </w:r>
      <w:r>
        <w:rPr>
          <w:color w:val="231F20"/>
          <w:vertAlign w:val="baseline"/>
        </w:rPr>
        <w:t>of the</w:t>
      </w:r>
      <w:r>
        <w:rPr>
          <w:color w:val="231F20"/>
          <w:spacing w:val="-2"/>
          <w:vertAlign w:val="baseline"/>
        </w:rPr>
        <w:t> </w:t>
      </w:r>
      <w:r>
        <w:rPr>
          <w:color w:val="231F20"/>
          <w:vertAlign w:val="baseline"/>
        </w:rPr>
        <w:t>bank</w:t>
      </w:r>
      <w:r>
        <w:rPr>
          <w:color w:val="231F20"/>
          <w:spacing w:val="-1"/>
          <w:vertAlign w:val="baseline"/>
        </w:rPr>
        <w:t> </w:t>
      </w:r>
      <w:r>
        <w:rPr>
          <w:color w:val="231F20"/>
          <w:vertAlign w:val="baseline"/>
        </w:rPr>
        <w:t>to</w:t>
      </w:r>
      <w:r>
        <w:rPr>
          <w:color w:val="231F20"/>
          <w:spacing w:val="-1"/>
          <w:vertAlign w:val="baseline"/>
        </w:rPr>
        <w:t> </w:t>
      </w:r>
      <w:r>
        <w:rPr>
          <w:color w:val="231F20"/>
          <w:vertAlign w:val="baseline"/>
        </w:rPr>
        <w:t>receive compensation under the national rules on unjust enrichment.</w:t>
      </w:r>
      <w:r>
        <w:rPr>
          <w:color w:val="231F20"/>
          <w:vertAlign w:val="superscript"/>
        </w:rPr>
        <w:t>199</w:t>
      </w:r>
    </w:p>
    <w:p>
      <w:pPr>
        <w:pStyle w:val="ListParagraph"/>
        <w:numPr>
          <w:ilvl w:val="0"/>
          <w:numId w:val="4"/>
        </w:numPr>
        <w:tabs>
          <w:tab w:pos="1428" w:val="left" w:leader="none"/>
        </w:tabs>
        <w:spacing w:line="288" w:lineRule="auto" w:before="120" w:after="0"/>
        <w:ind w:left="871" w:right="868" w:firstLine="0"/>
        <w:jc w:val="both"/>
        <w:rPr>
          <w:sz w:val="19"/>
        </w:rPr>
      </w:pPr>
      <w:r>
        <w:rPr>
          <w:color w:val="231F20"/>
          <w:sz w:val="19"/>
        </w:rPr>
        <w:t>Overall, the judgments of the ECJ in </w:t>
      </w:r>
      <w:r>
        <w:rPr>
          <w:i/>
          <w:color w:val="231F20"/>
          <w:sz w:val="19"/>
        </w:rPr>
        <w:t>Caixabank </w:t>
      </w:r>
      <w:r>
        <w:rPr>
          <w:color w:val="231F20"/>
          <w:sz w:val="19"/>
        </w:rPr>
        <w:t>and </w:t>
      </w:r>
      <w:r>
        <w:rPr>
          <w:i/>
          <w:color w:val="231F20"/>
          <w:sz w:val="19"/>
        </w:rPr>
        <w:t>Bank M. </w:t>
      </w:r>
      <w:r>
        <w:rPr>
          <w:color w:val="231F20"/>
          <w:sz w:val="19"/>
        </w:rPr>
        <w:t>provide additional reasons for the application of national law as a follow-on </w:t>
      </w:r>
      <w:r>
        <w:rPr>
          <w:color w:val="231F20"/>
          <w:sz w:val="19"/>
        </w:rPr>
        <w:t>consequence of finding an unfair term. These are the protection of third-party rights and the joint achievement of the two aims of Article 6(1) UCTD: the restoration of the </w:t>
      </w:r>
      <w:r>
        <w:rPr>
          <w:color w:val="231F20"/>
          <w:spacing w:val="-2"/>
          <w:sz w:val="19"/>
        </w:rPr>
        <w:t>situation</w:t>
      </w:r>
      <w:r>
        <w:rPr>
          <w:color w:val="231F20"/>
          <w:spacing w:val="-4"/>
          <w:sz w:val="19"/>
        </w:rPr>
        <w:t> </w:t>
      </w:r>
      <w:r>
        <w:rPr>
          <w:color w:val="231F20"/>
          <w:spacing w:val="-2"/>
          <w:sz w:val="19"/>
        </w:rPr>
        <w:t>that</w:t>
      </w:r>
      <w:r>
        <w:rPr>
          <w:color w:val="231F20"/>
          <w:spacing w:val="-4"/>
          <w:sz w:val="19"/>
        </w:rPr>
        <w:t> </w:t>
      </w:r>
      <w:r>
        <w:rPr>
          <w:color w:val="231F20"/>
          <w:spacing w:val="-2"/>
          <w:sz w:val="19"/>
        </w:rPr>
        <w:t>the</w:t>
      </w:r>
      <w:r>
        <w:rPr>
          <w:color w:val="231F20"/>
          <w:spacing w:val="-4"/>
          <w:sz w:val="19"/>
        </w:rPr>
        <w:t> </w:t>
      </w:r>
      <w:r>
        <w:rPr>
          <w:color w:val="231F20"/>
          <w:spacing w:val="-2"/>
          <w:sz w:val="19"/>
        </w:rPr>
        <w:t>consumer</w:t>
      </w:r>
      <w:r>
        <w:rPr>
          <w:color w:val="231F20"/>
          <w:spacing w:val="-4"/>
          <w:sz w:val="19"/>
        </w:rPr>
        <w:t> </w:t>
      </w:r>
      <w:r>
        <w:rPr>
          <w:color w:val="231F20"/>
          <w:spacing w:val="-2"/>
          <w:sz w:val="19"/>
        </w:rPr>
        <w:t>should</w:t>
      </w:r>
      <w:r>
        <w:rPr>
          <w:color w:val="231F20"/>
          <w:spacing w:val="-4"/>
          <w:sz w:val="19"/>
        </w:rPr>
        <w:t> </w:t>
      </w:r>
      <w:r>
        <w:rPr>
          <w:color w:val="231F20"/>
          <w:spacing w:val="-2"/>
          <w:sz w:val="19"/>
        </w:rPr>
        <w:t>have</w:t>
      </w:r>
      <w:r>
        <w:rPr>
          <w:color w:val="231F20"/>
          <w:spacing w:val="-5"/>
          <w:sz w:val="19"/>
        </w:rPr>
        <w:t> </w:t>
      </w:r>
      <w:r>
        <w:rPr>
          <w:color w:val="231F20"/>
          <w:spacing w:val="-2"/>
          <w:sz w:val="19"/>
        </w:rPr>
        <w:t>been</w:t>
      </w:r>
      <w:r>
        <w:rPr>
          <w:color w:val="231F20"/>
          <w:spacing w:val="-4"/>
          <w:sz w:val="19"/>
        </w:rPr>
        <w:t> </w:t>
      </w:r>
      <w:r>
        <w:rPr>
          <w:color w:val="231F20"/>
          <w:spacing w:val="-2"/>
          <w:sz w:val="19"/>
        </w:rPr>
        <w:t>in</w:t>
      </w:r>
      <w:r>
        <w:rPr>
          <w:color w:val="231F20"/>
          <w:spacing w:val="-4"/>
          <w:sz w:val="19"/>
        </w:rPr>
        <w:t> </w:t>
      </w:r>
      <w:r>
        <w:rPr>
          <w:color w:val="231F20"/>
          <w:spacing w:val="-2"/>
          <w:sz w:val="19"/>
        </w:rPr>
        <w:t>had</w:t>
      </w:r>
      <w:r>
        <w:rPr>
          <w:color w:val="231F20"/>
          <w:spacing w:val="-4"/>
          <w:sz w:val="19"/>
        </w:rPr>
        <w:t> </w:t>
      </w:r>
      <w:r>
        <w:rPr>
          <w:color w:val="231F20"/>
          <w:spacing w:val="-2"/>
          <w:sz w:val="19"/>
        </w:rPr>
        <w:t>the</w:t>
      </w:r>
      <w:r>
        <w:rPr>
          <w:color w:val="231F20"/>
          <w:spacing w:val="-4"/>
          <w:sz w:val="19"/>
        </w:rPr>
        <w:t> </w:t>
      </w:r>
      <w:r>
        <w:rPr>
          <w:color w:val="231F20"/>
          <w:spacing w:val="-2"/>
          <w:sz w:val="19"/>
        </w:rPr>
        <w:t>unfair</w:t>
      </w:r>
      <w:r>
        <w:rPr>
          <w:color w:val="231F20"/>
          <w:spacing w:val="-4"/>
          <w:sz w:val="19"/>
        </w:rPr>
        <w:t> </w:t>
      </w:r>
      <w:r>
        <w:rPr>
          <w:color w:val="231F20"/>
          <w:spacing w:val="-2"/>
          <w:sz w:val="19"/>
        </w:rPr>
        <w:t>term</w:t>
      </w:r>
      <w:r>
        <w:rPr>
          <w:color w:val="231F20"/>
          <w:spacing w:val="-4"/>
          <w:sz w:val="19"/>
        </w:rPr>
        <w:t> </w:t>
      </w:r>
      <w:r>
        <w:rPr>
          <w:color w:val="231F20"/>
          <w:spacing w:val="-2"/>
          <w:sz w:val="19"/>
        </w:rPr>
        <w:t>not</w:t>
      </w:r>
      <w:r>
        <w:rPr>
          <w:color w:val="231F20"/>
          <w:spacing w:val="-5"/>
          <w:sz w:val="19"/>
        </w:rPr>
        <w:t> </w:t>
      </w:r>
      <w:r>
        <w:rPr>
          <w:color w:val="231F20"/>
          <w:spacing w:val="-2"/>
          <w:sz w:val="19"/>
        </w:rPr>
        <w:t>existed</w:t>
      </w:r>
      <w:r>
        <w:rPr>
          <w:color w:val="231F20"/>
          <w:spacing w:val="-4"/>
          <w:sz w:val="19"/>
        </w:rPr>
        <w:t> </w:t>
      </w:r>
      <w:r>
        <w:rPr>
          <w:color w:val="231F20"/>
          <w:spacing w:val="-2"/>
          <w:sz w:val="19"/>
        </w:rPr>
        <w:t>(in </w:t>
      </w:r>
      <w:r>
        <w:rPr>
          <w:color w:val="231F20"/>
          <w:sz w:val="19"/>
        </w:rPr>
        <w:t>line with effective consumer protection), and dissuasiveness.</w:t>
      </w:r>
    </w:p>
    <w:p>
      <w:pPr>
        <w:pStyle w:val="ListParagraph"/>
        <w:numPr>
          <w:ilvl w:val="0"/>
          <w:numId w:val="4"/>
        </w:numPr>
        <w:tabs>
          <w:tab w:pos="1428" w:val="left" w:leader="none"/>
        </w:tabs>
        <w:spacing w:line="288" w:lineRule="auto" w:before="119" w:after="0"/>
        <w:ind w:left="871" w:right="867" w:firstLine="0"/>
        <w:jc w:val="both"/>
        <w:rPr>
          <w:sz w:val="19"/>
        </w:rPr>
      </w:pPr>
      <w:r>
        <w:rPr>
          <w:color w:val="231F20"/>
          <w:sz w:val="19"/>
        </w:rPr>
        <w:t>Instead,</w:t>
      </w:r>
      <w:r>
        <w:rPr>
          <w:color w:val="231F20"/>
          <w:spacing w:val="-5"/>
          <w:sz w:val="19"/>
        </w:rPr>
        <w:t> </w:t>
      </w:r>
      <w:r>
        <w:rPr>
          <w:color w:val="231F20"/>
          <w:sz w:val="19"/>
        </w:rPr>
        <w:t>national</w:t>
      </w:r>
      <w:r>
        <w:rPr>
          <w:color w:val="231F20"/>
          <w:spacing w:val="-5"/>
          <w:sz w:val="19"/>
        </w:rPr>
        <w:t> </w:t>
      </w:r>
      <w:r>
        <w:rPr>
          <w:color w:val="231F20"/>
          <w:sz w:val="19"/>
        </w:rPr>
        <w:t>law</w:t>
      </w:r>
      <w:r>
        <w:rPr>
          <w:color w:val="231F20"/>
          <w:spacing w:val="-4"/>
          <w:sz w:val="19"/>
        </w:rPr>
        <w:t> </w:t>
      </w:r>
      <w:r>
        <w:rPr>
          <w:color w:val="231F20"/>
          <w:sz w:val="19"/>
        </w:rPr>
        <w:t>cannot</w:t>
      </w:r>
      <w:r>
        <w:rPr>
          <w:color w:val="231F20"/>
          <w:spacing w:val="-3"/>
          <w:sz w:val="19"/>
        </w:rPr>
        <w:t> </w:t>
      </w:r>
      <w:r>
        <w:rPr>
          <w:color w:val="231F20"/>
          <w:sz w:val="19"/>
        </w:rPr>
        <w:t>be</w:t>
      </w:r>
      <w:r>
        <w:rPr>
          <w:color w:val="231F20"/>
          <w:spacing w:val="-3"/>
          <w:sz w:val="19"/>
        </w:rPr>
        <w:t> </w:t>
      </w:r>
      <w:r>
        <w:rPr>
          <w:color w:val="231F20"/>
          <w:sz w:val="19"/>
        </w:rPr>
        <w:t>applied,</w:t>
      </w:r>
      <w:r>
        <w:rPr>
          <w:color w:val="231F20"/>
          <w:spacing w:val="-5"/>
          <w:sz w:val="19"/>
        </w:rPr>
        <w:t> </w:t>
      </w:r>
      <w:r>
        <w:rPr>
          <w:color w:val="231F20"/>
          <w:sz w:val="19"/>
        </w:rPr>
        <w:t>either</w:t>
      </w:r>
      <w:r>
        <w:rPr>
          <w:color w:val="231F20"/>
          <w:spacing w:val="-4"/>
          <w:sz w:val="19"/>
        </w:rPr>
        <w:t> </w:t>
      </w:r>
      <w:r>
        <w:rPr>
          <w:color w:val="231F20"/>
          <w:sz w:val="19"/>
        </w:rPr>
        <w:t>to</w:t>
      </w:r>
      <w:r>
        <w:rPr>
          <w:color w:val="231F20"/>
          <w:spacing w:val="-5"/>
          <w:sz w:val="19"/>
        </w:rPr>
        <w:t> </w:t>
      </w:r>
      <w:r>
        <w:rPr>
          <w:color w:val="231F20"/>
          <w:sz w:val="19"/>
        </w:rPr>
        <w:t>fill</w:t>
      </w:r>
      <w:r>
        <w:rPr>
          <w:color w:val="231F20"/>
          <w:spacing w:val="-4"/>
          <w:sz w:val="19"/>
        </w:rPr>
        <w:t> </w:t>
      </w:r>
      <w:r>
        <w:rPr>
          <w:color w:val="231F20"/>
          <w:sz w:val="19"/>
        </w:rPr>
        <w:t>in</w:t>
      </w:r>
      <w:r>
        <w:rPr>
          <w:color w:val="231F20"/>
          <w:spacing w:val="-5"/>
          <w:sz w:val="19"/>
        </w:rPr>
        <w:t> </w:t>
      </w:r>
      <w:r>
        <w:rPr>
          <w:color w:val="231F20"/>
          <w:sz w:val="19"/>
        </w:rPr>
        <w:t>a</w:t>
      </w:r>
      <w:r>
        <w:rPr>
          <w:color w:val="231F20"/>
          <w:spacing w:val="-4"/>
          <w:sz w:val="19"/>
        </w:rPr>
        <w:t> </w:t>
      </w:r>
      <w:r>
        <w:rPr>
          <w:color w:val="231F20"/>
          <w:sz w:val="19"/>
        </w:rPr>
        <w:t>gap</w:t>
      </w:r>
      <w:r>
        <w:rPr>
          <w:color w:val="231F20"/>
          <w:spacing w:val="-5"/>
          <w:sz w:val="19"/>
        </w:rPr>
        <w:t> </w:t>
      </w:r>
      <w:r>
        <w:rPr>
          <w:color w:val="231F20"/>
          <w:sz w:val="19"/>
        </w:rPr>
        <w:t>that</w:t>
      </w:r>
      <w:r>
        <w:rPr>
          <w:color w:val="231F20"/>
          <w:spacing w:val="-1"/>
          <w:sz w:val="19"/>
        </w:rPr>
        <w:t> </w:t>
      </w:r>
      <w:r>
        <w:rPr>
          <w:color w:val="231F20"/>
          <w:sz w:val="19"/>
        </w:rPr>
        <w:t>an</w:t>
      </w:r>
      <w:r>
        <w:rPr>
          <w:color w:val="231F20"/>
          <w:spacing w:val="-5"/>
          <w:sz w:val="19"/>
        </w:rPr>
        <w:t> </w:t>
      </w:r>
      <w:r>
        <w:rPr>
          <w:color w:val="231F20"/>
          <w:sz w:val="19"/>
        </w:rPr>
        <w:t>unfair term</w:t>
      </w:r>
      <w:r>
        <w:rPr>
          <w:color w:val="231F20"/>
          <w:spacing w:val="-7"/>
          <w:sz w:val="19"/>
        </w:rPr>
        <w:t> </w:t>
      </w:r>
      <w:r>
        <w:rPr>
          <w:color w:val="231F20"/>
          <w:sz w:val="19"/>
        </w:rPr>
        <w:t>leaves</w:t>
      </w:r>
      <w:r>
        <w:rPr>
          <w:color w:val="231F20"/>
          <w:spacing w:val="-7"/>
          <w:sz w:val="19"/>
        </w:rPr>
        <w:t> </w:t>
      </w:r>
      <w:r>
        <w:rPr>
          <w:color w:val="231F20"/>
          <w:sz w:val="19"/>
        </w:rPr>
        <w:t>(Case</w:t>
      </w:r>
      <w:r>
        <w:rPr>
          <w:color w:val="231F20"/>
          <w:spacing w:val="-6"/>
          <w:sz w:val="19"/>
        </w:rPr>
        <w:t> </w:t>
      </w:r>
      <w:r>
        <w:rPr>
          <w:color w:val="231F20"/>
          <w:sz w:val="19"/>
        </w:rPr>
        <w:t>C-618/10,</w:t>
      </w:r>
      <w:r>
        <w:rPr>
          <w:color w:val="231F20"/>
          <w:spacing w:val="-5"/>
          <w:sz w:val="19"/>
        </w:rPr>
        <w:t> </w:t>
      </w:r>
      <w:r>
        <w:rPr>
          <w:i/>
          <w:color w:val="231F20"/>
          <w:sz w:val="19"/>
        </w:rPr>
        <w:t>Banco</w:t>
      </w:r>
      <w:r>
        <w:rPr>
          <w:i/>
          <w:color w:val="231F20"/>
          <w:spacing w:val="-7"/>
          <w:sz w:val="19"/>
        </w:rPr>
        <w:t> </w:t>
      </w:r>
      <w:r>
        <w:rPr>
          <w:i/>
          <w:color w:val="231F20"/>
          <w:sz w:val="19"/>
        </w:rPr>
        <w:t>Español</w:t>
      </w:r>
      <w:r>
        <w:rPr>
          <w:color w:val="231F20"/>
          <w:sz w:val="19"/>
        </w:rPr>
        <w:t>,</w:t>
      </w:r>
      <w:r>
        <w:rPr>
          <w:color w:val="231F20"/>
          <w:spacing w:val="-6"/>
          <w:sz w:val="19"/>
        </w:rPr>
        <w:t> </w:t>
      </w:r>
      <w:r>
        <w:rPr>
          <w:color w:val="231F20"/>
          <w:sz w:val="19"/>
        </w:rPr>
        <w:t>and</w:t>
      </w:r>
      <w:r>
        <w:rPr>
          <w:color w:val="231F20"/>
          <w:spacing w:val="-6"/>
          <w:sz w:val="19"/>
        </w:rPr>
        <w:t> </w:t>
      </w:r>
      <w:r>
        <w:rPr>
          <w:color w:val="231F20"/>
          <w:sz w:val="19"/>
        </w:rPr>
        <w:t>joined</w:t>
      </w:r>
      <w:r>
        <w:rPr>
          <w:color w:val="231F20"/>
          <w:spacing w:val="-7"/>
          <w:sz w:val="19"/>
        </w:rPr>
        <w:t> </w:t>
      </w:r>
      <w:r>
        <w:rPr>
          <w:color w:val="231F20"/>
          <w:sz w:val="19"/>
        </w:rPr>
        <w:t>Cases</w:t>
      </w:r>
      <w:r>
        <w:rPr>
          <w:color w:val="231F20"/>
          <w:spacing w:val="-6"/>
          <w:sz w:val="19"/>
        </w:rPr>
        <w:t> </w:t>
      </w:r>
      <w:r>
        <w:rPr>
          <w:color w:val="231F20"/>
          <w:sz w:val="19"/>
        </w:rPr>
        <w:t>C-229/19</w:t>
      </w:r>
      <w:r>
        <w:rPr>
          <w:color w:val="231F20"/>
          <w:spacing w:val="-7"/>
          <w:sz w:val="19"/>
        </w:rPr>
        <w:t> </w:t>
      </w:r>
      <w:r>
        <w:rPr>
          <w:color w:val="231F20"/>
          <w:sz w:val="19"/>
        </w:rPr>
        <w:t>and</w:t>
      </w:r>
      <w:r>
        <w:rPr>
          <w:color w:val="231F20"/>
          <w:spacing w:val="-6"/>
          <w:sz w:val="19"/>
        </w:rPr>
        <w:t> </w:t>
      </w:r>
      <w:r>
        <w:rPr>
          <w:color w:val="231F20"/>
          <w:sz w:val="19"/>
        </w:rPr>
        <w:t>289/ 19, </w:t>
      </w:r>
      <w:r>
        <w:rPr>
          <w:i/>
          <w:color w:val="231F20"/>
          <w:sz w:val="19"/>
        </w:rPr>
        <w:t>Dexia</w:t>
      </w:r>
      <w:r>
        <w:rPr>
          <w:color w:val="231F20"/>
          <w:sz w:val="19"/>
        </w:rPr>
        <w:t>),</w:t>
      </w:r>
      <w:r>
        <w:rPr>
          <w:color w:val="231F20"/>
          <w:spacing w:val="-1"/>
          <w:sz w:val="19"/>
        </w:rPr>
        <w:t> </w:t>
      </w:r>
      <w:r>
        <w:rPr>
          <w:color w:val="231F20"/>
          <w:sz w:val="19"/>
        </w:rPr>
        <w:t>or</w:t>
      </w:r>
      <w:r>
        <w:rPr>
          <w:color w:val="231F20"/>
          <w:spacing w:val="-2"/>
          <w:sz w:val="19"/>
        </w:rPr>
        <w:t> </w:t>
      </w:r>
      <w:r>
        <w:rPr>
          <w:color w:val="231F20"/>
          <w:sz w:val="19"/>
        </w:rPr>
        <w:t>as</w:t>
      </w:r>
      <w:r>
        <w:rPr>
          <w:color w:val="231F20"/>
          <w:spacing w:val="-1"/>
          <w:sz w:val="19"/>
        </w:rPr>
        <w:t> </w:t>
      </w:r>
      <w:r>
        <w:rPr>
          <w:color w:val="231F20"/>
          <w:sz w:val="19"/>
        </w:rPr>
        <w:t>a follow-on</w:t>
      </w:r>
      <w:r>
        <w:rPr>
          <w:color w:val="231F20"/>
          <w:spacing w:val="-1"/>
          <w:sz w:val="19"/>
        </w:rPr>
        <w:t> </w:t>
      </w:r>
      <w:r>
        <w:rPr>
          <w:color w:val="231F20"/>
          <w:sz w:val="19"/>
        </w:rPr>
        <w:t>consequence of finding an</w:t>
      </w:r>
      <w:r>
        <w:rPr>
          <w:color w:val="231F20"/>
          <w:spacing w:val="-1"/>
          <w:sz w:val="19"/>
        </w:rPr>
        <w:t> </w:t>
      </w:r>
      <w:r>
        <w:rPr>
          <w:color w:val="231F20"/>
          <w:sz w:val="19"/>
        </w:rPr>
        <w:t>unfair</w:t>
      </w:r>
      <w:r>
        <w:rPr>
          <w:color w:val="231F20"/>
          <w:spacing w:val="-2"/>
          <w:sz w:val="19"/>
        </w:rPr>
        <w:t> </w:t>
      </w:r>
      <w:r>
        <w:rPr>
          <w:color w:val="231F20"/>
          <w:sz w:val="19"/>
        </w:rPr>
        <w:t>term (</w:t>
      </w:r>
      <w:r>
        <w:rPr>
          <w:i/>
          <w:color w:val="231F20"/>
          <w:sz w:val="19"/>
        </w:rPr>
        <w:t>Bank M.</w:t>
      </w:r>
      <w:r>
        <w:rPr>
          <w:i/>
          <w:color w:val="231F20"/>
          <w:spacing w:val="-1"/>
          <w:sz w:val="19"/>
        </w:rPr>
        <w:t> </w:t>
      </w:r>
      <w:r>
        <w:rPr>
          <w:color w:val="231F20"/>
          <w:sz w:val="19"/>
        </w:rPr>
        <w:t>and Case</w:t>
      </w:r>
      <w:r>
        <w:rPr>
          <w:color w:val="231F20"/>
          <w:spacing w:val="-4"/>
          <w:sz w:val="19"/>
        </w:rPr>
        <w:t> </w:t>
      </w:r>
      <w:r>
        <w:rPr>
          <w:color w:val="231F20"/>
          <w:sz w:val="19"/>
        </w:rPr>
        <w:t>C-140/22,</w:t>
      </w:r>
      <w:r>
        <w:rPr>
          <w:color w:val="231F20"/>
          <w:spacing w:val="-4"/>
          <w:sz w:val="19"/>
        </w:rPr>
        <w:t> </w:t>
      </w:r>
      <w:r>
        <w:rPr>
          <w:i/>
          <w:color w:val="231F20"/>
          <w:sz w:val="19"/>
        </w:rPr>
        <w:t>mBank</w:t>
      </w:r>
      <w:r>
        <w:rPr>
          <w:color w:val="231F20"/>
          <w:sz w:val="19"/>
        </w:rPr>
        <w:t>),</w:t>
      </w:r>
      <w:r>
        <w:rPr>
          <w:color w:val="231F20"/>
          <w:spacing w:val="-4"/>
          <w:sz w:val="19"/>
        </w:rPr>
        <w:t> </w:t>
      </w:r>
      <w:r>
        <w:rPr>
          <w:color w:val="231F20"/>
          <w:sz w:val="19"/>
        </w:rPr>
        <w:t>in</w:t>
      </w:r>
      <w:r>
        <w:rPr>
          <w:color w:val="231F20"/>
          <w:spacing w:val="-5"/>
          <w:sz w:val="19"/>
        </w:rPr>
        <w:t> </w:t>
      </w:r>
      <w:r>
        <w:rPr>
          <w:color w:val="231F20"/>
          <w:sz w:val="19"/>
        </w:rPr>
        <w:t>the</w:t>
      </w:r>
      <w:r>
        <w:rPr>
          <w:color w:val="231F20"/>
          <w:spacing w:val="-4"/>
          <w:sz w:val="19"/>
        </w:rPr>
        <w:t> </w:t>
      </w:r>
      <w:r>
        <w:rPr>
          <w:color w:val="231F20"/>
          <w:sz w:val="19"/>
        </w:rPr>
        <w:t>event</w:t>
      </w:r>
      <w:r>
        <w:rPr>
          <w:color w:val="231F20"/>
          <w:spacing w:val="-4"/>
          <w:sz w:val="19"/>
        </w:rPr>
        <w:t> </w:t>
      </w:r>
      <w:r>
        <w:rPr>
          <w:color w:val="231F20"/>
          <w:sz w:val="19"/>
        </w:rPr>
        <w:t>it</w:t>
      </w:r>
      <w:r>
        <w:rPr>
          <w:color w:val="231F20"/>
          <w:spacing w:val="-5"/>
          <w:sz w:val="19"/>
        </w:rPr>
        <w:t> </w:t>
      </w:r>
      <w:r>
        <w:rPr>
          <w:color w:val="231F20"/>
          <w:sz w:val="19"/>
        </w:rPr>
        <w:t>would</w:t>
      </w:r>
      <w:r>
        <w:rPr>
          <w:color w:val="231F20"/>
          <w:spacing w:val="-5"/>
          <w:sz w:val="19"/>
        </w:rPr>
        <w:t> </w:t>
      </w:r>
      <w:r>
        <w:rPr>
          <w:color w:val="231F20"/>
          <w:sz w:val="19"/>
        </w:rPr>
        <w:t>benefit</w:t>
      </w:r>
      <w:r>
        <w:rPr>
          <w:color w:val="231F20"/>
          <w:spacing w:val="-5"/>
          <w:sz w:val="19"/>
        </w:rPr>
        <w:t> </w:t>
      </w:r>
      <w:r>
        <w:rPr>
          <w:color w:val="231F20"/>
          <w:sz w:val="19"/>
        </w:rPr>
        <w:t>the</w:t>
      </w:r>
      <w:r>
        <w:rPr>
          <w:color w:val="231F20"/>
          <w:spacing w:val="-4"/>
          <w:sz w:val="19"/>
        </w:rPr>
        <w:t> </w:t>
      </w:r>
      <w:r>
        <w:rPr>
          <w:color w:val="231F20"/>
          <w:sz w:val="19"/>
        </w:rPr>
        <w:t>business.</w:t>
      </w:r>
      <w:r>
        <w:rPr>
          <w:color w:val="231F20"/>
          <w:spacing w:val="-5"/>
          <w:sz w:val="19"/>
        </w:rPr>
        <w:t> </w:t>
      </w:r>
      <w:r>
        <w:rPr>
          <w:color w:val="231F20"/>
          <w:sz w:val="19"/>
        </w:rPr>
        <w:t>This</w:t>
      </w:r>
      <w:r>
        <w:rPr>
          <w:color w:val="231F20"/>
          <w:spacing w:val="-3"/>
          <w:sz w:val="19"/>
        </w:rPr>
        <w:t> </w:t>
      </w:r>
      <w:r>
        <w:rPr>
          <w:color w:val="231F20"/>
          <w:sz w:val="19"/>
        </w:rPr>
        <w:t>is</w:t>
      </w:r>
      <w:r>
        <w:rPr>
          <w:color w:val="231F20"/>
          <w:spacing w:val="-4"/>
          <w:sz w:val="19"/>
        </w:rPr>
        <w:t> </w:t>
      </w:r>
      <w:r>
        <w:rPr>
          <w:color w:val="231F20"/>
          <w:sz w:val="19"/>
        </w:rPr>
        <w:t>consis- tent with the idea that the non-application of supplementary law, in those cases, </w:t>
      </w:r>
      <w:r>
        <w:rPr>
          <w:color w:val="231F20"/>
          <w:spacing w:val="-2"/>
          <w:sz w:val="19"/>
        </w:rPr>
        <w:t>entails</w:t>
      </w:r>
      <w:r>
        <w:rPr>
          <w:color w:val="231F20"/>
          <w:spacing w:val="-6"/>
          <w:sz w:val="19"/>
        </w:rPr>
        <w:t> </w:t>
      </w:r>
      <w:r>
        <w:rPr>
          <w:color w:val="231F20"/>
          <w:spacing w:val="-2"/>
          <w:sz w:val="19"/>
        </w:rPr>
        <w:t>a</w:t>
      </w:r>
      <w:r>
        <w:rPr>
          <w:color w:val="231F20"/>
          <w:spacing w:val="-6"/>
          <w:sz w:val="19"/>
        </w:rPr>
        <w:t> </w:t>
      </w:r>
      <w:r>
        <w:rPr>
          <w:color w:val="231F20"/>
          <w:spacing w:val="-2"/>
          <w:sz w:val="19"/>
        </w:rPr>
        <w:t>sanction</w:t>
      </w:r>
      <w:r>
        <w:rPr>
          <w:color w:val="231F20"/>
          <w:spacing w:val="-5"/>
          <w:sz w:val="19"/>
        </w:rPr>
        <w:t> </w:t>
      </w:r>
      <w:r>
        <w:rPr>
          <w:color w:val="231F20"/>
          <w:spacing w:val="-2"/>
          <w:sz w:val="19"/>
        </w:rPr>
        <w:t>to</w:t>
      </w:r>
      <w:r>
        <w:rPr>
          <w:color w:val="231F20"/>
          <w:spacing w:val="-6"/>
          <w:sz w:val="19"/>
        </w:rPr>
        <w:t> </w:t>
      </w:r>
      <w:r>
        <w:rPr>
          <w:color w:val="231F20"/>
          <w:spacing w:val="-2"/>
          <w:sz w:val="19"/>
        </w:rPr>
        <w:t>the</w:t>
      </w:r>
      <w:r>
        <w:rPr>
          <w:color w:val="231F20"/>
          <w:spacing w:val="-6"/>
          <w:sz w:val="19"/>
        </w:rPr>
        <w:t> </w:t>
      </w:r>
      <w:r>
        <w:rPr>
          <w:color w:val="231F20"/>
          <w:spacing w:val="-2"/>
          <w:sz w:val="19"/>
        </w:rPr>
        <w:t>business</w:t>
      </w:r>
      <w:r>
        <w:rPr>
          <w:color w:val="231F20"/>
          <w:spacing w:val="-4"/>
          <w:sz w:val="19"/>
        </w:rPr>
        <w:t> </w:t>
      </w:r>
      <w:r>
        <w:rPr>
          <w:color w:val="231F20"/>
          <w:spacing w:val="-2"/>
          <w:sz w:val="19"/>
        </w:rPr>
        <w:t>that</w:t>
      </w:r>
      <w:r>
        <w:rPr>
          <w:color w:val="231F20"/>
          <w:spacing w:val="-5"/>
          <w:sz w:val="19"/>
        </w:rPr>
        <w:t> </w:t>
      </w:r>
      <w:r>
        <w:rPr>
          <w:color w:val="231F20"/>
          <w:spacing w:val="-2"/>
          <w:sz w:val="19"/>
        </w:rPr>
        <w:t>is</w:t>
      </w:r>
      <w:r>
        <w:rPr>
          <w:color w:val="231F20"/>
          <w:spacing w:val="-6"/>
          <w:sz w:val="19"/>
        </w:rPr>
        <w:t> </w:t>
      </w:r>
      <w:r>
        <w:rPr>
          <w:color w:val="231F20"/>
          <w:spacing w:val="-2"/>
          <w:sz w:val="19"/>
        </w:rPr>
        <w:t>rooted</w:t>
      </w:r>
      <w:r>
        <w:rPr>
          <w:color w:val="231F20"/>
          <w:spacing w:val="-5"/>
          <w:sz w:val="19"/>
        </w:rPr>
        <w:t> </w:t>
      </w:r>
      <w:r>
        <w:rPr>
          <w:color w:val="231F20"/>
          <w:spacing w:val="-2"/>
          <w:sz w:val="19"/>
        </w:rPr>
        <w:t>in</w:t>
      </w:r>
      <w:r>
        <w:rPr>
          <w:color w:val="231F20"/>
          <w:spacing w:val="-6"/>
          <w:sz w:val="19"/>
        </w:rPr>
        <w:t> </w:t>
      </w:r>
      <w:r>
        <w:rPr>
          <w:color w:val="231F20"/>
          <w:spacing w:val="-2"/>
          <w:sz w:val="19"/>
        </w:rPr>
        <w:t>the</w:t>
      </w:r>
      <w:r>
        <w:rPr>
          <w:color w:val="231F20"/>
          <w:spacing w:val="-6"/>
          <w:sz w:val="19"/>
        </w:rPr>
        <w:t> </w:t>
      </w:r>
      <w:r>
        <w:rPr>
          <w:color w:val="231F20"/>
          <w:spacing w:val="-2"/>
          <w:sz w:val="19"/>
        </w:rPr>
        <w:t>principle</w:t>
      </w:r>
      <w:r>
        <w:rPr>
          <w:color w:val="231F20"/>
          <w:spacing w:val="-6"/>
          <w:sz w:val="19"/>
        </w:rPr>
        <w:t> </w:t>
      </w:r>
      <w:r>
        <w:rPr>
          <w:color w:val="231F20"/>
          <w:spacing w:val="-2"/>
          <w:sz w:val="19"/>
        </w:rPr>
        <w:t>of</w:t>
      </w:r>
      <w:r>
        <w:rPr>
          <w:color w:val="231F20"/>
          <w:spacing w:val="-6"/>
          <w:sz w:val="19"/>
        </w:rPr>
        <w:t> </w:t>
      </w:r>
      <w:r>
        <w:rPr>
          <w:color w:val="231F20"/>
          <w:spacing w:val="-2"/>
          <w:sz w:val="19"/>
        </w:rPr>
        <w:t>dissuasiveness.</w:t>
      </w:r>
      <w:r>
        <w:rPr>
          <w:color w:val="231F20"/>
          <w:spacing w:val="-2"/>
          <w:sz w:val="19"/>
          <w:vertAlign w:val="superscript"/>
        </w:rPr>
        <w:t>200</w:t>
      </w:r>
      <w:r>
        <w:rPr>
          <w:color w:val="231F20"/>
          <w:spacing w:val="-2"/>
          <w:sz w:val="19"/>
          <w:vertAlign w:val="baseline"/>
        </w:rPr>
        <w:t> </w:t>
      </w:r>
      <w:r>
        <w:rPr>
          <w:color w:val="231F20"/>
          <w:sz w:val="19"/>
          <w:vertAlign w:val="baseline"/>
        </w:rPr>
        <w:t>In</w:t>
      </w:r>
      <w:r>
        <w:rPr>
          <w:color w:val="231F20"/>
          <w:spacing w:val="-1"/>
          <w:sz w:val="19"/>
          <w:vertAlign w:val="baseline"/>
        </w:rPr>
        <w:t> </w:t>
      </w:r>
      <w:r>
        <w:rPr>
          <w:i/>
          <w:color w:val="231F20"/>
          <w:sz w:val="19"/>
          <w:vertAlign w:val="baseline"/>
        </w:rPr>
        <w:t>Bank</w:t>
      </w:r>
      <w:r>
        <w:rPr>
          <w:i/>
          <w:color w:val="231F20"/>
          <w:spacing w:val="-1"/>
          <w:sz w:val="19"/>
          <w:vertAlign w:val="baseline"/>
        </w:rPr>
        <w:t> </w:t>
      </w:r>
      <w:r>
        <w:rPr>
          <w:i/>
          <w:color w:val="231F20"/>
          <w:sz w:val="19"/>
          <w:vertAlign w:val="baseline"/>
        </w:rPr>
        <w:t>M.</w:t>
      </w:r>
      <w:r>
        <w:rPr>
          <w:color w:val="231F20"/>
          <w:sz w:val="19"/>
          <w:vertAlign w:val="baseline"/>
        </w:rPr>
        <w:t>, where effectiveness</w:t>
      </w:r>
      <w:r>
        <w:rPr>
          <w:color w:val="231F20"/>
          <w:spacing w:val="-1"/>
          <w:sz w:val="19"/>
          <w:vertAlign w:val="baseline"/>
        </w:rPr>
        <w:t> </w:t>
      </w:r>
      <w:r>
        <w:rPr>
          <w:color w:val="231F20"/>
          <w:sz w:val="19"/>
          <w:vertAlign w:val="baseline"/>
        </w:rPr>
        <w:t>was also</w:t>
      </w:r>
      <w:r>
        <w:rPr>
          <w:color w:val="231F20"/>
          <w:spacing w:val="-1"/>
          <w:sz w:val="19"/>
          <w:vertAlign w:val="baseline"/>
        </w:rPr>
        <w:t> </w:t>
      </w:r>
      <w:r>
        <w:rPr>
          <w:color w:val="231F20"/>
          <w:sz w:val="19"/>
          <w:vertAlign w:val="baseline"/>
        </w:rPr>
        <w:t>relevant,</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Court further justified this </w:t>
      </w:r>
      <w:r>
        <w:rPr>
          <w:color w:val="231F20"/>
          <w:spacing w:val="-4"/>
          <w:sz w:val="19"/>
          <w:vertAlign w:val="baseline"/>
        </w:rPr>
        <w:t>sanction</w:t>
      </w:r>
      <w:r>
        <w:rPr>
          <w:color w:val="231F20"/>
          <w:spacing w:val="-8"/>
          <w:sz w:val="19"/>
          <w:vertAlign w:val="baseline"/>
        </w:rPr>
        <w:t> </w:t>
      </w:r>
      <w:r>
        <w:rPr>
          <w:color w:val="231F20"/>
          <w:spacing w:val="-4"/>
          <w:sz w:val="19"/>
          <w:vertAlign w:val="baseline"/>
        </w:rPr>
        <w:t>in</w:t>
      </w:r>
      <w:r>
        <w:rPr>
          <w:color w:val="231F20"/>
          <w:spacing w:val="-7"/>
          <w:sz w:val="19"/>
          <w:vertAlign w:val="baseline"/>
        </w:rPr>
        <w:t> </w:t>
      </w:r>
      <w:r>
        <w:rPr>
          <w:color w:val="231F20"/>
          <w:spacing w:val="-4"/>
          <w:sz w:val="19"/>
          <w:vertAlign w:val="baseline"/>
        </w:rPr>
        <w:t>the</w:t>
      </w:r>
      <w:r>
        <w:rPr>
          <w:color w:val="231F20"/>
          <w:spacing w:val="-8"/>
          <w:sz w:val="19"/>
          <w:vertAlign w:val="baseline"/>
        </w:rPr>
        <w:t> </w:t>
      </w:r>
      <w:r>
        <w:rPr>
          <w:color w:val="231F20"/>
          <w:spacing w:val="-4"/>
          <w:sz w:val="19"/>
          <w:vertAlign w:val="baseline"/>
        </w:rPr>
        <w:t>principle</w:t>
      </w:r>
      <w:r>
        <w:rPr>
          <w:color w:val="231F20"/>
          <w:spacing w:val="-7"/>
          <w:sz w:val="19"/>
          <w:vertAlign w:val="baseline"/>
        </w:rPr>
        <w:t> </w:t>
      </w:r>
      <w:r>
        <w:rPr>
          <w:i/>
          <w:color w:val="231F20"/>
          <w:spacing w:val="-4"/>
          <w:sz w:val="19"/>
          <w:vertAlign w:val="baseline"/>
        </w:rPr>
        <w:t>nemo</w:t>
      </w:r>
      <w:r>
        <w:rPr>
          <w:i/>
          <w:color w:val="231F20"/>
          <w:spacing w:val="-8"/>
          <w:sz w:val="19"/>
          <w:vertAlign w:val="baseline"/>
        </w:rPr>
        <w:t> </w:t>
      </w:r>
      <w:r>
        <w:rPr>
          <w:i/>
          <w:color w:val="231F20"/>
          <w:spacing w:val="-4"/>
          <w:sz w:val="19"/>
          <w:vertAlign w:val="baseline"/>
        </w:rPr>
        <w:t>auditur</w:t>
      </w:r>
      <w:r>
        <w:rPr>
          <w:i/>
          <w:color w:val="231F20"/>
          <w:spacing w:val="-7"/>
          <w:sz w:val="19"/>
          <w:vertAlign w:val="baseline"/>
        </w:rPr>
        <w:t> </w:t>
      </w:r>
      <w:r>
        <w:rPr>
          <w:i/>
          <w:color w:val="231F20"/>
          <w:spacing w:val="-4"/>
          <w:sz w:val="19"/>
          <w:vertAlign w:val="baseline"/>
        </w:rPr>
        <w:t>propriam</w:t>
      </w:r>
      <w:r>
        <w:rPr>
          <w:i/>
          <w:color w:val="231F20"/>
          <w:spacing w:val="-8"/>
          <w:sz w:val="19"/>
          <w:vertAlign w:val="baseline"/>
        </w:rPr>
        <w:t> </w:t>
      </w:r>
      <w:r>
        <w:rPr>
          <w:i/>
          <w:color w:val="231F20"/>
          <w:spacing w:val="-4"/>
          <w:sz w:val="19"/>
          <w:vertAlign w:val="baseline"/>
        </w:rPr>
        <w:t>turpitudinem</w:t>
      </w:r>
      <w:r>
        <w:rPr>
          <w:i/>
          <w:color w:val="231F20"/>
          <w:spacing w:val="-7"/>
          <w:sz w:val="19"/>
          <w:vertAlign w:val="baseline"/>
        </w:rPr>
        <w:t> </w:t>
      </w:r>
      <w:r>
        <w:rPr>
          <w:i/>
          <w:color w:val="231F20"/>
          <w:spacing w:val="-4"/>
          <w:sz w:val="19"/>
          <w:vertAlign w:val="baseline"/>
        </w:rPr>
        <w:t>allegans</w:t>
      </w:r>
      <w:r>
        <w:rPr>
          <w:i/>
          <w:color w:val="231F20"/>
          <w:spacing w:val="-8"/>
          <w:sz w:val="19"/>
          <w:vertAlign w:val="baseline"/>
        </w:rPr>
        <w:t> </w:t>
      </w:r>
      <w:r>
        <w:rPr>
          <w:color w:val="231F20"/>
          <w:spacing w:val="-4"/>
          <w:sz w:val="19"/>
          <w:vertAlign w:val="baseline"/>
        </w:rPr>
        <w:t>(no</w:t>
      </w:r>
      <w:r>
        <w:rPr>
          <w:color w:val="231F20"/>
          <w:spacing w:val="-7"/>
          <w:sz w:val="19"/>
          <w:vertAlign w:val="baseline"/>
        </w:rPr>
        <w:t> </w:t>
      </w:r>
      <w:r>
        <w:rPr>
          <w:color w:val="231F20"/>
          <w:spacing w:val="-4"/>
          <w:sz w:val="19"/>
          <w:vertAlign w:val="baseline"/>
        </w:rPr>
        <w:t>one</w:t>
      </w:r>
      <w:r>
        <w:rPr>
          <w:color w:val="231F20"/>
          <w:spacing w:val="-8"/>
          <w:sz w:val="19"/>
          <w:vertAlign w:val="baseline"/>
        </w:rPr>
        <w:t> </w:t>
      </w:r>
      <w:r>
        <w:rPr>
          <w:color w:val="231F20"/>
          <w:spacing w:val="-4"/>
          <w:sz w:val="19"/>
          <w:vertAlign w:val="baseline"/>
        </w:rPr>
        <w:t>may </w:t>
      </w:r>
      <w:r>
        <w:rPr>
          <w:color w:val="231F20"/>
          <w:sz w:val="19"/>
          <w:vertAlign w:val="baseline"/>
        </w:rPr>
        <w:t>rely on their wrongdoing).</w:t>
      </w:r>
      <w:r>
        <w:rPr>
          <w:color w:val="231F20"/>
          <w:sz w:val="19"/>
          <w:vertAlign w:val="superscript"/>
        </w:rPr>
        <w:t>201</w:t>
      </w:r>
    </w:p>
    <w:p>
      <w:pPr>
        <w:pStyle w:val="BodyText"/>
        <w:spacing w:before="55"/>
      </w:pPr>
    </w:p>
    <w:p>
      <w:pPr>
        <w:pStyle w:val="Heading1"/>
        <w:numPr>
          <w:ilvl w:val="0"/>
          <w:numId w:val="1"/>
        </w:numPr>
        <w:tabs>
          <w:tab w:pos="865" w:val="left" w:leader="none"/>
        </w:tabs>
        <w:spacing w:line="240" w:lineRule="auto" w:before="0" w:after="0"/>
        <w:ind w:left="865" w:right="0" w:hanging="353"/>
        <w:jc w:val="left"/>
      </w:pPr>
      <w:r>
        <w:rPr>
          <w:color w:val="231F20"/>
          <w:w w:val="105"/>
        </w:rPr>
        <w:t>De-harmonizing</w:t>
      </w:r>
      <w:r>
        <w:rPr>
          <w:color w:val="231F20"/>
          <w:spacing w:val="56"/>
          <w:w w:val="105"/>
        </w:rPr>
        <w:t> </w:t>
      </w:r>
      <w:r>
        <w:rPr>
          <w:color w:val="231F20"/>
          <w:w w:val="105"/>
        </w:rPr>
        <w:t>Article</w:t>
      </w:r>
      <w:r>
        <w:rPr>
          <w:color w:val="231F20"/>
          <w:spacing w:val="55"/>
          <w:w w:val="105"/>
        </w:rPr>
        <w:t> </w:t>
      </w:r>
      <w:r>
        <w:rPr>
          <w:color w:val="231F20"/>
          <w:w w:val="105"/>
        </w:rPr>
        <w:t>6(1)</w:t>
      </w:r>
      <w:r>
        <w:rPr>
          <w:color w:val="231F20"/>
          <w:spacing w:val="57"/>
          <w:w w:val="105"/>
        </w:rPr>
        <w:t> </w:t>
      </w:r>
      <w:r>
        <w:rPr>
          <w:color w:val="231F20"/>
          <w:spacing w:val="-2"/>
          <w:w w:val="105"/>
        </w:rPr>
        <w:t>UCTD?</w:t>
      </w:r>
    </w:p>
    <w:p>
      <w:pPr>
        <w:pStyle w:val="ListParagraph"/>
        <w:numPr>
          <w:ilvl w:val="0"/>
          <w:numId w:val="4"/>
        </w:numPr>
        <w:tabs>
          <w:tab w:pos="1428" w:val="left" w:leader="none"/>
        </w:tabs>
        <w:spacing w:line="288" w:lineRule="auto" w:before="166" w:after="0"/>
        <w:ind w:left="871" w:right="868" w:firstLine="0"/>
        <w:jc w:val="both"/>
        <w:rPr>
          <w:sz w:val="19"/>
        </w:rPr>
      </w:pPr>
      <w:r>
        <w:rPr>
          <w:color w:val="231F20"/>
          <w:sz w:val="19"/>
        </w:rPr>
        <w:t>The</w:t>
      </w:r>
      <w:r>
        <w:rPr>
          <w:color w:val="231F20"/>
          <w:spacing w:val="-8"/>
          <w:sz w:val="19"/>
        </w:rPr>
        <w:t> </w:t>
      </w:r>
      <w:r>
        <w:rPr>
          <w:color w:val="231F20"/>
          <w:sz w:val="19"/>
        </w:rPr>
        <w:t>restrictive</w:t>
      </w:r>
      <w:r>
        <w:rPr>
          <w:color w:val="231F20"/>
          <w:spacing w:val="-9"/>
          <w:sz w:val="19"/>
        </w:rPr>
        <w:t> </w:t>
      </w:r>
      <w:r>
        <w:rPr>
          <w:color w:val="231F20"/>
          <w:sz w:val="19"/>
        </w:rPr>
        <w:t>approach</w:t>
      </w:r>
      <w:r>
        <w:rPr>
          <w:color w:val="231F20"/>
          <w:spacing w:val="-9"/>
          <w:sz w:val="19"/>
        </w:rPr>
        <w:t> </w:t>
      </w:r>
      <w:r>
        <w:rPr>
          <w:color w:val="231F20"/>
          <w:sz w:val="19"/>
        </w:rPr>
        <w:t>to</w:t>
      </w:r>
      <w:r>
        <w:rPr>
          <w:color w:val="231F20"/>
          <w:spacing w:val="-9"/>
          <w:sz w:val="19"/>
        </w:rPr>
        <w:t> </w:t>
      </w:r>
      <w:r>
        <w:rPr>
          <w:color w:val="231F20"/>
          <w:sz w:val="19"/>
        </w:rPr>
        <w:t>national</w:t>
      </w:r>
      <w:r>
        <w:rPr>
          <w:color w:val="231F20"/>
          <w:spacing w:val="-9"/>
          <w:sz w:val="19"/>
        </w:rPr>
        <w:t> </w:t>
      </w:r>
      <w:r>
        <w:rPr>
          <w:color w:val="231F20"/>
          <w:sz w:val="19"/>
        </w:rPr>
        <w:t>law</w:t>
      </w:r>
      <w:r>
        <w:rPr>
          <w:color w:val="231F20"/>
          <w:spacing w:val="-8"/>
          <w:sz w:val="19"/>
        </w:rPr>
        <w:t> </w:t>
      </w:r>
      <w:r>
        <w:rPr>
          <w:color w:val="231F20"/>
          <w:sz w:val="19"/>
        </w:rPr>
        <w:t>to</w:t>
      </w:r>
      <w:r>
        <w:rPr>
          <w:color w:val="231F20"/>
          <w:spacing w:val="-9"/>
          <w:sz w:val="19"/>
        </w:rPr>
        <w:t> </w:t>
      </w:r>
      <w:r>
        <w:rPr>
          <w:color w:val="231F20"/>
          <w:sz w:val="19"/>
        </w:rPr>
        <w:t>supplement</w:t>
      </w:r>
      <w:r>
        <w:rPr>
          <w:color w:val="231F20"/>
          <w:spacing w:val="-9"/>
          <w:sz w:val="19"/>
        </w:rPr>
        <w:t> </w:t>
      </w:r>
      <w:r>
        <w:rPr>
          <w:color w:val="231F20"/>
          <w:sz w:val="19"/>
        </w:rPr>
        <w:t>the</w:t>
      </w:r>
      <w:r>
        <w:rPr>
          <w:color w:val="231F20"/>
          <w:spacing w:val="-8"/>
          <w:sz w:val="19"/>
        </w:rPr>
        <w:t> </w:t>
      </w:r>
      <w:r>
        <w:rPr>
          <w:color w:val="231F20"/>
          <w:sz w:val="19"/>
        </w:rPr>
        <w:t>contract</w:t>
      </w:r>
      <w:r>
        <w:rPr>
          <w:color w:val="231F20"/>
          <w:spacing w:val="-9"/>
          <w:sz w:val="19"/>
        </w:rPr>
        <w:t> </w:t>
      </w:r>
      <w:r>
        <w:rPr>
          <w:color w:val="231F20"/>
          <w:sz w:val="19"/>
        </w:rPr>
        <w:t>when</w:t>
      </w:r>
      <w:r>
        <w:rPr>
          <w:color w:val="231F20"/>
          <w:spacing w:val="-8"/>
          <w:sz w:val="19"/>
        </w:rPr>
        <w:t> </w:t>
      </w:r>
      <w:r>
        <w:rPr>
          <w:color w:val="231F20"/>
          <w:sz w:val="19"/>
        </w:rPr>
        <w:t>it cannot</w:t>
      </w:r>
      <w:r>
        <w:rPr>
          <w:color w:val="231F20"/>
          <w:spacing w:val="-12"/>
          <w:sz w:val="19"/>
        </w:rPr>
        <w:t> </w:t>
      </w:r>
      <w:r>
        <w:rPr>
          <w:color w:val="231F20"/>
          <w:sz w:val="19"/>
        </w:rPr>
        <w:t>continue</w:t>
      </w:r>
      <w:r>
        <w:rPr>
          <w:color w:val="231F20"/>
          <w:spacing w:val="-11"/>
          <w:sz w:val="19"/>
        </w:rPr>
        <w:t> </w:t>
      </w:r>
      <w:r>
        <w:rPr>
          <w:color w:val="231F20"/>
          <w:sz w:val="19"/>
        </w:rPr>
        <w:t>in</w:t>
      </w:r>
      <w:r>
        <w:rPr>
          <w:color w:val="231F20"/>
          <w:spacing w:val="-12"/>
          <w:sz w:val="19"/>
        </w:rPr>
        <w:t> </w:t>
      </w:r>
      <w:r>
        <w:rPr>
          <w:color w:val="231F20"/>
          <w:sz w:val="19"/>
        </w:rPr>
        <w:t>existence,</w:t>
      </w:r>
      <w:r>
        <w:rPr>
          <w:color w:val="231F20"/>
          <w:spacing w:val="-11"/>
          <w:sz w:val="19"/>
        </w:rPr>
        <w:t> </w:t>
      </w:r>
      <w:r>
        <w:rPr>
          <w:color w:val="231F20"/>
          <w:sz w:val="19"/>
        </w:rPr>
        <w:t>as</w:t>
      </w:r>
      <w:r>
        <w:rPr>
          <w:color w:val="231F20"/>
          <w:spacing w:val="-12"/>
          <w:sz w:val="19"/>
        </w:rPr>
        <w:t> </w:t>
      </w:r>
      <w:r>
        <w:rPr>
          <w:color w:val="231F20"/>
          <w:sz w:val="19"/>
        </w:rPr>
        <w:t>established</w:t>
      </w:r>
      <w:r>
        <w:rPr>
          <w:color w:val="231F20"/>
          <w:spacing w:val="-11"/>
          <w:sz w:val="19"/>
        </w:rPr>
        <w:t> </w:t>
      </w:r>
      <w:r>
        <w:rPr>
          <w:color w:val="231F20"/>
          <w:sz w:val="19"/>
        </w:rPr>
        <w:t>in</w:t>
      </w:r>
      <w:r>
        <w:rPr>
          <w:color w:val="231F20"/>
          <w:spacing w:val="-12"/>
          <w:sz w:val="19"/>
        </w:rPr>
        <w:t> </w:t>
      </w:r>
      <w:r>
        <w:rPr>
          <w:color w:val="231F20"/>
          <w:sz w:val="19"/>
        </w:rPr>
        <w:t>Case</w:t>
      </w:r>
      <w:r>
        <w:rPr>
          <w:color w:val="231F20"/>
          <w:spacing w:val="-11"/>
          <w:sz w:val="19"/>
        </w:rPr>
        <w:t> </w:t>
      </w:r>
      <w:r>
        <w:rPr>
          <w:color w:val="231F20"/>
          <w:sz w:val="19"/>
        </w:rPr>
        <w:t>C-26/13,</w:t>
      </w:r>
      <w:r>
        <w:rPr>
          <w:color w:val="231F20"/>
          <w:spacing w:val="-12"/>
          <w:sz w:val="19"/>
        </w:rPr>
        <w:t> </w:t>
      </w:r>
      <w:r>
        <w:rPr>
          <w:i/>
          <w:color w:val="231F20"/>
          <w:sz w:val="19"/>
        </w:rPr>
        <w:t>Kásler</w:t>
      </w:r>
      <w:r>
        <w:rPr>
          <w:color w:val="231F20"/>
          <w:sz w:val="19"/>
        </w:rPr>
        <w:t>,</w:t>
      </w:r>
      <w:r>
        <w:rPr>
          <w:color w:val="231F20"/>
          <w:spacing w:val="-11"/>
          <w:sz w:val="19"/>
        </w:rPr>
        <w:t> </w:t>
      </w:r>
      <w:r>
        <w:rPr>
          <w:color w:val="231F20"/>
          <w:sz w:val="19"/>
        </w:rPr>
        <w:t>has</w:t>
      </w:r>
      <w:r>
        <w:rPr>
          <w:color w:val="231F20"/>
          <w:spacing w:val="-12"/>
          <w:sz w:val="19"/>
        </w:rPr>
        <w:t> </w:t>
      </w:r>
      <w:r>
        <w:rPr>
          <w:color w:val="231F20"/>
          <w:sz w:val="19"/>
        </w:rPr>
        <w:t>proven</w:t>
      </w:r>
      <w:r>
        <w:rPr>
          <w:color w:val="231F20"/>
          <w:spacing w:val="-11"/>
          <w:sz w:val="19"/>
        </w:rPr>
        <w:t> </w:t>
      </w:r>
      <w:r>
        <w:rPr>
          <w:color w:val="231F20"/>
          <w:sz w:val="19"/>
        </w:rPr>
        <w:t>to be problematic. It is often the case that there is no supplementary provision in national law that could replace the unfair term. If the ruling in </w:t>
      </w:r>
      <w:r>
        <w:rPr>
          <w:i/>
          <w:color w:val="231F20"/>
          <w:sz w:val="19"/>
        </w:rPr>
        <w:t>Kásler </w:t>
      </w:r>
      <w:r>
        <w:rPr>
          <w:color w:val="231F20"/>
          <w:sz w:val="19"/>
        </w:rPr>
        <w:t>were to be followed</w:t>
      </w:r>
      <w:r>
        <w:rPr>
          <w:color w:val="231F20"/>
          <w:spacing w:val="-12"/>
          <w:sz w:val="19"/>
        </w:rPr>
        <w:t> </w:t>
      </w:r>
      <w:r>
        <w:rPr>
          <w:color w:val="231F20"/>
          <w:sz w:val="19"/>
        </w:rPr>
        <w:t>strictly</w:t>
      </w:r>
      <w:r>
        <w:rPr>
          <w:color w:val="231F20"/>
          <w:spacing w:val="-11"/>
          <w:sz w:val="19"/>
        </w:rPr>
        <w:t> </w:t>
      </w:r>
      <w:r>
        <w:rPr>
          <w:color w:val="231F20"/>
          <w:sz w:val="19"/>
        </w:rPr>
        <w:t>as</w:t>
      </w:r>
      <w:r>
        <w:rPr>
          <w:color w:val="231F20"/>
          <w:spacing w:val="-10"/>
          <w:sz w:val="19"/>
        </w:rPr>
        <w:t> </w:t>
      </w:r>
      <w:r>
        <w:rPr>
          <w:color w:val="231F20"/>
          <w:sz w:val="19"/>
        </w:rPr>
        <w:t>regards</w:t>
      </w:r>
      <w:r>
        <w:rPr>
          <w:color w:val="231F20"/>
          <w:spacing w:val="-11"/>
          <w:sz w:val="19"/>
        </w:rPr>
        <w:t> </w:t>
      </w:r>
      <w:r>
        <w:rPr>
          <w:color w:val="231F20"/>
          <w:sz w:val="19"/>
        </w:rPr>
        <w:t>the</w:t>
      </w:r>
      <w:r>
        <w:rPr>
          <w:color w:val="231F20"/>
          <w:spacing w:val="-11"/>
          <w:sz w:val="19"/>
        </w:rPr>
        <w:t> </w:t>
      </w:r>
      <w:r>
        <w:rPr>
          <w:color w:val="231F20"/>
          <w:sz w:val="19"/>
        </w:rPr>
        <w:t>materials</w:t>
      </w:r>
      <w:r>
        <w:rPr>
          <w:color w:val="231F20"/>
          <w:spacing w:val="-11"/>
          <w:sz w:val="19"/>
        </w:rPr>
        <w:t> </w:t>
      </w:r>
      <w:r>
        <w:rPr>
          <w:color w:val="231F20"/>
          <w:sz w:val="19"/>
        </w:rPr>
        <w:t>that</w:t>
      </w:r>
      <w:r>
        <w:rPr>
          <w:color w:val="231F20"/>
          <w:spacing w:val="-11"/>
          <w:sz w:val="19"/>
        </w:rPr>
        <w:t> </w:t>
      </w:r>
      <w:r>
        <w:rPr>
          <w:color w:val="231F20"/>
          <w:sz w:val="19"/>
        </w:rPr>
        <w:t>can</w:t>
      </w:r>
      <w:r>
        <w:rPr>
          <w:color w:val="231F20"/>
          <w:spacing w:val="-12"/>
          <w:sz w:val="19"/>
        </w:rPr>
        <w:t> </w:t>
      </w:r>
      <w:r>
        <w:rPr>
          <w:color w:val="231F20"/>
          <w:sz w:val="19"/>
        </w:rPr>
        <w:t>integrate</w:t>
      </w:r>
      <w:r>
        <w:rPr>
          <w:color w:val="231F20"/>
          <w:spacing w:val="-11"/>
          <w:sz w:val="19"/>
        </w:rPr>
        <w:t> </w:t>
      </w:r>
      <w:r>
        <w:rPr>
          <w:color w:val="231F20"/>
          <w:sz w:val="19"/>
        </w:rPr>
        <w:t>the</w:t>
      </w:r>
      <w:r>
        <w:rPr>
          <w:color w:val="231F20"/>
          <w:spacing w:val="-11"/>
          <w:sz w:val="19"/>
        </w:rPr>
        <w:t> </w:t>
      </w:r>
      <w:r>
        <w:rPr>
          <w:color w:val="231F20"/>
          <w:sz w:val="19"/>
        </w:rPr>
        <w:t>contract</w:t>
      </w:r>
      <w:r>
        <w:rPr>
          <w:color w:val="231F20"/>
          <w:spacing w:val="-12"/>
          <w:sz w:val="19"/>
        </w:rPr>
        <w:t> </w:t>
      </w:r>
      <w:r>
        <w:rPr>
          <w:color w:val="231F20"/>
          <w:sz w:val="19"/>
        </w:rPr>
        <w:t>(as</w:t>
      </w:r>
      <w:r>
        <w:rPr>
          <w:color w:val="231F20"/>
          <w:spacing w:val="-10"/>
          <w:sz w:val="19"/>
        </w:rPr>
        <w:t> </w:t>
      </w:r>
      <w:r>
        <w:rPr>
          <w:color w:val="231F20"/>
          <w:sz w:val="19"/>
        </w:rPr>
        <w:t>in</w:t>
      </w:r>
      <w:r>
        <w:rPr>
          <w:color w:val="231F20"/>
          <w:spacing w:val="-11"/>
          <w:sz w:val="19"/>
        </w:rPr>
        <w:t> </w:t>
      </w:r>
      <w:r>
        <w:rPr>
          <w:color w:val="231F20"/>
          <w:sz w:val="19"/>
        </w:rPr>
        <w:t>Case 260/18, </w:t>
      </w:r>
      <w:r>
        <w:rPr>
          <w:i/>
          <w:color w:val="231F20"/>
          <w:sz w:val="19"/>
        </w:rPr>
        <w:t>Dziubak </w:t>
      </w:r>
      <w:r>
        <w:rPr>
          <w:color w:val="231F20"/>
          <w:sz w:val="19"/>
        </w:rPr>
        <w:t>and others),</w:t>
      </w:r>
      <w:r>
        <w:rPr>
          <w:color w:val="231F20"/>
          <w:sz w:val="19"/>
          <w:vertAlign w:val="superscript"/>
        </w:rPr>
        <w:t>202</w:t>
      </w:r>
      <w:r>
        <w:rPr>
          <w:color w:val="231F20"/>
          <w:sz w:val="19"/>
          <w:vertAlign w:val="baseline"/>
        </w:rPr>
        <w:t> the only solution left to the courts would be to annul</w:t>
      </w:r>
      <w:r>
        <w:rPr>
          <w:color w:val="231F20"/>
          <w:spacing w:val="-3"/>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contract.</w:t>
      </w:r>
      <w:r>
        <w:rPr>
          <w:color w:val="231F20"/>
          <w:spacing w:val="-3"/>
          <w:sz w:val="19"/>
          <w:vertAlign w:val="baseline"/>
        </w:rPr>
        <w:t> </w:t>
      </w:r>
      <w:r>
        <w:rPr>
          <w:color w:val="231F20"/>
          <w:sz w:val="19"/>
          <w:vertAlign w:val="baseline"/>
        </w:rPr>
        <w:t>This</w:t>
      </w:r>
      <w:r>
        <w:rPr>
          <w:color w:val="231F20"/>
          <w:spacing w:val="-3"/>
          <w:sz w:val="19"/>
          <w:vertAlign w:val="baseline"/>
        </w:rPr>
        <w:t> </w:t>
      </w:r>
      <w:r>
        <w:rPr>
          <w:color w:val="231F20"/>
          <w:sz w:val="19"/>
          <w:vertAlign w:val="baseline"/>
        </w:rPr>
        <w:t>would</w:t>
      </w:r>
      <w:r>
        <w:rPr>
          <w:color w:val="231F20"/>
          <w:spacing w:val="-4"/>
          <w:sz w:val="19"/>
          <w:vertAlign w:val="baseline"/>
        </w:rPr>
        <w:t> </w:t>
      </w:r>
      <w:r>
        <w:rPr>
          <w:color w:val="231F20"/>
          <w:sz w:val="19"/>
          <w:vertAlign w:val="baseline"/>
        </w:rPr>
        <w:t>penalize</w:t>
      </w:r>
      <w:r>
        <w:rPr>
          <w:color w:val="231F20"/>
          <w:spacing w:val="-2"/>
          <w:sz w:val="19"/>
          <w:vertAlign w:val="baseline"/>
        </w:rPr>
        <w:t> </w:t>
      </w:r>
      <w:r>
        <w:rPr>
          <w:color w:val="231F20"/>
          <w:sz w:val="19"/>
          <w:vertAlign w:val="baseline"/>
        </w:rPr>
        <w:t>consumers</w:t>
      </w:r>
      <w:r>
        <w:rPr>
          <w:color w:val="231F20"/>
          <w:spacing w:val="-3"/>
          <w:sz w:val="19"/>
          <w:vertAlign w:val="baseline"/>
        </w:rPr>
        <w:t> </w:t>
      </w:r>
      <w:r>
        <w:rPr>
          <w:color w:val="231F20"/>
          <w:sz w:val="19"/>
          <w:vertAlign w:val="baseline"/>
        </w:rPr>
        <w:t>if,</w:t>
      </w:r>
      <w:r>
        <w:rPr>
          <w:color w:val="231F20"/>
          <w:spacing w:val="-2"/>
          <w:sz w:val="19"/>
          <w:vertAlign w:val="baseline"/>
        </w:rPr>
        <w:t> </w:t>
      </w:r>
      <w:r>
        <w:rPr>
          <w:color w:val="231F20"/>
          <w:sz w:val="19"/>
          <w:vertAlign w:val="baseline"/>
        </w:rPr>
        <w:t>as</w:t>
      </w:r>
      <w:r>
        <w:rPr>
          <w:color w:val="231F20"/>
          <w:spacing w:val="-2"/>
          <w:sz w:val="19"/>
          <w:vertAlign w:val="baseline"/>
        </w:rPr>
        <w:t> </w:t>
      </w:r>
      <w:r>
        <w:rPr>
          <w:color w:val="231F20"/>
          <w:sz w:val="19"/>
          <w:vertAlign w:val="baseline"/>
        </w:rPr>
        <w:t>in</w:t>
      </w:r>
      <w:r>
        <w:rPr>
          <w:color w:val="231F20"/>
          <w:spacing w:val="-3"/>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many</w:t>
      </w:r>
      <w:r>
        <w:rPr>
          <w:color w:val="231F20"/>
          <w:spacing w:val="-4"/>
          <w:sz w:val="19"/>
          <w:vertAlign w:val="baseline"/>
        </w:rPr>
        <w:t> </w:t>
      </w:r>
      <w:r>
        <w:rPr>
          <w:color w:val="231F20"/>
          <w:sz w:val="19"/>
          <w:vertAlign w:val="baseline"/>
        </w:rPr>
        <w:t>cases</w:t>
      </w:r>
      <w:r>
        <w:rPr>
          <w:color w:val="231F20"/>
          <w:spacing w:val="-2"/>
          <w:sz w:val="19"/>
          <w:vertAlign w:val="baseline"/>
        </w:rPr>
        <w:t> </w:t>
      </w:r>
      <w:r>
        <w:rPr>
          <w:color w:val="231F20"/>
          <w:sz w:val="19"/>
          <w:vertAlign w:val="baseline"/>
        </w:rPr>
        <w:t>before the ECJ, they would then have to reimburse the outstanding balance of a loan.</w:t>
      </w:r>
    </w:p>
    <w:p>
      <w:pPr>
        <w:pStyle w:val="ListParagraph"/>
        <w:numPr>
          <w:ilvl w:val="0"/>
          <w:numId w:val="4"/>
        </w:numPr>
        <w:tabs>
          <w:tab w:pos="1428" w:val="left" w:leader="none"/>
        </w:tabs>
        <w:spacing w:line="288" w:lineRule="auto" w:before="119" w:after="0"/>
        <w:ind w:left="871" w:right="868" w:firstLine="0"/>
        <w:jc w:val="both"/>
        <w:rPr>
          <w:sz w:val="19"/>
        </w:rPr>
      </w:pPr>
      <w:r>
        <w:rPr>
          <w:color w:val="231F20"/>
          <w:sz w:val="19"/>
        </w:rPr>
        <w:t>Therefore,</w:t>
      </w:r>
      <w:r>
        <w:rPr>
          <w:color w:val="231F20"/>
          <w:spacing w:val="-7"/>
          <w:sz w:val="19"/>
        </w:rPr>
        <w:t> </w:t>
      </w:r>
      <w:r>
        <w:rPr>
          <w:color w:val="231F20"/>
          <w:sz w:val="19"/>
        </w:rPr>
        <w:t>as</w:t>
      </w:r>
      <w:r>
        <w:rPr>
          <w:color w:val="231F20"/>
          <w:spacing w:val="-5"/>
          <w:sz w:val="19"/>
        </w:rPr>
        <w:t> </w:t>
      </w:r>
      <w:r>
        <w:rPr>
          <w:color w:val="231F20"/>
          <w:sz w:val="19"/>
        </w:rPr>
        <w:t>suggested</w:t>
      </w:r>
      <w:r>
        <w:rPr>
          <w:color w:val="231F20"/>
          <w:spacing w:val="-6"/>
          <w:sz w:val="19"/>
        </w:rPr>
        <w:t> </w:t>
      </w:r>
      <w:r>
        <w:rPr>
          <w:color w:val="231F20"/>
          <w:sz w:val="19"/>
        </w:rPr>
        <w:t>before,</w:t>
      </w:r>
      <w:r>
        <w:rPr>
          <w:color w:val="231F20"/>
          <w:sz w:val="19"/>
          <w:vertAlign w:val="superscript"/>
        </w:rPr>
        <w:t>203</w:t>
      </w:r>
      <w:r>
        <w:rPr>
          <w:color w:val="231F20"/>
          <w:spacing w:val="-6"/>
          <w:sz w:val="19"/>
          <w:vertAlign w:val="baseline"/>
        </w:rPr>
        <w:t> </w:t>
      </w:r>
      <w:r>
        <w:rPr>
          <w:color w:val="231F20"/>
          <w:sz w:val="19"/>
          <w:vertAlign w:val="baseline"/>
        </w:rPr>
        <w:t>the</w:t>
      </w:r>
      <w:r>
        <w:rPr>
          <w:color w:val="231F20"/>
          <w:spacing w:val="-4"/>
          <w:sz w:val="19"/>
          <w:vertAlign w:val="baseline"/>
        </w:rPr>
        <w:t> </w:t>
      </w:r>
      <w:r>
        <w:rPr>
          <w:color w:val="231F20"/>
          <w:sz w:val="19"/>
          <w:vertAlign w:val="baseline"/>
        </w:rPr>
        <w:t>ECJ</w:t>
      </w:r>
      <w:r>
        <w:rPr>
          <w:color w:val="231F20"/>
          <w:spacing w:val="-5"/>
          <w:sz w:val="19"/>
          <w:vertAlign w:val="baseline"/>
        </w:rPr>
        <w:t> </w:t>
      </w:r>
      <w:r>
        <w:rPr>
          <w:color w:val="231F20"/>
          <w:sz w:val="19"/>
          <w:vertAlign w:val="baseline"/>
        </w:rPr>
        <w:t>should</w:t>
      </w:r>
      <w:r>
        <w:rPr>
          <w:color w:val="231F20"/>
          <w:spacing w:val="-6"/>
          <w:sz w:val="19"/>
          <w:vertAlign w:val="baseline"/>
        </w:rPr>
        <w:t> </w:t>
      </w:r>
      <w:r>
        <w:rPr>
          <w:color w:val="231F20"/>
          <w:sz w:val="19"/>
          <w:vertAlign w:val="baseline"/>
        </w:rPr>
        <w:t>be</w:t>
      </w:r>
      <w:r>
        <w:rPr>
          <w:color w:val="231F20"/>
          <w:spacing w:val="-5"/>
          <w:sz w:val="19"/>
          <w:vertAlign w:val="baseline"/>
        </w:rPr>
        <w:t> </w:t>
      </w:r>
      <w:r>
        <w:rPr>
          <w:color w:val="231F20"/>
          <w:sz w:val="19"/>
          <w:vertAlign w:val="baseline"/>
        </w:rPr>
        <w:t>more</w:t>
      </w:r>
      <w:r>
        <w:rPr>
          <w:color w:val="231F20"/>
          <w:spacing w:val="-5"/>
          <w:sz w:val="19"/>
          <w:vertAlign w:val="baseline"/>
        </w:rPr>
        <w:t> </w:t>
      </w:r>
      <w:r>
        <w:rPr>
          <w:color w:val="231F20"/>
          <w:sz w:val="19"/>
          <w:vertAlign w:val="baseline"/>
        </w:rPr>
        <w:t>open</w:t>
      </w:r>
      <w:r>
        <w:rPr>
          <w:color w:val="231F20"/>
          <w:spacing w:val="-5"/>
          <w:sz w:val="19"/>
          <w:vertAlign w:val="baseline"/>
        </w:rPr>
        <w:t> </w:t>
      </w:r>
      <w:r>
        <w:rPr>
          <w:color w:val="231F20"/>
          <w:sz w:val="19"/>
          <w:vertAlign w:val="baseline"/>
        </w:rPr>
        <w:t>to</w:t>
      </w:r>
      <w:r>
        <w:rPr>
          <w:color w:val="231F20"/>
          <w:spacing w:val="-6"/>
          <w:sz w:val="19"/>
          <w:vertAlign w:val="baseline"/>
        </w:rPr>
        <w:t> </w:t>
      </w:r>
      <w:r>
        <w:rPr>
          <w:color w:val="231F20"/>
          <w:sz w:val="19"/>
          <w:vertAlign w:val="baseline"/>
        </w:rPr>
        <w:t>national law</w:t>
      </w:r>
      <w:r>
        <w:rPr>
          <w:color w:val="231F20"/>
          <w:spacing w:val="-10"/>
          <w:sz w:val="19"/>
          <w:vertAlign w:val="baseline"/>
        </w:rPr>
        <w:t> </w:t>
      </w:r>
      <w:r>
        <w:rPr>
          <w:color w:val="231F20"/>
          <w:sz w:val="19"/>
          <w:vertAlign w:val="baseline"/>
        </w:rPr>
        <w:t>in</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context</w:t>
      </w:r>
      <w:r>
        <w:rPr>
          <w:color w:val="231F20"/>
          <w:spacing w:val="-10"/>
          <w:sz w:val="19"/>
          <w:vertAlign w:val="baseline"/>
        </w:rPr>
        <w:t> </w:t>
      </w:r>
      <w:r>
        <w:rPr>
          <w:color w:val="231F20"/>
          <w:sz w:val="19"/>
          <w:vertAlign w:val="baseline"/>
        </w:rPr>
        <w:t>of</w:t>
      </w:r>
      <w:r>
        <w:rPr>
          <w:color w:val="231F20"/>
          <w:spacing w:val="-10"/>
          <w:sz w:val="19"/>
          <w:vertAlign w:val="baseline"/>
        </w:rPr>
        <w:t> </w:t>
      </w:r>
      <w:r>
        <w:rPr>
          <w:color w:val="231F20"/>
          <w:sz w:val="19"/>
          <w:vertAlign w:val="baseline"/>
        </w:rPr>
        <w:t>contracts</w:t>
      </w:r>
      <w:r>
        <w:rPr>
          <w:color w:val="231F20"/>
          <w:spacing w:val="-10"/>
          <w:sz w:val="19"/>
          <w:vertAlign w:val="baseline"/>
        </w:rPr>
        <w:t> </w:t>
      </w:r>
      <w:r>
        <w:rPr>
          <w:color w:val="231F20"/>
          <w:sz w:val="19"/>
          <w:vertAlign w:val="baseline"/>
        </w:rPr>
        <w:t>that</w:t>
      </w:r>
      <w:r>
        <w:rPr>
          <w:color w:val="231F20"/>
          <w:spacing w:val="-11"/>
          <w:sz w:val="19"/>
          <w:vertAlign w:val="baseline"/>
        </w:rPr>
        <w:t> </w:t>
      </w:r>
      <w:r>
        <w:rPr>
          <w:color w:val="231F20"/>
          <w:sz w:val="19"/>
          <w:vertAlign w:val="baseline"/>
        </w:rPr>
        <w:t>cannot</w:t>
      </w:r>
      <w:r>
        <w:rPr>
          <w:color w:val="231F20"/>
          <w:spacing w:val="-10"/>
          <w:sz w:val="19"/>
          <w:vertAlign w:val="baseline"/>
        </w:rPr>
        <w:t> </w:t>
      </w:r>
      <w:r>
        <w:rPr>
          <w:color w:val="231F20"/>
          <w:sz w:val="19"/>
          <w:vertAlign w:val="baseline"/>
        </w:rPr>
        <w:t>continue</w:t>
      </w:r>
      <w:r>
        <w:rPr>
          <w:color w:val="231F20"/>
          <w:spacing w:val="-11"/>
          <w:sz w:val="19"/>
          <w:vertAlign w:val="baseline"/>
        </w:rPr>
        <w:t> </w:t>
      </w:r>
      <w:r>
        <w:rPr>
          <w:color w:val="231F20"/>
          <w:sz w:val="19"/>
          <w:vertAlign w:val="baseline"/>
        </w:rPr>
        <w:t>in</w:t>
      </w:r>
      <w:r>
        <w:rPr>
          <w:color w:val="231F20"/>
          <w:spacing w:val="-10"/>
          <w:sz w:val="19"/>
          <w:vertAlign w:val="baseline"/>
        </w:rPr>
        <w:t> </w:t>
      </w:r>
      <w:r>
        <w:rPr>
          <w:color w:val="231F20"/>
          <w:sz w:val="19"/>
          <w:vertAlign w:val="baseline"/>
        </w:rPr>
        <w:t>existence</w:t>
      </w:r>
      <w:r>
        <w:rPr>
          <w:color w:val="231F20"/>
          <w:spacing w:val="-10"/>
          <w:sz w:val="19"/>
          <w:vertAlign w:val="baseline"/>
        </w:rPr>
        <w:t> </w:t>
      </w:r>
      <w:r>
        <w:rPr>
          <w:color w:val="231F20"/>
          <w:sz w:val="19"/>
          <w:vertAlign w:val="baseline"/>
        </w:rPr>
        <w:t>without</w:t>
      </w:r>
      <w:r>
        <w:rPr>
          <w:color w:val="231F20"/>
          <w:spacing w:val="-10"/>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unfair term, in order to achieve a high level of consumer protection. As dissuasiveness </w:t>
      </w:r>
      <w:r>
        <w:rPr>
          <w:color w:val="231F20"/>
          <w:spacing w:val="-2"/>
          <w:sz w:val="19"/>
          <w:vertAlign w:val="baseline"/>
        </w:rPr>
        <w:t>cannot</w:t>
      </w:r>
      <w:r>
        <w:rPr>
          <w:color w:val="231F20"/>
          <w:spacing w:val="-4"/>
          <w:sz w:val="19"/>
          <w:vertAlign w:val="baseline"/>
        </w:rPr>
        <w:t> </w:t>
      </w:r>
      <w:r>
        <w:rPr>
          <w:color w:val="231F20"/>
          <w:spacing w:val="-2"/>
          <w:sz w:val="19"/>
          <w:vertAlign w:val="baseline"/>
        </w:rPr>
        <w:t>be</w:t>
      </w:r>
      <w:r>
        <w:rPr>
          <w:color w:val="231F20"/>
          <w:spacing w:val="-4"/>
          <w:sz w:val="19"/>
          <w:vertAlign w:val="baseline"/>
        </w:rPr>
        <w:t> </w:t>
      </w:r>
      <w:r>
        <w:rPr>
          <w:color w:val="231F20"/>
          <w:spacing w:val="-2"/>
          <w:sz w:val="19"/>
          <w:vertAlign w:val="baseline"/>
        </w:rPr>
        <w:t>attained</w:t>
      </w:r>
      <w:r>
        <w:rPr>
          <w:color w:val="231F20"/>
          <w:spacing w:val="-5"/>
          <w:sz w:val="19"/>
          <w:vertAlign w:val="baseline"/>
        </w:rPr>
        <w:t> </w:t>
      </w:r>
      <w:r>
        <w:rPr>
          <w:color w:val="231F20"/>
          <w:spacing w:val="-2"/>
          <w:sz w:val="19"/>
          <w:vertAlign w:val="baseline"/>
        </w:rPr>
        <w:t>following</w:t>
      </w:r>
      <w:r>
        <w:rPr>
          <w:color w:val="231F20"/>
          <w:spacing w:val="-4"/>
          <w:sz w:val="19"/>
          <w:vertAlign w:val="baseline"/>
        </w:rPr>
        <w:t> </w:t>
      </w:r>
      <w:r>
        <w:rPr>
          <w:color w:val="231F20"/>
          <w:spacing w:val="-2"/>
          <w:sz w:val="19"/>
          <w:vertAlign w:val="baseline"/>
        </w:rPr>
        <w:t>contract</w:t>
      </w:r>
      <w:r>
        <w:rPr>
          <w:color w:val="231F20"/>
          <w:spacing w:val="-3"/>
          <w:sz w:val="19"/>
          <w:vertAlign w:val="baseline"/>
        </w:rPr>
        <w:t> </w:t>
      </w:r>
      <w:r>
        <w:rPr>
          <w:color w:val="231F20"/>
          <w:spacing w:val="-2"/>
          <w:sz w:val="19"/>
          <w:vertAlign w:val="baseline"/>
        </w:rPr>
        <w:t>revision,</w:t>
      </w:r>
      <w:r>
        <w:rPr>
          <w:color w:val="231F20"/>
          <w:spacing w:val="-4"/>
          <w:sz w:val="19"/>
          <w:vertAlign w:val="baseline"/>
        </w:rPr>
        <w:t> </w:t>
      </w:r>
      <w:r>
        <w:rPr>
          <w:color w:val="231F20"/>
          <w:spacing w:val="-2"/>
          <w:sz w:val="19"/>
          <w:vertAlign w:val="baseline"/>
        </w:rPr>
        <w:t>a</w:t>
      </w:r>
      <w:r>
        <w:rPr>
          <w:color w:val="231F20"/>
          <w:spacing w:val="-4"/>
          <w:sz w:val="19"/>
          <w:vertAlign w:val="baseline"/>
        </w:rPr>
        <w:t> </w:t>
      </w:r>
      <w:r>
        <w:rPr>
          <w:color w:val="231F20"/>
          <w:spacing w:val="-2"/>
          <w:sz w:val="19"/>
          <w:vertAlign w:val="baseline"/>
        </w:rPr>
        <w:t>more</w:t>
      </w:r>
      <w:r>
        <w:rPr>
          <w:color w:val="231F20"/>
          <w:spacing w:val="-4"/>
          <w:sz w:val="19"/>
          <w:vertAlign w:val="baseline"/>
        </w:rPr>
        <w:t> </w:t>
      </w:r>
      <w:r>
        <w:rPr>
          <w:color w:val="231F20"/>
          <w:spacing w:val="-2"/>
          <w:sz w:val="19"/>
          <w:vertAlign w:val="baseline"/>
        </w:rPr>
        <w:t>flexible</w:t>
      </w:r>
      <w:r>
        <w:rPr>
          <w:color w:val="231F20"/>
          <w:spacing w:val="-4"/>
          <w:sz w:val="19"/>
          <w:vertAlign w:val="baseline"/>
        </w:rPr>
        <w:t> </w:t>
      </w:r>
      <w:r>
        <w:rPr>
          <w:color w:val="231F20"/>
          <w:spacing w:val="-2"/>
          <w:sz w:val="19"/>
          <w:vertAlign w:val="baseline"/>
        </w:rPr>
        <w:t>approach</w:t>
      </w:r>
      <w:r>
        <w:rPr>
          <w:color w:val="231F20"/>
          <w:spacing w:val="-4"/>
          <w:sz w:val="19"/>
          <w:vertAlign w:val="baseline"/>
        </w:rPr>
        <w:t> </w:t>
      </w:r>
      <w:r>
        <w:rPr>
          <w:color w:val="231F20"/>
          <w:spacing w:val="-2"/>
          <w:sz w:val="19"/>
          <w:vertAlign w:val="baseline"/>
        </w:rPr>
        <w:t>to</w:t>
      </w:r>
      <w:r>
        <w:rPr>
          <w:color w:val="231F20"/>
          <w:spacing w:val="-5"/>
          <w:sz w:val="19"/>
          <w:vertAlign w:val="baseline"/>
        </w:rPr>
        <w:t> </w:t>
      </w:r>
      <w:r>
        <w:rPr>
          <w:color w:val="231F20"/>
          <w:spacing w:val="-2"/>
          <w:sz w:val="19"/>
          <w:vertAlign w:val="baseline"/>
        </w:rPr>
        <w:t>national </w:t>
      </w:r>
      <w:r>
        <w:rPr>
          <w:color w:val="231F20"/>
          <w:sz w:val="19"/>
          <w:vertAlign w:val="baseline"/>
        </w:rPr>
        <w:t>law would ensure the other aim of Article 6(1) UCTD, which is party equality.</w:t>
      </w:r>
    </w:p>
    <w:p>
      <w:pPr>
        <w:pStyle w:val="BodyText"/>
        <w:rPr>
          <w:sz w:val="20"/>
        </w:rPr>
      </w:pPr>
    </w:p>
    <w:p>
      <w:pPr>
        <w:pStyle w:val="BodyText"/>
        <w:spacing w:before="54"/>
        <w:rPr>
          <w:sz w:val="20"/>
        </w:rPr>
      </w:pPr>
      <w:r>
        <w:rPr/>
        <mc:AlternateContent>
          <mc:Choice Requires="wps">
            <w:drawing>
              <wp:anchor distT="0" distB="0" distL="0" distR="0" allowOverlap="1" layoutInCell="1" locked="0" behindDoc="1" simplePos="0" relativeHeight="487605248">
                <wp:simplePos x="0" y="0"/>
                <wp:positionH relativeFrom="page">
                  <wp:posOffset>1979993</wp:posOffset>
                </wp:positionH>
                <wp:positionV relativeFrom="paragraph">
                  <wp:posOffset>194444</wp:posOffset>
                </wp:positionV>
                <wp:extent cx="1656080" cy="4445"/>
                <wp:effectExtent l="0" t="0" r="0" b="0"/>
                <wp:wrapTopAndBottom/>
                <wp:docPr id="37" name="Graphic 37"/>
                <wp:cNvGraphicFramePr>
                  <a:graphicFrameLocks/>
                </wp:cNvGraphicFramePr>
                <a:graphic>
                  <a:graphicData uri="http://schemas.microsoft.com/office/word/2010/wordprocessingShape">
                    <wps:wsp>
                      <wps:cNvPr id="37" name="Graphic 37"/>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5.310595pt;width:130.394pt;height:.34015pt;mso-position-horizontal-relative:page;mso-position-vertical-relative:paragraph;z-index:-15711232;mso-wrap-distance-left:0;mso-wrap-distance-right:0" id="docshape37" filled="true" fillcolor="#000000" stroked="false">
                <v:fill type="solid"/>
                <w10:wrap type="topAndBottom"/>
              </v:rect>
            </w:pict>
          </mc:Fallback>
        </mc:AlternateContent>
      </w:r>
    </w:p>
    <w:p>
      <w:pPr>
        <w:pStyle w:val="BodyText"/>
        <w:spacing w:before="75"/>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pacing w:val="-2"/>
          <w:sz w:val="16"/>
        </w:rPr>
        <w:t>N.</w:t>
      </w:r>
      <w:r>
        <w:rPr>
          <w:color w:val="231F20"/>
          <w:spacing w:val="3"/>
          <w:sz w:val="16"/>
        </w:rPr>
        <w:t> </w:t>
      </w:r>
      <w:r>
        <w:rPr>
          <w:color w:val="231F20"/>
          <w:spacing w:val="-2"/>
          <w:sz w:val="16"/>
        </w:rPr>
        <w:t>R</w:t>
      </w:r>
      <w:r>
        <w:rPr>
          <w:color w:val="231F20"/>
          <w:spacing w:val="-2"/>
          <w:sz w:val="11"/>
        </w:rPr>
        <w:t>EICH</w:t>
      </w:r>
      <w:r>
        <w:rPr>
          <w:color w:val="231F20"/>
          <w:spacing w:val="-2"/>
          <w:sz w:val="16"/>
        </w:rPr>
        <w:t>,</w:t>
      </w:r>
      <w:r>
        <w:rPr>
          <w:color w:val="231F20"/>
          <w:spacing w:val="3"/>
          <w:sz w:val="16"/>
        </w:rPr>
        <w:t> </w:t>
      </w:r>
      <w:r>
        <w:rPr>
          <w:i/>
          <w:color w:val="231F20"/>
          <w:spacing w:val="-2"/>
          <w:sz w:val="16"/>
        </w:rPr>
        <w:t>General</w:t>
      </w:r>
      <w:r>
        <w:rPr>
          <w:i/>
          <w:color w:val="231F20"/>
          <w:spacing w:val="4"/>
          <w:sz w:val="16"/>
        </w:rPr>
        <w:t> </w:t>
      </w:r>
      <w:r>
        <w:rPr>
          <w:i/>
          <w:color w:val="231F20"/>
          <w:spacing w:val="-2"/>
          <w:sz w:val="16"/>
        </w:rPr>
        <w:t>Principles</w:t>
      </w:r>
      <w:r>
        <w:rPr>
          <w:color w:val="231F20"/>
          <w:spacing w:val="-2"/>
          <w:sz w:val="16"/>
        </w:rPr>
        <w:t>,</w:t>
      </w:r>
      <w:r>
        <w:rPr>
          <w:color w:val="231F20"/>
          <w:spacing w:val="3"/>
          <w:sz w:val="16"/>
        </w:rPr>
        <w:t> </w:t>
      </w:r>
      <w:r>
        <w:rPr>
          <w:color w:val="231F20"/>
          <w:spacing w:val="-2"/>
          <w:sz w:val="16"/>
        </w:rPr>
        <w:t>p</w:t>
      </w:r>
      <w:r>
        <w:rPr>
          <w:color w:val="231F20"/>
          <w:spacing w:val="3"/>
          <w:sz w:val="16"/>
        </w:rPr>
        <w:t> </w:t>
      </w:r>
      <w:r>
        <w:rPr>
          <w:color w:val="231F20"/>
          <w:spacing w:val="-5"/>
          <w:sz w:val="16"/>
        </w:rPr>
        <w:t>92.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Opinion</w:t>
      </w:r>
      <w:r>
        <w:rPr>
          <w:color w:val="231F20"/>
          <w:spacing w:val="5"/>
          <w:sz w:val="16"/>
        </w:rPr>
        <w:t> </w:t>
      </w:r>
      <w:r>
        <w:rPr>
          <w:color w:val="231F20"/>
          <w:sz w:val="16"/>
        </w:rPr>
        <w:t>of</w:t>
      </w:r>
      <w:r>
        <w:rPr>
          <w:color w:val="231F20"/>
          <w:spacing w:val="7"/>
          <w:sz w:val="16"/>
        </w:rPr>
        <w:t> </w:t>
      </w:r>
      <w:r>
        <w:rPr>
          <w:color w:val="231F20"/>
          <w:sz w:val="16"/>
        </w:rPr>
        <w:t>A.G.</w:t>
      </w:r>
      <w:r>
        <w:rPr>
          <w:color w:val="231F20"/>
          <w:spacing w:val="7"/>
          <w:sz w:val="16"/>
        </w:rPr>
        <w:t> </w:t>
      </w:r>
      <w:r>
        <w:rPr>
          <w:color w:val="231F20"/>
          <w:sz w:val="16"/>
        </w:rPr>
        <w:t>C</w:t>
      </w:r>
      <w:r>
        <w:rPr>
          <w:color w:val="231F20"/>
          <w:sz w:val="11"/>
        </w:rPr>
        <w:t>OLLINS</w:t>
      </w:r>
      <w:r>
        <w:rPr>
          <w:color w:val="231F20"/>
          <w:spacing w:val="18"/>
          <w:sz w:val="11"/>
        </w:rPr>
        <w:t> </w:t>
      </w:r>
      <w:r>
        <w:rPr>
          <w:color w:val="231F20"/>
          <w:sz w:val="16"/>
        </w:rPr>
        <w:t>16</w:t>
      </w:r>
      <w:r>
        <w:rPr>
          <w:color w:val="231F20"/>
          <w:spacing w:val="7"/>
          <w:sz w:val="16"/>
        </w:rPr>
        <w:t> </w:t>
      </w:r>
      <w:r>
        <w:rPr>
          <w:color w:val="231F20"/>
          <w:sz w:val="16"/>
        </w:rPr>
        <w:t>Feb.</w:t>
      </w:r>
      <w:r>
        <w:rPr>
          <w:color w:val="231F20"/>
          <w:spacing w:val="6"/>
          <w:sz w:val="16"/>
        </w:rPr>
        <w:t> </w:t>
      </w:r>
      <w:r>
        <w:rPr>
          <w:color w:val="231F20"/>
          <w:sz w:val="16"/>
        </w:rPr>
        <w:t>2023,</w:t>
      </w:r>
      <w:r>
        <w:rPr>
          <w:color w:val="231F20"/>
          <w:spacing w:val="7"/>
          <w:sz w:val="16"/>
        </w:rPr>
        <w:t> </w:t>
      </w:r>
      <w:r>
        <w:rPr>
          <w:color w:val="231F20"/>
          <w:sz w:val="16"/>
        </w:rPr>
        <w:t>ECLI:EU:C:2023:120,</w:t>
      </w:r>
      <w:r>
        <w:rPr>
          <w:color w:val="231F20"/>
          <w:spacing w:val="7"/>
          <w:sz w:val="16"/>
        </w:rPr>
        <w:t> </w:t>
      </w:r>
      <w:r>
        <w:rPr>
          <w:i/>
          <w:color w:val="231F20"/>
          <w:sz w:val="16"/>
        </w:rPr>
        <w:t>Bank</w:t>
      </w:r>
      <w:r>
        <w:rPr>
          <w:i/>
          <w:color w:val="231F20"/>
          <w:spacing w:val="6"/>
          <w:sz w:val="16"/>
        </w:rPr>
        <w:t> </w:t>
      </w:r>
      <w:r>
        <w:rPr>
          <w:i/>
          <w:color w:val="231F20"/>
          <w:sz w:val="16"/>
        </w:rPr>
        <w:t>M.</w:t>
      </w:r>
      <w:r>
        <w:rPr>
          <w:color w:val="231F20"/>
          <w:sz w:val="16"/>
        </w:rPr>
        <w:t>,</w:t>
      </w:r>
      <w:r>
        <w:rPr>
          <w:color w:val="231F20"/>
          <w:spacing w:val="6"/>
          <w:sz w:val="16"/>
        </w:rPr>
        <w:t> </w:t>
      </w:r>
      <w:r>
        <w:rPr>
          <w:color w:val="231F20"/>
          <w:sz w:val="16"/>
        </w:rPr>
        <w:t>para.</w:t>
      </w:r>
      <w:r>
        <w:rPr>
          <w:color w:val="231F20"/>
          <w:spacing w:val="6"/>
          <w:sz w:val="16"/>
        </w:rPr>
        <w:t> </w:t>
      </w:r>
      <w:r>
        <w:rPr>
          <w:color w:val="231F20"/>
          <w:spacing w:val="-5"/>
          <w:sz w:val="16"/>
        </w:rPr>
        <w:t>56.</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4"/>
          <w:sz w:val="16"/>
        </w:rPr>
        <w:t>5.2.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 15</w:t>
      </w:r>
      <w:r>
        <w:rPr>
          <w:color w:val="231F20"/>
          <w:spacing w:val="1"/>
          <w:sz w:val="16"/>
        </w:rPr>
        <w:t> </w:t>
      </w:r>
      <w:r>
        <w:rPr>
          <w:color w:val="231F20"/>
          <w:sz w:val="16"/>
        </w:rPr>
        <w:t>Jun.</w:t>
      </w:r>
      <w:r>
        <w:rPr>
          <w:color w:val="231F20"/>
          <w:spacing w:val="2"/>
          <w:sz w:val="16"/>
        </w:rPr>
        <w:t> </w:t>
      </w:r>
      <w:r>
        <w:rPr>
          <w:color w:val="231F20"/>
          <w:sz w:val="16"/>
        </w:rPr>
        <w:t>2023,</w:t>
      </w:r>
      <w:r>
        <w:rPr>
          <w:color w:val="231F20"/>
          <w:spacing w:val="1"/>
          <w:sz w:val="16"/>
        </w:rPr>
        <w:t> </w:t>
      </w:r>
      <w:r>
        <w:rPr>
          <w:color w:val="231F20"/>
          <w:sz w:val="16"/>
        </w:rPr>
        <w:t>ECLI:EU:C:2023:478,</w:t>
      </w:r>
      <w:r>
        <w:rPr>
          <w:color w:val="231F20"/>
          <w:spacing w:val="1"/>
          <w:sz w:val="16"/>
        </w:rPr>
        <w:t> </w:t>
      </w:r>
      <w:r>
        <w:rPr>
          <w:i/>
          <w:color w:val="231F20"/>
          <w:sz w:val="16"/>
        </w:rPr>
        <w:t>Bank</w:t>
      </w:r>
      <w:r>
        <w:rPr>
          <w:i/>
          <w:color w:val="231F20"/>
          <w:spacing w:val="2"/>
          <w:sz w:val="16"/>
        </w:rPr>
        <w:t> </w:t>
      </w:r>
      <w:r>
        <w:rPr>
          <w:i/>
          <w:color w:val="231F20"/>
          <w:sz w:val="16"/>
        </w:rPr>
        <w:t>M.</w:t>
      </w:r>
      <w:r>
        <w:rPr>
          <w:color w:val="231F20"/>
          <w:sz w:val="16"/>
        </w:rPr>
        <w:t>,</w:t>
      </w:r>
      <w:r>
        <w:rPr>
          <w:color w:val="231F20"/>
          <w:spacing w:val="1"/>
          <w:sz w:val="16"/>
        </w:rPr>
        <w:t> </w:t>
      </w:r>
      <w:r>
        <w:rPr>
          <w:color w:val="231F20"/>
          <w:sz w:val="16"/>
        </w:rPr>
        <w:t>para.</w:t>
      </w:r>
      <w:r>
        <w:rPr>
          <w:color w:val="231F20"/>
          <w:spacing w:val="1"/>
          <w:sz w:val="16"/>
        </w:rPr>
        <w:t> </w:t>
      </w:r>
      <w:r>
        <w:rPr>
          <w:color w:val="231F20"/>
          <w:spacing w:val="-5"/>
          <w:sz w:val="16"/>
        </w:rPr>
        <w:t>81.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4"/>
          <w:sz w:val="16"/>
        </w:rPr>
        <w:t>5.4.</w:t>
      </w:r>
    </w:p>
    <w:p>
      <w:pPr>
        <w:pStyle w:val="ListParagraph"/>
        <w:numPr>
          <w:ilvl w:val="0"/>
          <w:numId w:val="3"/>
        </w:numPr>
        <w:tabs>
          <w:tab w:pos="865" w:val="left" w:leader="none"/>
        </w:tabs>
        <w:spacing w:line="240" w:lineRule="auto" w:before="37" w:after="0"/>
        <w:ind w:left="865" w:right="0" w:hanging="353"/>
        <w:jc w:val="left"/>
        <w:rPr>
          <w:i/>
          <w:sz w:val="16"/>
        </w:rPr>
      </w:pPr>
      <w:r>
        <w:rPr>
          <w:i/>
          <w:color w:val="231F20"/>
          <w:spacing w:val="-2"/>
          <w:sz w:val="16"/>
        </w:rPr>
        <w:t>Ibid.</w:t>
      </w:r>
    </w:p>
    <w:p>
      <w:pPr>
        <w:spacing w:after="0" w:line="240" w:lineRule="auto"/>
        <w:jc w:val="left"/>
        <w:rPr>
          <w:sz w:val="16"/>
        </w:rPr>
        <w:sectPr>
          <w:pgSz w:w="11910" w:h="16840"/>
          <w:pgMar w:header="0" w:footer="2585" w:top="1920" w:bottom="2780" w:left="1680" w:right="1680"/>
        </w:sectPr>
      </w:pPr>
    </w:p>
    <w:p>
      <w:pPr>
        <w:pStyle w:val="BodyText"/>
        <w:rPr>
          <w:i/>
        </w:rPr>
      </w:pPr>
    </w:p>
    <w:p>
      <w:pPr>
        <w:pStyle w:val="BodyText"/>
        <w:spacing w:before="166"/>
        <w:rPr>
          <w:i/>
        </w:rPr>
      </w:pPr>
    </w:p>
    <w:p>
      <w:pPr>
        <w:pStyle w:val="ListParagraph"/>
        <w:numPr>
          <w:ilvl w:val="0"/>
          <w:numId w:val="4"/>
        </w:numPr>
        <w:tabs>
          <w:tab w:pos="1428" w:val="left" w:leader="none"/>
        </w:tabs>
        <w:spacing w:line="285" w:lineRule="auto" w:before="0" w:after="0"/>
        <w:ind w:left="871" w:right="866" w:firstLine="0"/>
        <w:jc w:val="both"/>
        <w:rPr>
          <w:sz w:val="19"/>
        </w:rPr>
      </w:pPr>
      <w:r>
        <w:rPr>
          <w:color w:val="231F20"/>
          <w:sz w:val="19"/>
        </w:rPr>
        <w:t>In Case C-269/19, </w:t>
      </w:r>
      <w:r>
        <w:rPr>
          <w:i/>
          <w:color w:val="231F20"/>
          <w:sz w:val="19"/>
        </w:rPr>
        <w:t>Banca B.</w:t>
      </w:r>
      <w:r>
        <w:rPr>
          <w:color w:val="231F20"/>
          <w:sz w:val="19"/>
        </w:rPr>
        <w:t>, the ECJ acknowledged more ample room for national law in that context.</w:t>
      </w:r>
      <w:r>
        <w:rPr>
          <w:color w:val="231F20"/>
          <w:sz w:val="19"/>
          <w:vertAlign w:val="superscript"/>
        </w:rPr>
        <w:t>204</w:t>
      </w:r>
      <w:r>
        <w:rPr>
          <w:color w:val="231F20"/>
          <w:sz w:val="19"/>
          <w:vertAlign w:val="baseline"/>
        </w:rPr>
        <w:t> However, it could be argued that it went </w:t>
      </w:r>
      <w:r>
        <w:rPr>
          <w:color w:val="231F20"/>
          <w:sz w:val="19"/>
          <w:vertAlign w:val="baseline"/>
        </w:rPr>
        <w:t>beyond what</w:t>
      </w:r>
      <w:r>
        <w:rPr>
          <w:color w:val="231F20"/>
          <w:spacing w:val="-2"/>
          <w:sz w:val="19"/>
          <w:vertAlign w:val="baseline"/>
        </w:rPr>
        <w:t> </w:t>
      </w:r>
      <w:r>
        <w:rPr>
          <w:color w:val="231F20"/>
          <w:sz w:val="19"/>
          <w:vertAlign w:val="baseline"/>
        </w:rPr>
        <w:t>was</w:t>
      </w:r>
      <w:r>
        <w:rPr>
          <w:color w:val="231F20"/>
          <w:spacing w:val="-2"/>
          <w:sz w:val="19"/>
          <w:vertAlign w:val="baseline"/>
        </w:rPr>
        <w:t> </w:t>
      </w:r>
      <w:r>
        <w:rPr>
          <w:color w:val="231F20"/>
          <w:sz w:val="19"/>
          <w:vertAlign w:val="baseline"/>
        </w:rPr>
        <w:t>required</w:t>
      </w:r>
      <w:r>
        <w:rPr>
          <w:color w:val="231F20"/>
          <w:spacing w:val="-2"/>
          <w:sz w:val="19"/>
          <w:vertAlign w:val="baseline"/>
        </w:rPr>
        <w:t> </w:t>
      </w:r>
      <w:r>
        <w:rPr>
          <w:color w:val="231F20"/>
          <w:sz w:val="19"/>
          <w:vertAlign w:val="baseline"/>
        </w:rPr>
        <w:t>to</w:t>
      </w:r>
      <w:r>
        <w:rPr>
          <w:color w:val="231F20"/>
          <w:spacing w:val="-2"/>
          <w:sz w:val="19"/>
          <w:vertAlign w:val="baseline"/>
        </w:rPr>
        <w:t> </w:t>
      </w:r>
      <w:r>
        <w:rPr>
          <w:color w:val="231F20"/>
          <w:sz w:val="19"/>
          <w:vertAlign w:val="baseline"/>
        </w:rPr>
        <w:t>ensure</w:t>
      </w:r>
      <w:r>
        <w:rPr>
          <w:color w:val="231F20"/>
          <w:spacing w:val="-1"/>
          <w:sz w:val="19"/>
          <w:vertAlign w:val="baseline"/>
        </w:rPr>
        <w:t> </w:t>
      </w:r>
      <w:r>
        <w:rPr>
          <w:color w:val="231F20"/>
          <w:sz w:val="19"/>
          <w:vertAlign w:val="baseline"/>
        </w:rPr>
        <w:t>party</w:t>
      </w:r>
      <w:r>
        <w:rPr>
          <w:color w:val="231F20"/>
          <w:spacing w:val="-3"/>
          <w:sz w:val="19"/>
          <w:vertAlign w:val="baseline"/>
        </w:rPr>
        <w:t> </w:t>
      </w:r>
      <w:r>
        <w:rPr>
          <w:color w:val="231F20"/>
          <w:sz w:val="19"/>
          <w:vertAlign w:val="baseline"/>
        </w:rPr>
        <w:t>equality.</w:t>
      </w:r>
      <w:r>
        <w:rPr>
          <w:color w:val="231F20"/>
          <w:spacing w:val="-2"/>
          <w:sz w:val="19"/>
          <w:vertAlign w:val="baseline"/>
        </w:rPr>
        <w:t> </w:t>
      </w:r>
      <w:r>
        <w:rPr>
          <w:color w:val="231F20"/>
          <w:sz w:val="19"/>
          <w:vertAlign w:val="baseline"/>
        </w:rPr>
        <w:t>The</w:t>
      </w:r>
      <w:r>
        <w:rPr>
          <w:color w:val="231F20"/>
          <w:spacing w:val="-2"/>
          <w:sz w:val="19"/>
          <w:vertAlign w:val="baseline"/>
        </w:rPr>
        <w:t> </w:t>
      </w:r>
      <w:r>
        <w:rPr>
          <w:color w:val="231F20"/>
          <w:sz w:val="19"/>
          <w:vertAlign w:val="baseline"/>
        </w:rPr>
        <w:t>Court</w:t>
      </w:r>
      <w:r>
        <w:rPr>
          <w:color w:val="231F20"/>
          <w:spacing w:val="-2"/>
          <w:sz w:val="19"/>
          <w:vertAlign w:val="baseline"/>
        </w:rPr>
        <w:t> </w:t>
      </w:r>
      <w:r>
        <w:rPr>
          <w:color w:val="231F20"/>
          <w:sz w:val="19"/>
          <w:vertAlign w:val="baseline"/>
        </w:rPr>
        <w:t>decided</w:t>
      </w:r>
      <w:r>
        <w:rPr>
          <w:color w:val="231F20"/>
          <w:spacing w:val="-1"/>
          <w:sz w:val="19"/>
          <w:vertAlign w:val="baseline"/>
        </w:rPr>
        <w:t> </w:t>
      </w:r>
      <w:r>
        <w:rPr>
          <w:color w:val="231F20"/>
          <w:sz w:val="19"/>
          <w:vertAlign w:val="baseline"/>
        </w:rPr>
        <w:t>that</w:t>
      </w:r>
      <w:r>
        <w:rPr>
          <w:color w:val="231F20"/>
          <w:spacing w:val="-2"/>
          <w:sz w:val="19"/>
          <w:vertAlign w:val="baseline"/>
        </w:rPr>
        <w:t> </w:t>
      </w:r>
      <w:r>
        <w:rPr>
          <w:rFonts w:ascii="Arial" w:hAnsi="Arial"/>
          <w:color w:val="231F20"/>
          <w:sz w:val="19"/>
          <w:vertAlign w:val="baseline"/>
        </w:rPr>
        <w:t>‘</w:t>
      </w:r>
      <w:r>
        <w:rPr>
          <w:color w:val="231F20"/>
          <w:sz w:val="19"/>
          <w:vertAlign w:val="baseline"/>
        </w:rPr>
        <w:t>Directive</w:t>
      </w:r>
      <w:r>
        <w:rPr>
          <w:color w:val="231F20"/>
          <w:spacing w:val="-1"/>
          <w:sz w:val="19"/>
          <w:vertAlign w:val="baseline"/>
        </w:rPr>
        <w:t> </w:t>
      </w:r>
      <w:r>
        <w:rPr>
          <w:color w:val="231F20"/>
          <w:sz w:val="19"/>
          <w:vertAlign w:val="baseline"/>
        </w:rPr>
        <w:t>93/ 13 does not seek to prescribe uniform solutions as regards the consequences that should</w:t>
      </w:r>
      <w:r>
        <w:rPr>
          <w:color w:val="231F20"/>
          <w:spacing w:val="-12"/>
          <w:sz w:val="19"/>
          <w:vertAlign w:val="baseline"/>
        </w:rPr>
        <w:t> </w:t>
      </w:r>
      <w:r>
        <w:rPr>
          <w:color w:val="231F20"/>
          <w:sz w:val="19"/>
          <w:vertAlign w:val="baseline"/>
        </w:rPr>
        <w:t>follow</w:t>
      </w:r>
      <w:r>
        <w:rPr>
          <w:color w:val="231F20"/>
          <w:spacing w:val="-11"/>
          <w:sz w:val="19"/>
          <w:vertAlign w:val="baseline"/>
        </w:rPr>
        <w:t> </w:t>
      </w:r>
      <w:r>
        <w:rPr>
          <w:color w:val="231F20"/>
          <w:sz w:val="19"/>
          <w:vertAlign w:val="baseline"/>
        </w:rPr>
        <w:t>from</w:t>
      </w:r>
      <w:r>
        <w:rPr>
          <w:color w:val="231F20"/>
          <w:spacing w:val="-12"/>
          <w:sz w:val="19"/>
          <w:vertAlign w:val="baseline"/>
        </w:rPr>
        <w:t> </w:t>
      </w:r>
      <w:r>
        <w:rPr>
          <w:color w:val="231F20"/>
          <w:sz w:val="19"/>
          <w:vertAlign w:val="baseline"/>
        </w:rPr>
        <w:t>a</w:t>
      </w:r>
      <w:r>
        <w:rPr>
          <w:color w:val="231F20"/>
          <w:spacing w:val="-11"/>
          <w:sz w:val="19"/>
          <w:vertAlign w:val="baseline"/>
        </w:rPr>
        <w:t> </w:t>
      </w:r>
      <w:r>
        <w:rPr>
          <w:color w:val="231F20"/>
          <w:sz w:val="19"/>
          <w:vertAlign w:val="baseline"/>
        </w:rPr>
        <w:t>finding</w:t>
      </w:r>
      <w:r>
        <w:rPr>
          <w:color w:val="231F20"/>
          <w:spacing w:val="-12"/>
          <w:sz w:val="19"/>
          <w:vertAlign w:val="baseline"/>
        </w:rPr>
        <w:t> </w:t>
      </w:r>
      <w:r>
        <w:rPr>
          <w:color w:val="231F20"/>
          <w:sz w:val="19"/>
          <w:vertAlign w:val="baseline"/>
        </w:rPr>
        <w:t>that</w:t>
      </w:r>
      <w:r>
        <w:rPr>
          <w:color w:val="231F20"/>
          <w:spacing w:val="-11"/>
          <w:sz w:val="19"/>
          <w:vertAlign w:val="baseline"/>
        </w:rPr>
        <w:t> </w:t>
      </w:r>
      <w:r>
        <w:rPr>
          <w:color w:val="231F20"/>
          <w:sz w:val="19"/>
          <w:vertAlign w:val="baseline"/>
        </w:rPr>
        <w:t>a</w:t>
      </w:r>
      <w:r>
        <w:rPr>
          <w:color w:val="231F20"/>
          <w:spacing w:val="-12"/>
          <w:sz w:val="19"/>
          <w:vertAlign w:val="baseline"/>
        </w:rPr>
        <w:t> </w:t>
      </w:r>
      <w:r>
        <w:rPr>
          <w:color w:val="231F20"/>
          <w:sz w:val="19"/>
          <w:vertAlign w:val="baseline"/>
        </w:rPr>
        <w:t>contractual</w:t>
      </w:r>
      <w:r>
        <w:rPr>
          <w:color w:val="231F20"/>
          <w:spacing w:val="-11"/>
          <w:sz w:val="19"/>
          <w:vertAlign w:val="baseline"/>
        </w:rPr>
        <w:t> </w:t>
      </w:r>
      <w:r>
        <w:rPr>
          <w:color w:val="231F20"/>
          <w:sz w:val="19"/>
          <w:vertAlign w:val="baseline"/>
        </w:rPr>
        <w:t>term</w:t>
      </w:r>
      <w:r>
        <w:rPr>
          <w:color w:val="231F20"/>
          <w:spacing w:val="-12"/>
          <w:sz w:val="19"/>
          <w:vertAlign w:val="baseline"/>
        </w:rPr>
        <w:t> </w:t>
      </w:r>
      <w:r>
        <w:rPr>
          <w:color w:val="231F20"/>
          <w:sz w:val="19"/>
          <w:vertAlign w:val="baseline"/>
        </w:rPr>
        <w:t>is</w:t>
      </w:r>
      <w:r>
        <w:rPr>
          <w:color w:val="231F20"/>
          <w:spacing w:val="-11"/>
          <w:sz w:val="19"/>
          <w:vertAlign w:val="baseline"/>
        </w:rPr>
        <w:t> </w:t>
      </w:r>
      <w:r>
        <w:rPr>
          <w:color w:val="231F20"/>
          <w:sz w:val="19"/>
          <w:vertAlign w:val="baseline"/>
        </w:rPr>
        <w:t>unfair</w:t>
      </w:r>
      <w:r>
        <w:rPr>
          <w:rFonts w:ascii="Arial" w:hAnsi="Arial"/>
          <w:color w:val="231F20"/>
          <w:sz w:val="19"/>
          <w:vertAlign w:val="baseline"/>
        </w:rPr>
        <w:t>’</w:t>
      </w:r>
      <w:r>
        <w:rPr>
          <w:color w:val="231F20"/>
          <w:sz w:val="19"/>
          <w:vertAlign w:val="baseline"/>
        </w:rPr>
        <w:t>.</w:t>
      </w:r>
      <w:r>
        <w:rPr>
          <w:color w:val="231F20"/>
          <w:sz w:val="19"/>
          <w:vertAlign w:val="superscript"/>
        </w:rPr>
        <w:t>205</w:t>
      </w:r>
      <w:r>
        <w:rPr>
          <w:color w:val="231F20"/>
          <w:spacing w:val="-12"/>
          <w:sz w:val="19"/>
          <w:vertAlign w:val="baseline"/>
        </w:rPr>
        <w:t> </w:t>
      </w:r>
      <w:r>
        <w:rPr>
          <w:color w:val="231F20"/>
          <w:sz w:val="19"/>
          <w:vertAlign w:val="baseline"/>
        </w:rPr>
        <w:t>This</w:t>
      </w:r>
      <w:r>
        <w:rPr>
          <w:color w:val="231F20"/>
          <w:spacing w:val="-11"/>
          <w:sz w:val="19"/>
          <w:vertAlign w:val="baseline"/>
        </w:rPr>
        <w:t> </w:t>
      </w:r>
      <w:r>
        <w:rPr>
          <w:color w:val="231F20"/>
          <w:sz w:val="19"/>
          <w:vertAlign w:val="baseline"/>
        </w:rPr>
        <w:t>rather</w:t>
      </w:r>
      <w:r>
        <w:rPr>
          <w:color w:val="231F20"/>
          <w:spacing w:val="-11"/>
          <w:sz w:val="19"/>
          <w:vertAlign w:val="baseline"/>
        </w:rPr>
        <w:t> </w:t>
      </w:r>
      <w:r>
        <w:rPr>
          <w:color w:val="231F20"/>
          <w:sz w:val="19"/>
          <w:vertAlign w:val="baseline"/>
        </w:rPr>
        <w:t>strong statement deviates from the ECJ</w:t>
      </w:r>
      <w:r>
        <w:rPr>
          <w:rFonts w:ascii="Arial" w:hAnsi="Arial"/>
          <w:color w:val="231F20"/>
          <w:sz w:val="19"/>
          <w:vertAlign w:val="baseline"/>
        </w:rPr>
        <w:t>’</w:t>
      </w:r>
      <w:r>
        <w:rPr>
          <w:color w:val="231F20"/>
          <w:sz w:val="19"/>
          <w:vertAlign w:val="baseline"/>
        </w:rPr>
        <w:t>s case law on Article 6(1) UCTD, which had cornered procedural autonomy of the Member States in favour of harmonized characteristics of the private law remedy for unfair terms.</w:t>
      </w:r>
    </w:p>
    <w:p>
      <w:pPr>
        <w:pStyle w:val="ListParagraph"/>
        <w:numPr>
          <w:ilvl w:val="0"/>
          <w:numId w:val="4"/>
        </w:numPr>
        <w:tabs>
          <w:tab w:pos="1428" w:val="left" w:leader="none"/>
        </w:tabs>
        <w:spacing w:line="285" w:lineRule="auto" w:before="123" w:after="0"/>
        <w:ind w:left="871" w:right="869" w:firstLine="0"/>
        <w:jc w:val="both"/>
        <w:rPr>
          <w:sz w:val="19"/>
        </w:rPr>
      </w:pPr>
      <w:r>
        <w:rPr>
          <w:color w:val="231F20"/>
          <w:sz w:val="19"/>
        </w:rPr>
        <w:t>Furthermore, the Court stated that disapplying the unfair term and repla- cing</w:t>
      </w:r>
      <w:r>
        <w:rPr>
          <w:color w:val="231F20"/>
          <w:spacing w:val="-6"/>
          <w:sz w:val="19"/>
        </w:rPr>
        <w:t> </w:t>
      </w:r>
      <w:r>
        <w:rPr>
          <w:color w:val="231F20"/>
          <w:sz w:val="19"/>
        </w:rPr>
        <w:t>it</w:t>
      </w:r>
      <w:r>
        <w:rPr>
          <w:color w:val="231F20"/>
          <w:spacing w:val="-6"/>
          <w:sz w:val="19"/>
        </w:rPr>
        <w:t> </w:t>
      </w:r>
      <w:r>
        <w:rPr>
          <w:color w:val="231F20"/>
          <w:sz w:val="19"/>
        </w:rPr>
        <w:t>with</w:t>
      </w:r>
      <w:r>
        <w:rPr>
          <w:color w:val="231F20"/>
          <w:spacing w:val="-6"/>
          <w:sz w:val="19"/>
        </w:rPr>
        <w:t> </w:t>
      </w:r>
      <w:r>
        <w:rPr>
          <w:color w:val="231F20"/>
          <w:sz w:val="19"/>
        </w:rPr>
        <w:t>supplementary</w:t>
      </w:r>
      <w:r>
        <w:rPr>
          <w:color w:val="231F20"/>
          <w:spacing w:val="-6"/>
          <w:sz w:val="19"/>
        </w:rPr>
        <w:t> </w:t>
      </w:r>
      <w:r>
        <w:rPr>
          <w:color w:val="231F20"/>
          <w:sz w:val="19"/>
        </w:rPr>
        <w:t>provisions</w:t>
      </w:r>
      <w:r>
        <w:rPr>
          <w:color w:val="231F20"/>
          <w:spacing w:val="-7"/>
          <w:sz w:val="19"/>
        </w:rPr>
        <w:t> </w:t>
      </w:r>
      <w:r>
        <w:rPr>
          <w:color w:val="231F20"/>
          <w:sz w:val="19"/>
        </w:rPr>
        <w:t>of</w:t>
      </w:r>
      <w:r>
        <w:rPr>
          <w:color w:val="231F20"/>
          <w:spacing w:val="-6"/>
          <w:sz w:val="19"/>
        </w:rPr>
        <w:t> </w:t>
      </w:r>
      <w:r>
        <w:rPr>
          <w:color w:val="231F20"/>
          <w:sz w:val="19"/>
        </w:rPr>
        <w:t>national</w:t>
      </w:r>
      <w:r>
        <w:rPr>
          <w:color w:val="231F20"/>
          <w:spacing w:val="-6"/>
          <w:sz w:val="19"/>
        </w:rPr>
        <w:t> </w:t>
      </w:r>
      <w:r>
        <w:rPr>
          <w:color w:val="231F20"/>
          <w:sz w:val="19"/>
        </w:rPr>
        <w:t>law,</w:t>
      </w:r>
      <w:r>
        <w:rPr>
          <w:color w:val="231F20"/>
          <w:spacing w:val="-6"/>
          <w:sz w:val="19"/>
        </w:rPr>
        <w:t> </w:t>
      </w:r>
      <w:r>
        <w:rPr>
          <w:color w:val="231F20"/>
          <w:sz w:val="19"/>
        </w:rPr>
        <w:t>where</w:t>
      </w:r>
      <w:r>
        <w:rPr>
          <w:color w:val="231F20"/>
          <w:spacing w:val="-6"/>
          <w:sz w:val="19"/>
        </w:rPr>
        <w:t> </w:t>
      </w:r>
      <w:r>
        <w:rPr>
          <w:color w:val="231F20"/>
          <w:sz w:val="19"/>
        </w:rPr>
        <w:t>it</w:t>
      </w:r>
      <w:r>
        <w:rPr>
          <w:color w:val="231F20"/>
          <w:spacing w:val="-6"/>
          <w:sz w:val="19"/>
        </w:rPr>
        <w:t> </w:t>
      </w:r>
      <w:r>
        <w:rPr>
          <w:color w:val="231F20"/>
          <w:sz w:val="19"/>
        </w:rPr>
        <w:t>cannot</w:t>
      </w:r>
      <w:r>
        <w:rPr>
          <w:color w:val="231F20"/>
          <w:spacing w:val="-6"/>
          <w:sz w:val="19"/>
        </w:rPr>
        <w:t> </w:t>
      </w:r>
      <w:r>
        <w:rPr>
          <w:color w:val="231F20"/>
          <w:sz w:val="19"/>
        </w:rPr>
        <w:t>continue</w:t>
      </w:r>
      <w:r>
        <w:rPr>
          <w:color w:val="231F20"/>
          <w:spacing w:val="-6"/>
          <w:sz w:val="19"/>
        </w:rPr>
        <w:t> </w:t>
      </w:r>
      <w:r>
        <w:rPr>
          <w:color w:val="231F20"/>
          <w:sz w:val="19"/>
        </w:rPr>
        <w:t>in existence, </w:t>
      </w:r>
      <w:r>
        <w:rPr>
          <w:rFonts w:ascii="Arial" w:hAnsi="Arial"/>
          <w:color w:val="231F20"/>
          <w:sz w:val="19"/>
        </w:rPr>
        <w:t>‘</w:t>
      </w:r>
      <w:r>
        <w:rPr>
          <w:color w:val="231F20"/>
          <w:sz w:val="19"/>
        </w:rPr>
        <w:t>are not the only possible consequences of a finding that a contractual term is unfair</w:t>
      </w:r>
      <w:r>
        <w:rPr>
          <w:rFonts w:ascii="Arial" w:hAnsi="Arial"/>
          <w:color w:val="231F20"/>
          <w:sz w:val="19"/>
        </w:rPr>
        <w:t>’</w:t>
      </w:r>
      <w:r>
        <w:rPr>
          <w:color w:val="231F20"/>
          <w:sz w:val="19"/>
        </w:rPr>
        <w:t>.</w:t>
      </w:r>
      <w:r>
        <w:rPr>
          <w:color w:val="231F20"/>
          <w:sz w:val="19"/>
          <w:vertAlign w:val="superscript"/>
        </w:rPr>
        <w:t>206</w:t>
      </w:r>
      <w:r>
        <w:rPr>
          <w:color w:val="231F20"/>
          <w:sz w:val="19"/>
          <w:vertAlign w:val="baseline"/>
        </w:rPr>
        <w:t> It so declared to approve, in respect of Article 6(1) UCTD and among</w:t>
      </w:r>
      <w:r>
        <w:rPr>
          <w:color w:val="231F20"/>
          <w:spacing w:val="-10"/>
          <w:sz w:val="19"/>
          <w:vertAlign w:val="baseline"/>
        </w:rPr>
        <w:t> </w:t>
      </w:r>
      <w:r>
        <w:rPr>
          <w:color w:val="231F20"/>
          <w:sz w:val="19"/>
          <w:vertAlign w:val="baseline"/>
        </w:rPr>
        <w:t>other</w:t>
      </w:r>
      <w:r>
        <w:rPr>
          <w:color w:val="231F20"/>
          <w:spacing w:val="-9"/>
          <w:sz w:val="19"/>
          <w:vertAlign w:val="baseline"/>
        </w:rPr>
        <w:t> </w:t>
      </w:r>
      <w:r>
        <w:rPr>
          <w:color w:val="231F20"/>
          <w:sz w:val="19"/>
          <w:vertAlign w:val="baseline"/>
        </w:rPr>
        <w:t>things,</w:t>
      </w:r>
      <w:r>
        <w:rPr>
          <w:color w:val="231F20"/>
          <w:spacing w:val="-9"/>
          <w:sz w:val="19"/>
          <w:vertAlign w:val="baseline"/>
        </w:rPr>
        <w:t> </w:t>
      </w:r>
      <w:r>
        <w:rPr>
          <w:color w:val="231F20"/>
          <w:sz w:val="19"/>
          <w:vertAlign w:val="baseline"/>
        </w:rPr>
        <w:t>that</w:t>
      </w:r>
      <w:r>
        <w:rPr>
          <w:color w:val="231F20"/>
          <w:spacing w:val="-10"/>
          <w:sz w:val="19"/>
          <w:vertAlign w:val="baseline"/>
        </w:rPr>
        <w:t> </w:t>
      </w:r>
      <w:r>
        <w:rPr>
          <w:color w:val="231F20"/>
          <w:sz w:val="19"/>
          <w:vertAlign w:val="baseline"/>
        </w:rPr>
        <w:t>courts</w:t>
      </w:r>
      <w:r>
        <w:rPr>
          <w:color w:val="231F20"/>
          <w:spacing w:val="-9"/>
          <w:sz w:val="19"/>
          <w:vertAlign w:val="baseline"/>
        </w:rPr>
        <w:t> </w:t>
      </w:r>
      <w:r>
        <w:rPr>
          <w:color w:val="231F20"/>
          <w:sz w:val="19"/>
          <w:vertAlign w:val="baseline"/>
        </w:rPr>
        <w:t>can</w:t>
      </w:r>
      <w:r>
        <w:rPr>
          <w:color w:val="231F20"/>
          <w:spacing w:val="-9"/>
          <w:sz w:val="19"/>
          <w:vertAlign w:val="baseline"/>
        </w:rPr>
        <w:t> </w:t>
      </w:r>
      <w:r>
        <w:rPr>
          <w:color w:val="231F20"/>
          <w:sz w:val="19"/>
          <w:vertAlign w:val="baseline"/>
        </w:rPr>
        <w:t>invite</w:t>
      </w:r>
      <w:r>
        <w:rPr>
          <w:color w:val="231F20"/>
          <w:spacing w:val="-9"/>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parties</w:t>
      </w:r>
      <w:r>
        <w:rPr>
          <w:color w:val="231F20"/>
          <w:spacing w:val="-9"/>
          <w:sz w:val="19"/>
          <w:vertAlign w:val="baseline"/>
        </w:rPr>
        <w:t> </w:t>
      </w:r>
      <w:r>
        <w:rPr>
          <w:color w:val="231F20"/>
          <w:sz w:val="19"/>
          <w:vertAlign w:val="baseline"/>
        </w:rPr>
        <w:t>to</w:t>
      </w:r>
      <w:r>
        <w:rPr>
          <w:color w:val="231F20"/>
          <w:spacing w:val="-9"/>
          <w:sz w:val="19"/>
          <w:vertAlign w:val="baseline"/>
        </w:rPr>
        <w:t> </w:t>
      </w:r>
      <w:r>
        <w:rPr>
          <w:color w:val="231F20"/>
          <w:sz w:val="19"/>
          <w:vertAlign w:val="baseline"/>
        </w:rPr>
        <w:t>negotiate</w:t>
      </w:r>
      <w:r>
        <w:rPr>
          <w:color w:val="231F20"/>
          <w:spacing w:val="-9"/>
          <w:sz w:val="19"/>
          <w:vertAlign w:val="baseline"/>
        </w:rPr>
        <w:t> </w:t>
      </w:r>
      <w:r>
        <w:rPr>
          <w:color w:val="231F20"/>
          <w:sz w:val="19"/>
          <w:vertAlign w:val="baseline"/>
        </w:rPr>
        <w:t>the</w:t>
      </w:r>
      <w:r>
        <w:rPr>
          <w:color w:val="231F20"/>
          <w:spacing w:val="-10"/>
          <w:sz w:val="19"/>
          <w:vertAlign w:val="baseline"/>
        </w:rPr>
        <w:t> </w:t>
      </w:r>
      <w:r>
        <w:rPr>
          <w:color w:val="231F20"/>
          <w:sz w:val="19"/>
          <w:vertAlign w:val="baseline"/>
        </w:rPr>
        <w:t>replacement of</w:t>
      </w:r>
      <w:r>
        <w:rPr>
          <w:color w:val="231F20"/>
          <w:spacing w:val="-3"/>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unfair</w:t>
      </w:r>
      <w:r>
        <w:rPr>
          <w:color w:val="231F20"/>
          <w:spacing w:val="-6"/>
          <w:sz w:val="19"/>
          <w:vertAlign w:val="baseline"/>
        </w:rPr>
        <w:t> </w:t>
      </w:r>
      <w:r>
        <w:rPr>
          <w:color w:val="231F20"/>
          <w:sz w:val="19"/>
          <w:vertAlign w:val="baseline"/>
        </w:rPr>
        <w:t>term.</w:t>
      </w:r>
      <w:r>
        <w:rPr>
          <w:color w:val="231F20"/>
          <w:spacing w:val="-6"/>
          <w:sz w:val="19"/>
          <w:vertAlign w:val="baseline"/>
        </w:rPr>
        <w:t> </w:t>
      </w:r>
      <w:r>
        <w:rPr>
          <w:color w:val="231F20"/>
          <w:sz w:val="19"/>
          <w:vertAlign w:val="baseline"/>
        </w:rPr>
        <w:t>In</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case</w:t>
      </w:r>
      <w:r>
        <w:rPr>
          <w:color w:val="231F20"/>
          <w:spacing w:val="-6"/>
          <w:sz w:val="19"/>
          <w:vertAlign w:val="baseline"/>
        </w:rPr>
        <w:t> </w:t>
      </w:r>
      <w:r>
        <w:rPr>
          <w:color w:val="231F20"/>
          <w:sz w:val="19"/>
          <w:vertAlign w:val="baseline"/>
        </w:rPr>
        <w:t>at</w:t>
      </w:r>
      <w:r>
        <w:rPr>
          <w:color w:val="231F20"/>
          <w:spacing w:val="-6"/>
          <w:sz w:val="19"/>
          <w:vertAlign w:val="baseline"/>
        </w:rPr>
        <w:t> </w:t>
      </w:r>
      <w:r>
        <w:rPr>
          <w:color w:val="231F20"/>
          <w:sz w:val="19"/>
          <w:vertAlign w:val="baseline"/>
        </w:rPr>
        <w:t>hand,</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tainted</w:t>
      </w:r>
      <w:r>
        <w:rPr>
          <w:color w:val="231F20"/>
          <w:spacing w:val="-6"/>
          <w:sz w:val="19"/>
          <w:vertAlign w:val="baseline"/>
        </w:rPr>
        <w:t> </w:t>
      </w:r>
      <w:r>
        <w:rPr>
          <w:color w:val="231F20"/>
          <w:sz w:val="19"/>
          <w:vertAlign w:val="baseline"/>
        </w:rPr>
        <w:t>term</w:t>
      </w:r>
      <w:r>
        <w:rPr>
          <w:color w:val="231F20"/>
          <w:spacing w:val="-6"/>
          <w:sz w:val="19"/>
          <w:vertAlign w:val="baseline"/>
        </w:rPr>
        <w:t> </w:t>
      </w:r>
      <w:r>
        <w:rPr>
          <w:color w:val="231F20"/>
          <w:sz w:val="19"/>
          <w:vertAlign w:val="baseline"/>
        </w:rPr>
        <w:t>concerned</w:t>
      </w:r>
      <w:r>
        <w:rPr>
          <w:color w:val="231F20"/>
          <w:spacing w:val="-6"/>
          <w:sz w:val="19"/>
          <w:vertAlign w:val="baseline"/>
        </w:rPr>
        <w:t> </w:t>
      </w:r>
      <w:r>
        <w:rPr>
          <w:color w:val="231F20"/>
          <w:sz w:val="19"/>
          <w:vertAlign w:val="baseline"/>
        </w:rPr>
        <w:t>the</w:t>
      </w:r>
      <w:r>
        <w:rPr>
          <w:color w:val="231F20"/>
          <w:spacing w:val="-6"/>
          <w:sz w:val="19"/>
          <w:vertAlign w:val="baseline"/>
        </w:rPr>
        <w:t> </w:t>
      </w:r>
      <w:r>
        <w:rPr>
          <w:color w:val="231F20"/>
          <w:sz w:val="19"/>
          <w:vertAlign w:val="baseline"/>
        </w:rPr>
        <w:t>contractual interest rate.</w:t>
      </w:r>
      <w:r>
        <w:rPr>
          <w:color w:val="231F20"/>
          <w:sz w:val="19"/>
          <w:vertAlign w:val="superscript"/>
        </w:rPr>
        <w:t>207</w:t>
      </w:r>
    </w:p>
    <w:p>
      <w:pPr>
        <w:pStyle w:val="ListParagraph"/>
        <w:numPr>
          <w:ilvl w:val="0"/>
          <w:numId w:val="4"/>
        </w:numPr>
        <w:tabs>
          <w:tab w:pos="1428" w:val="left" w:leader="none"/>
        </w:tabs>
        <w:spacing w:line="288" w:lineRule="auto" w:before="126" w:after="0"/>
        <w:ind w:left="871" w:right="867" w:firstLine="0"/>
        <w:jc w:val="both"/>
        <w:rPr>
          <w:sz w:val="19"/>
        </w:rPr>
      </w:pPr>
      <w:r>
        <w:rPr>
          <w:color w:val="231F20"/>
          <w:sz w:val="19"/>
        </w:rPr>
        <w:t>While party</w:t>
      </w:r>
      <w:r>
        <w:rPr>
          <w:color w:val="231F20"/>
          <w:spacing w:val="-1"/>
          <w:sz w:val="19"/>
        </w:rPr>
        <w:t> </w:t>
      </w:r>
      <w:r>
        <w:rPr>
          <w:color w:val="231F20"/>
          <w:sz w:val="19"/>
        </w:rPr>
        <w:t>equality could eventually be achieved in that manner, it might </w:t>
      </w:r>
      <w:r>
        <w:rPr>
          <w:color w:val="231F20"/>
          <w:spacing w:val="-2"/>
          <w:sz w:val="19"/>
        </w:rPr>
        <w:t>be</w:t>
      </w:r>
      <w:r>
        <w:rPr>
          <w:color w:val="231F20"/>
          <w:spacing w:val="-3"/>
          <w:sz w:val="19"/>
        </w:rPr>
        <w:t> </w:t>
      </w:r>
      <w:r>
        <w:rPr>
          <w:color w:val="231F20"/>
          <w:spacing w:val="-2"/>
          <w:sz w:val="19"/>
        </w:rPr>
        <w:t>ruinous</w:t>
      </w:r>
      <w:r>
        <w:rPr>
          <w:color w:val="231F20"/>
          <w:spacing w:val="-4"/>
          <w:sz w:val="19"/>
        </w:rPr>
        <w:t> </w:t>
      </w:r>
      <w:r>
        <w:rPr>
          <w:color w:val="231F20"/>
          <w:spacing w:val="-2"/>
          <w:sz w:val="19"/>
        </w:rPr>
        <w:t>for</w:t>
      </w:r>
      <w:r>
        <w:rPr>
          <w:color w:val="231F20"/>
          <w:spacing w:val="-5"/>
          <w:sz w:val="19"/>
        </w:rPr>
        <w:t> </w:t>
      </w:r>
      <w:r>
        <w:rPr>
          <w:color w:val="231F20"/>
          <w:spacing w:val="-2"/>
          <w:sz w:val="19"/>
        </w:rPr>
        <w:t>deterrence, as</w:t>
      </w:r>
      <w:r>
        <w:rPr>
          <w:color w:val="231F20"/>
          <w:spacing w:val="-3"/>
          <w:sz w:val="19"/>
        </w:rPr>
        <w:t> </w:t>
      </w:r>
      <w:r>
        <w:rPr>
          <w:color w:val="231F20"/>
          <w:spacing w:val="-2"/>
          <w:sz w:val="19"/>
        </w:rPr>
        <w:t>businesses</w:t>
      </w:r>
      <w:r>
        <w:rPr>
          <w:color w:val="231F20"/>
          <w:spacing w:val="-3"/>
          <w:sz w:val="19"/>
        </w:rPr>
        <w:t> </w:t>
      </w:r>
      <w:r>
        <w:rPr>
          <w:color w:val="231F20"/>
          <w:spacing w:val="-2"/>
          <w:sz w:val="19"/>
        </w:rPr>
        <w:t>would</w:t>
      </w:r>
      <w:r>
        <w:rPr>
          <w:color w:val="231F20"/>
          <w:spacing w:val="-3"/>
          <w:sz w:val="19"/>
        </w:rPr>
        <w:t> </w:t>
      </w:r>
      <w:r>
        <w:rPr>
          <w:color w:val="231F20"/>
          <w:spacing w:val="-2"/>
          <w:sz w:val="19"/>
        </w:rPr>
        <w:t>be</w:t>
      </w:r>
      <w:r>
        <w:rPr>
          <w:color w:val="231F20"/>
          <w:spacing w:val="-3"/>
          <w:sz w:val="19"/>
        </w:rPr>
        <w:t> </w:t>
      </w:r>
      <w:r>
        <w:rPr>
          <w:color w:val="231F20"/>
          <w:spacing w:val="-2"/>
          <w:sz w:val="19"/>
        </w:rPr>
        <w:t>tempted to</w:t>
      </w:r>
      <w:r>
        <w:rPr>
          <w:color w:val="231F20"/>
          <w:spacing w:val="-3"/>
          <w:sz w:val="19"/>
        </w:rPr>
        <w:t> </w:t>
      </w:r>
      <w:r>
        <w:rPr>
          <w:color w:val="231F20"/>
          <w:spacing w:val="-2"/>
          <w:sz w:val="19"/>
        </w:rPr>
        <w:t>continue</w:t>
      </w:r>
      <w:r>
        <w:rPr>
          <w:color w:val="231F20"/>
          <w:spacing w:val="-3"/>
          <w:sz w:val="19"/>
        </w:rPr>
        <w:t> </w:t>
      </w:r>
      <w:r>
        <w:rPr>
          <w:color w:val="231F20"/>
          <w:spacing w:val="-2"/>
          <w:sz w:val="19"/>
        </w:rPr>
        <w:t>using</w:t>
      </w:r>
      <w:r>
        <w:rPr>
          <w:color w:val="231F20"/>
          <w:spacing w:val="-3"/>
          <w:sz w:val="19"/>
        </w:rPr>
        <w:t> </w:t>
      </w:r>
      <w:r>
        <w:rPr>
          <w:color w:val="231F20"/>
          <w:spacing w:val="-2"/>
          <w:sz w:val="19"/>
        </w:rPr>
        <w:t>unfair </w:t>
      </w:r>
      <w:r>
        <w:rPr>
          <w:color w:val="231F20"/>
          <w:sz w:val="19"/>
        </w:rPr>
        <w:t>terms with the expectation that they would have a chance to negotiate once the unfairness</w:t>
      </w:r>
      <w:r>
        <w:rPr>
          <w:color w:val="231F20"/>
          <w:spacing w:val="-2"/>
          <w:sz w:val="19"/>
        </w:rPr>
        <w:t> </w:t>
      </w:r>
      <w:r>
        <w:rPr>
          <w:color w:val="231F20"/>
          <w:sz w:val="19"/>
        </w:rPr>
        <w:t>was</w:t>
      </w:r>
      <w:r>
        <w:rPr>
          <w:color w:val="231F20"/>
          <w:spacing w:val="-3"/>
          <w:sz w:val="19"/>
        </w:rPr>
        <w:t> </w:t>
      </w:r>
      <w:r>
        <w:rPr>
          <w:color w:val="231F20"/>
          <w:sz w:val="19"/>
        </w:rPr>
        <w:t>found.</w:t>
      </w:r>
      <w:r>
        <w:rPr>
          <w:color w:val="231F20"/>
          <w:spacing w:val="-3"/>
          <w:sz w:val="19"/>
        </w:rPr>
        <w:t> </w:t>
      </w:r>
      <w:r>
        <w:rPr>
          <w:color w:val="231F20"/>
          <w:sz w:val="19"/>
        </w:rPr>
        <w:t>It</w:t>
      </w:r>
      <w:r>
        <w:rPr>
          <w:color w:val="231F20"/>
          <w:spacing w:val="-3"/>
          <w:sz w:val="19"/>
        </w:rPr>
        <w:t> </w:t>
      </w:r>
      <w:r>
        <w:rPr>
          <w:color w:val="231F20"/>
          <w:sz w:val="19"/>
        </w:rPr>
        <w:t>is</w:t>
      </w:r>
      <w:r>
        <w:rPr>
          <w:color w:val="231F20"/>
          <w:spacing w:val="-3"/>
          <w:sz w:val="19"/>
        </w:rPr>
        <w:t> </w:t>
      </w:r>
      <w:r>
        <w:rPr>
          <w:color w:val="231F20"/>
          <w:sz w:val="19"/>
        </w:rPr>
        <w:t>true</w:t>
      </w:r>
      <w:r>
        <w:rPr>
          <w:color w:val="231F20"/>
          <w:spacing w:val="-3"/>
          <w:sz w:val="19"/>
        </w:rPr>
        <w:t> </w:t>
      </w:r>
      <w:r>
        <w:rPr>
          <w:color w:val="231F20"/>
          <w:sz w:val="19"/>
        </w:rPr>
        <w:t>that,</w:t>
      </w:r>
      <w:r>
        <w:rPr>
          <w:color w:val="231F20"/>
          <w:spacing w:val="-2"/>
          <w:sz w:val="19"/>
        </w:rPr>
        <w:t> </w:t>
      </w:r>
      <w:r>
        <w:rPr>
          <w:color w:val="231F20"/>
          <w:sz w:val="19"/>
        </w:rPr>
        <w:t>in</w:t>
      </w:r>
      <w:r>
        <w:rPr>
          <w:color w:val="231F20"/>
          <w:spacing w:val="-3"/>
          <w:sz w:val="19"/>
        </w:rPr>
        <w:t> </w:t>
      </w:r>
      <w:r>
        <w:rPr>
          <w:color w:val="231F20"/>
          <w:sz w:val="19"/>
        </w:rPr>
        <w:t>a</w:t>
      </w:r>
      <w:r>
        <w:rPr>
          <w:color w:val="231F20"/>
          <w:spacing w:val="-3"/>
          <w:sz w:val="19"/>
        </w:rPr>
        <w:t> </w:t>
      </w:r>
      <w:r>
        <w:rPr>
          <w:color w:val="231F20"/>
          <w:sz w:val="19"/>
        </w:rPr>
        <w:t>case</w:t>
      </w:r>
      <w:r>
        <w:rPr>
          <w:color w:val="231F20"/>
          <w:spacing w:val="-3"/>
          <w:sz w:val="19"/>
        </w:rPr>
        <w:t> </w:t>
      </w:r>
      <w:r>
        <w:rPr>
          <w:color w:val="231F20"/>
          <w:sz w:val="19"/>
        </w:rPr>
        <w:t>where</w:t>
      </w:r>
      <w:r>
        <w:rPr>
          <w:color w:val="231F20"/>
          <w:spacing w:val="-2"/>
          <w:sz w:val="19"/>
        </w:rPr>
        <w:t> </w:t>
      </w:r>
      <w:r>
        <w:rPr>
          <w:color w:val="231F20"/>
          <w:sz w:val="19"/>
        </w:rPr>
        <w:t>the</w:t>
      </w:r>
      <w:r>
        <w:rPr>
          <w:color w:val="231F20"/>
          <w:spacing w:val="-3"/>
          <w:sz w:val="19"/>
        </w:rPr>
        <w:t> </w:t>
      </w:r>
      <w:r>
        <w:rPr>
          <w:color w:val="231F20"/>
          <w:sz w:val="19"/>
        </w:rPr>
        <w:t>contract</w:t>
      </w:r>
      <w:r>
        <w:rPr>
          <w:color w:val="231F20"/>
          <w:spacing w:val="-2"/>
          <w:sz w:val="19"/>
        </w:rPr>
        <w:t> </w:t>
      </w:r>
      <w:r>
        <w:rPr>
          <w:color w:val="231F20"/>
          <w:sz w:val="19"/>
        </w:rPr>
        <w:t>cannot</w:t>
      </w:r>
      <w:r>
        <w:rPr>
          <w:color w:val="231F20"/>
          <w:spacing w:val="-3"/>
          <w:sz w:val="19"/>
        </w:rPr>
        <w:t> </w:t>
      </w:r>
      <w:r>
        <w:rPr>
          <w:color w:val="231F20"/>
          <w:sz w:val="19"/>
        </w:rPr>
        <w:t>continue in existence without the unfair term, and supplementation is allowed to </w:t>
      </w:r>
      <w:r>
        <w:rPr>
          <w:color w:val="231F20"/>
          <w:sz w:val="19"/>
        </w:rPr>
        <w:t>avoid penalizing the consumer, dissuasiveness is not achieved, at least not with the</w:t>
      </w:r>
      <w:r>
        <w:rPr>
          <w:color w:val="231F20"/>
          <w:spacing w:val="40"/>
          <w:sz w:val="19"/>
        </w:rPr>
        <w:t> </w:t>
      </w:r>
      <w:r>
        <w:rPr>
          <w:color w:val="231F20"/>
          <w:sz w:val="19"/>
        </w:rPr>
        <w:t>high</w:t>
      </w:r>
      <w:r>
        <w:rPr>
          <w:color w:val="231F20"/>
          <w:spacing w:val="-6"/>
          <w:sz w:val="19"/>
        </w:rPr>
        <w:t> </w:t>
      </w:r>
      <w:r>
        <w:rPr>
          <w:color w:val="231F20"/>
          <w:sz w:val="19"/>
        </w:rPr>
        <w:t>standards</w:t>
      </w:r>
      <w:r>
        <w:rPr>
          <w:color w:val="231F20"/>
          <w:spacing w:val="-6"/>
          <w:sz w:val="19"/>
        </w:rPr>
        <w:t> </w:t>
      </w:r>
      <w:r>
        <w:rPr>
          <w:color w:val="231F20"/>
          <w:sz w:val="19"/>
        </w:rPr>
        <w:t>set</w:t>
      </w:r>
      <w:r>
        <w:rPr>
          <w:color w:val="231F20"/>
          <w:spacing w:val="-5"/>
          <w:sz w:val="19"/>
        </w:rPr>
        <w:t> </w:t>
      </w:r>
      <w:r>
        <w:rPr>
          <w:color w:val="231F20"/>
          <w:sz w:val="19"/>
        </w:rPr>
        <w:t>in</w:t>
      </w:r>
      <w:r>
        <w:rPr>
          <w:color w:val="231F20"/>
          <w:spacing w:val="-5"/>
          <w:sz w:val="19"/>
        </w:rPr>
        <w:t> </w:t>
      </w:r>
      <w:r>
        <w:rPr>
          <w:color w:val="231F20"/>
          <w:sz w:val="19"/>
        </w:rPr>
        <w:t>Case</w:t>
      </w:r>
      <w:r>
        <w:rPr>
          <w:color w:val="231F20"/>
          <w:spacing w:val="-6"/>
          <w:sz w:val="19"/>
        </w:rPr>
        <w:t> </w:t>
      </w:r>
      <w:r>
        <w:rPr>
          <w:color w:val="231F20"/>
          <w:sz w:val="19"/>
        </w:rPr>
        <w:t>C-618/10,</w:t>
      </w:r>
      <w:r>
        <w:rPr>
          <w:color w:val="231F20"/>
          <w:spacing w:val="-6"/>
          <w:sz w:val="19"/>
        </w:rPr>
        <w:t> </w:t>
      </w:r>
      <w:r>
        <w:rPr>
          <w:i/>
          <w:color w:val="231F20"/>
          <w:sz w:val="19"/>
        </w:rPr>
        <w:t>Banco</w:t>
      </w:r>
      <w:r>
        <w:rPr>
          <w:i/>
          <w:color w:val="231F20"/>
          <w:spacing w:val="-5"/>
          <w:sz w:val="19"/>
        </w:rPr>
        <w:t> </w:t>
      </w:r>
      <w:r>
        <w:rPr>
          <w:i/>
          <w:color w:val="231F20"/>
          <w:sz w:val="19"/>
        </w:rPr>
        <w:t>Español.</w:t>
      </w:r>
      <w:r>
        <w:rPr>
          <w:i/>
          <w:color w:val="231F20"/>
          <w:spacing w:val="-5"/>
          <w:sz w:val="19"/>
        </w:rPr>
        <w:t> </w:t>
      </w:r>
      <w:r>
        <w:rPr>
          <w:color w:val="231F20"/>
          <w:sz w:val="19"/>
        </w:rPr>
        <w:t>However,</w:t>
      </w:r>
      <w:r>
        <w:rPr>
          <w:color w:val="231F20"/>
          <w:spacing w:val="-5"/>
          <w:sz w:val="19"/>
        </w:rPr>
        <w:t> </w:t>
      </w:r>
      <w:r>
        <w:rPr>
          <w:color w:val="231F20"/>
          <w:sz w:val="19"/>
        </w:rPr>
        <w:t>the</w:t>
      </w:r>
      <w:r>
        <w:rPr>
          <w:color w:val="231F20"/>
          <w:spacing w:val="-6"/>
          <w:sz w:val="19"/>
        </w:rPr>
        <w:t> </w:t>
      </w:r>
      <w:r>
        <w:rPr>
          <w:color w:val="231F20"/>
          <w:sz w:val="19"/>
        </w:rPr>
        <w:t>interpretation of the CJEU in Case C-269/19, </w:t>
      </w:r>
      <w:r>
        <w:rPr>
          <w:i/>
          <w:color w:val="231F20"/>
          <w:sz w:val="19"/>
        </w:rPr>
        <w:t>Banca B. </w:t>
      </w:r>
      <w:r>
        <w:rPr>
          <w:color w:val="231F20"/>
          <w:sz w:val="19"/>
        </w:rPr>
        <w:t>goes a step further and could encourage the</w:t>
      </w:r>
      <w:r>
        <w:rPr>
          <w:color w:val="231F20"/>
          <w:spacing w:val="-6"/>
          <w:sz w:val="19"/>
        </w:rPr>
        <w:t> </w:t>
      </w:r>
      <w:r>
        <w:rPr>
          <w:color w:val="231F20"/>
          <w:sz w:val="19"/>
        </w:rPr>
        <w:t>use</w:t>
      </w:r>
      <w:r>
        <w:rPr>
          <w:color w:val="231F20"/>
          <w:spacing w:val="-6"/>
          <w:sz w:val="19"/>
        </w:rPr>
        <w:t> </w:t>
      </w:r>
      <w:r>
        <w:rPr>
          <w:color w:val="231F20"/>
          <w:sz w:val="19"/>
        </w:rPr>
        <w:t>of</w:t>
      </w:r>
      <w:r>
        <w:rPr>
          <w:color w:val="231F20"/>
          <w:spacing w:val="-6"/>
          <w:sz w:val="19"/>
        </w:rPr>
        <w:t> </w:t>
      </w:r>
      <w:r>
        <w:rPr>
          <w:color w:val="231F20"/>
          <w:sz w:val="19"/>
        </w:rPr>
        <w:t>unfair</w:t>
      </w:r>
      <w:r>
        <w:rPr>
          <w:color w:val="231F20"/>
          <w:spacing w:val="-7"/>
          <w:sz w:val="19"/>
        </w:rPr>
        <w:t> </w:t>
      </w:r>
      <w:r>
        <w:rPr>
          <w:color w:val="231F20"/>
          <w:sz w:val="19"/>
        </w:rPr>
        <w:t>terms</w:t>
      </w:r>
      <w:r>
        <w:rPr>
          <w:color w:val="231F20"/>
          <w:spacing w:val="-6"/>
          <w:sz w:val="19"/>
        </w:rPr>
        <w:t> </w:t>
      </w:r>
      <w:r>
        <w:rPr>
          <w:color w:val="231F20"/>
          <w:sz w:val="19"/>
        </w:rPr>
        <w:t>by</w:t>
      </w:r>
      <w:r>
        <w:rPr>
          <w:color w:val="231F20"/>
          <w:spacing w:val="-8"/>
          <w:sz w:val="19"/>
        </w:rPr>
        <w:t> </w:t>
      </w:r>
      <w:r>
        <w:rPr>
          <w:color w:val="231F20"/>
          <w:sz w:val="19"/>
        </w:rPr>
        <w:t>opening</w:t>
      </w:r>
      <w:r>
        <w:rPr>
          <w:color w:val="231F20"/>
          <w:spacing w:val="-7"/>
          <w:sz w:val="19"/>
        </w:rPr>
        <w:t> </w:t>
      </w:r>
      <w:r>
        <w:rPr>
          <w:color w:val="231F20"/>
          <w:sz w:val="19"/>
        </w:rPr>
        <w:t>Pandora</w:t>
      </w:r>
      <w:r>
        <w:rPr>
          <w:rFonts w:ascii="Arial" w:hAnsi="Arial"/>
          <w:color w:val="231F20"/>
          <w:sz w:val="19"/>
        </w:rPr>
        <w:t>’</w:t>
      </w:r>
      <w:r>
        <w:rPr>
          <w:color w:val="231F20"/>
          <w:sz w:val="19"/>
        </w:rPr>
        <w:t>s</w:t>
      </w:r>
      <w:r>
        <w:rPr>
          <w:color w:val="231F20"/>
          <w:spacing w:val="-6"/>
          <w:sz w:val="19"/>
        </w:rPr>
        <w:t> </w:t>
      </w:r>
      <w:r>
        <w:rPr>
          <w:color w:val="231F20"/>
          <w:sz w:val="19"/>
        </w:rPr>
        <w:t>box</w:t>
      </w:r>
      <w:r>
        <w:rPr>
          <w:color w:val="231F20"/>
          <w:spacing w:val="-10"/>
          <w:sz w:val="19"/>
        </w:rPr>
        <w:t> </w:t>
      </w:r>
      <w:r>
        <w:rPr>
          <w:color w:val="231F20"/>
          <w:sz w:val="19"/>
        </w:rPr>
        <w:t>of</w:t>
      </w:r>
      <w:r>
        <w:rPr>
          <w:color w:val="231F20"/>
          <w:spacing w:val="-6"/>
          <w:sz w:val="19"/>
        </w:rPr>
        <w:t> </w:t>
      </w:r>
      <w:r>
        <w:rPr>
          <w:color w:val="231F20"/>
          <w:sz w:val="19"/>
        </w:rPr>
        <w:t>ad</w:t>
      </w:r>
      <w:r>
        <w:rPr>
          <w:color w:val="231F20"/>
          <w:spacing w:val="-6"/>
          <w:sz w:val="19"/>
        </w:rPr>
        <w:t> </w:t>
      </w:r>
      <w:r>
        <w:rPr>
          <w:color w:val="231F20"/>
          <w:sz w:val="19"/>
        </w:rPr>
        <w:t>hoc</w:t>
      </w:r>
      <w:r>
        <w:rPr>
          <w:color w:val="231F20"/>
          <w:spacing w:val="-6"/>
          <w:sz w:val="19"/>
        </w:rPr>
        <w:t> </w:t>
      </w:r>
      <w:r>
        <w:rPr>
          <w:color w:val="231F20"/>
          <w:sz w:val="19"/>
        </w:rPr>
        <w:t>remedies.</w:t>
      </w:r>
      <w:r>
        <w:rPr>
          <w:color w:val="231F20"/>
          <w:spacing w:val="-6"/>
          <w:sz w:val="19"/>
        </w:rPr>
        <w:t> </w:t>
      </w:r>
      <w:r>
        <w:rPr>
          <w:color w:val="231F20"/>
          <w:sz w:val="19"/>
        </w:rPr>
        <w:t>Dismantling the harmonized interpretation of Article 6(1) UCTD could have this latter out- come, which would diminish the effectiveness of the UCTD.</w:t>
      </w:r>
    </w:p>
    <w:p>
      <w:pPr>
        <w:pStyle w:val="ListParagraph"/>
        <w:numPr>
          <w:ilvl w:val="0"/>
          <w:numId w:val="4"/>
        </w:numPr>
        <w:tabs>
          <w:tab w:pos="1428" w:val="left" w:leader="none"/>
        </w:tabs>
        <w:spacing w:line="285" w:lineRule="auto" w:before="114" w:after="0"/>
        <w:ind w:left="871" w:right="868" w:firstLine="0"/>
        <w:jc w:val="both"/>
        <w:rPr>
          <w:sz w:val="19"/>
        </w:rPr>
      </w:pPr>
      <w:r>
        <w:rPr>
          <w:color w:val="231F20"/>
          <w:sz w:val="19"/>
        </w:rPr>
        <w:t>A</w:t>
      </w:r>
      <w:r>
        <w:rPr>
          <w:color w:val="231F20"/>
          <w:spacing w:val="-11"/>
          <w:sz w:val="19"/>
        </w:rPr>
        <w:t> </w:t>
      </w:r>
      <w:r>
        <w:rPr>
          <w:color w:val="231F20"/>
          <w:sz w:val="19"/>
        </w:rPr>
        <w:t>further</w:t>
      </w:r>
      <w:r>
        <w:rPr>
          <w:color w:val="231F20"/>
          <w:spacing w:val="-11"/>
          <w:sz w:val="19"/>
        </w:rPr>
        <w:t> </w:t>
      </w:r>
      <w:r>
        <w:rPr>
          <w:color w:val="231F20"/>
          <w:sz w:val="19"/>
        </w:rPr>
        <w:t>inroad</w:t>
      </w:r>
      <w:r>
        <w:rPr>
          <w:color w:val="231F20"/>
          <w:spacing w:val="-10"/>
          <w:sz w:val="19"/>
        </w:rPr>
        <w:t> </w:t>
      </w:r>
      <w:r>
        <w:rPr>
          <w:color w:val="231F20"/>
          <w:sz w:val="19"/>
        </w:rPr>
        <w:t>to</w:t>
      </w:r>
      <w:r>
        <w:rPr>
          <w:color w:val="231F20"/>
          <w:spacing w:val="-11"/>
          <w:sz w:val="19"/>
        </w:rPr>
        <w:t> </w:t>
      </w:r>
      <w:r>
        <w:rPr>
          <w:color w:val="231F20"/>
          <w:sz w:val="19"/>
        </w:rPr>
        <w:t>the</w:t>
      </w:r>
      <w:r>
        <w:rPr>
          <w:color w:val="231F20"/>
          <w:spacing w:val="-11"/>
          <w:sz w:val="19"/>
        </w:rPr>
        <w:t> </w:t>
      </w:r>
      <w:r>
        <w:rPr>
          <w:color w:val="231F20"/>
          <w:sz w:val="19"/>
        </w:rPr>
        <w:t>key</w:t>
      </w:r>
      <w:r>
        <w:rPr>
          <w:color w:val="231F20"/>
          <w:spacing w:val="-11"/>
          <w:sz w:val="19"/>
        </w:rPr>
        <w:t> </w:t>
      </w:r>
      <w:r>
        <w:rPr>
          <w:color w:val="231F20"/>
          <w:sz w:val="19"/>
        </w:rPr>
        <w:t>features</w:t>
      </w:r>
      <w:r>
        <w:rPr>
          <w:color w:val="231F20"/>
          <w:spacing w:val="-11"/>
          <w:sz w:val="19"/>
        </w:rPr>
        <w:t> </w:t>
      </w:r>
      <w:r>
        <w:rPr>
          <w:color w:val="231F20"/>
          <w:sz w:val="19"/>
        </w:rPr>
        <w:t>of</w:t>
      </w:r>
      <w:r>
        <w:rPr>
          <w:color w:val="231F20"/>
          <w:spacing w:val="-11"/>
          <w:sz w:val="19"/>
        </w:rPr>
        <w:t> </w:t>
      </w:r>
      <w:r>
        <w:rPr>
          <w:color w:val="231F20"/>
          <w:sz w:val="19"/>
        </w:rPr>
        <w:t>Article</w:t>
      </w:r>
      <w:r>
        <w:rPr>
          <w:color w:val="231F20"/>
          <w:spacing w:val="-10"/>
          <w:sz w:val="19"/>
        </w:rPr>
        <w:t> </w:t>
      </w:r>
      <w:r>
        <w:rPr>
          <w:color w:val="231F20"/>
          <w:sz w:val="19"/>
        </w:rPr>
        <w:t>6(1)</w:t>
      </w:r>
      <w:r>
        <w:rPr>
          <w:color w:val="231F20"/>
          <w:spacing w:val="-11"/>
          <w:sz w:val="19"/>
        </w:rPr>
        <w:t> </w:t>
      </w:r>
      <w:r>
        <w:rPr>
          <w:color w:val="231F20"/>
          <w:sz w:val="19"/>
        </w:rPr>
        <w:t>UCTD</w:t>
      </w:r>
      <w:r>
        <w:rPr>
          <w:color w:val="231F20"/>
          <w:spacing w:val="-10"/>
          <w:sz w:val="19"/>
        </w:rPr>
        <w:t> </w:t>
      </w:r>
      <w:r>
        <w:rPr>
          <w:color w:val="231F20"/>
          <w:sz w:val="19"/>
        </w:rPr>
        <w:t>can</w:t>
      </w:r>
      <w:r>
        <w:rPr>
          <w:color w:val="231F20"/>
          <w:spacing w:val="-11"/>
          <w:sz w:val="19"/>
        </w:rPr>
        <w:t> </w:t>
      </w:r>
      <w:r>
        <w:rPr>
          <w:color w:val="231F20"/>
          <w:sz w:val="19"/>
        </w:rPr>
        <w:t>be</w:t>
      </w:r>
      <w:r>
        <w:rPr>
          <w:color w:val="231F20"/>
          <w:spacing w:val="-10"/>
          <w:sz w:val="19"/>
        </w:rPr>
        <w:t> </w:t>
      </w:r>
      <w:r>
        <w:rPr>
          <w:color w:val="231F20"/>
          <w:sz w:val="19"/>
        </w:rPr>
        <w:t>found</w:t>
      </w:r>
      <w:r>
        <w:rPr>
          <w:color w:val="231F20"/>
          <w:spacing w:val="-11"/>
          <w:sz w:val="19"/>
        </w:rPr>
        <w:t> </w:t>
      </w:r>
      <w:r>
        <w:rPr>
          <w:color w:val="231F20"/>
          <w:sz w:val="19"/>
        </w:rPr>
        <w:t>in</w:t>
      </w:r>
      <w:r>
        <w:rPr>
          <w:color w:val="231F20"/>
          <w:spacing w:val="-11"/>
          <w:sz w:val="19"/>
        </w:rPr>
        <w:t> </w:t>
      </w:r>
      <w:r>
        <w:rPr>
          <w:color w:val="231F20"/>
          <w:sz w:val="19"/>
        </w:rPr>
        <w:t>the Case C-19/20, </w:t>
      </w:r>
      <w:r>
        <w:rPr>
          <w:i/>
          <w:color w:val="231F20"/>
          <w:sz w:val="19"/>
        </w:rPr>
        <w:t>Bank BPH. </w:t>
      </w:r>
      <w:r>
        <w:rPr>
          <w:color w:val="231F20"/>
          <w:sz w:val="19"/>
        </w:rPr>
        <w:t>The referring court asked about the </w:t>
      </w:r>
      <w:r>
        <w:rPr>
          <w:i/>
          <w:color w:val="231F20"/>
          <w:sz w:val="19"/>
        </w:rPr>
        <w:t>ex tunc </w:t>
      </w:r>
      <w:r>
        <w:rPr>
          <w:color w:val="231F20"/>
          <w:sz w:val="19"/>
        </w:rPr>
        <w:t>effects of invalidity.</w:t>
      </w:r>
      <w:r>
        <w:rPr>
          <w:color w:val="231F20"/>
          <w:sz w:val="19"/>
          <w:vertAlign w:val="superscript"/>
        </w:rPr>
        <w:t>208</w:t>
      </w:r>
      <w:r>
        <w:rPr>
          <w:color w:val="231F20"/>
          <w:sz w:val="19"/>
          <w:vertAlign w:val="baseline"/>
        </w:rPr>
        <w:t> The ECJ could have relied on joined Cases C-154/15 and </w:t>
      </w:r>
      <w:r>
        <w:rPr>
          <w:color w:val="231F20"/>
          <w:sz w:val="19"/>
          <w:vertAlign w:val="baseline"/>
        </w:rPr>
        <w:t>C-307/19, </w:t>
      </w:r>
      <w:r>
        <w:rPr>
          <w:i/>
          <w:color w:val="231F20"/>
          <w:sz w:val="19"/>
          <w:vertAlign w:val="baseline"/>
        </w:rPr>
        <w:t>Gutiérrez</w:t>
      </w:r>
      <w:r>
        <w:rPr>
          <w:i/>
          <w:color w:val="231F20"/>
          <w:spacing w:val="-12"/>
          <w:sz w:val="19"/>
          <w:vertAlign w:val="baseline"/>
        </w:rPr>
        <w:t> </w:t>
      </w:r>
      <w:r>
        <w:rPr>
          <w:i/>
          <w:color w:val="231F20"/>
          <w:sz w:val="19"/>
          <w:vertAlign w:val="baseline"/>
        </w:rPr>
        <w:t>Naranjo</w:t>
      </w:r>
      <w:r>
        <w:rPr>
          <w:color w:val="231F20"/>
          <w:sz w:val="19"/>
          <w:vertAlign w:val="baseline"/>
        </w:rPr>
        <w:t>,</w:t>
      </w:r>
      <w:r>
        <w:rPr>
          <w:color w:val="231F20"/>
          <w:spacing w:val="-11"/>
          <w:sz w:val="19"/>
          <w:vertAlign w:val="baseline"/>
        </w:rPr>
        <w:t> </w:t>
      </w:r>
      <w:r>
        <w:rPr>
          <w:color w:val="231F20"/>
          <w:sz w:val="19"/>
          <w:vertAlign w:val="baseline"/>
        </w:rPr>
        <w:t>to</w:t>
      </w:r>
      <w:r>
        <w:rPr>
          <w:color w:val="231F20"/>
          <w:spacing w:val="-12"/>
          <w:sz w:val="19"/>
          <w:vertAlign w:val="baseline"/>
        </w:rPr>
        <w:t> </w:t>
      </w:r>
      <w:r>
        <w:rPr>
          <w:color w:val="231F20"/>
          <w:sz w:val="19"/>
          <w:vertAlign w:val="baseline"/>
        </w:rPr>
        <w:t>answer</w:t>
      </w:r>
      <w:r>
        <w:rPr>
          <w:color w:val="231F20"/>
          <w:spacing w:val="-11"/>
          <w:sz w:val="19"/>
          <w:vertAlign w:val="baseline"/>
        </w:rPr>
        <w:t> </w:t>
      </w:r>
      <w:r>
        <w:rPr>
          <w:color w:val="231F20"/>
          <w:sz w:val="19"/>
          <w:vertAlign w:val="baseline"/>
        </w:rPr>
        <w:t>positively.</w:t>
      </w:r>
      <w:r>
        <w:rPr>
          <w:color w:val="231F20"/>
          <w:sz w:val="19"/>
          <w:vertAlign w:val="superscript"/>
        </w:rPr>
        <w:t>209</w:t>
      </w:r>
      <w:r>
        <w:rPr>
          <w:color w:val="231F20"/>
          <w:spacing w:val="-12"/>
          <w:sz w:val="19"/>
          <w:vertAlign w:val="baseline"/>
        </w:rPr>
        <w:t> </w:t>
      </w:r>
      <w:r>
        <w:rPr>
          <w:color w:val="231F20"/>
          <w:sz w:val="19"/>
          <w:vertAlign w:val="baseline"/>
        </w:rPr>
        <w:t>Instead,</w:t>
      </w:r>
      <w:r>
        <w:rPr>
          <w:color w:val="231F20"/>
          <w:spacing w:val="-11"/>
          <w:sz w:val="19"/>
          <w:vertAlign w:val="baseline"/>
        </w:rPr>
        <w:t> </w:t>
      </w:r>
      <w:r>
        <w:rPr>
          <w:color w:val="231F20"/>
          <w:sz w:val="19"/>
          <w:vertAlign w:val="baseline"/>
        </w:rPr>
        <w:t>it</w:t>
      </w:r>
      <w:r>
        <w:rPr>
          <w:color w:val="231F20"/>
          <w:spacing w:val="-12"/>
          <w:sz w:val="19"/>
          <w:vertAlign w:val="baseline"/>
        </w:rPr>
        <w:t> </w:t>
      </w:r>
      <w:r>
        <w:rPr>
          <w:color w:val="231F20"/>
          <w:sz w:val="19"/>
          <w:vertAlign w:val="baseline"/>
        </w:rPr>
        <w:t>decided</w:t>
      </w:r>
      <w:r>
        <w:rPr>
          <w:color w:val="231F20"/>
          <w:spacing w:val="-11"/>
          <w:sz w:val="19"/>
          <w:vertAlign w:val="baseline"/>
        </w:rPr>
        <w:t> </w:t>
      </w:r>
      <w:r>
        <w:rPr>
          <w:color w:val="231F20"/>
          <w:sz w:val="19"/>
          <w:vertAlign w:val="baseline"/>
        </w:rPr>
        <w:t>that</w:t>
      </w:r>
      <w:r>
        <w:rPr>
          <w:color w:val="231F20"/>
          <w:spacing w:val="-12"/>
          <w:sz w:val="19"/>
          <w:vertAlign w:val="baseline"/>
        </w:rPr>
        <w:t> </w:t>
      </w:r>
      <w:r>
        <w:rPr>
          <w:rFonts w:ascii="Arial" w:hAnsi="Arial"/>
          <w:color w:val="231F20"/>
          <w:sz w:val="19"/>
          <w:vertAlign w:val="baseline"/>
        </w:rPr>
        <w:t>‘</w:t>
      </w:r>
      <w:r>
        <w:rPr>
          <w:color w:val="231F20"/>
          <w:sz w:val="19"/>
          <w:vertAlign w:val="baseline"/>
        </w:rPr>
        <w:t>the</w:t>
      </w:r>
      <w:r>
        <w:rPr>
          <w:color w:val="231F20"/>
          <w:spacing w:val="-11"/>
          <w:sz w:val="19"/>
          <w:vertAlign w:val="baseline"/>
        </w:rPr>
        <w:t> </w:t>
      </w:r>
      <w:r>
        <w:rPr>
          <w:color w:val="231F20"/>
          <w:sz w:val="19"/>
          <w:vertAlign w:val="baseline"/>
        </w:rPr>
        <w:t>question</w:t>
      </w:r>
      <w:r>
        <w:rPr>
          <w:color w:val="231F20"/>
          <w:spacing w:val="-12"/>
          <w:sz w:val="19"/>
          <w:vertAlign w:val="baseline"/>
        </w:rPr>
        <w:t> </w:t>
      </w:r>
      <w:r>
        <w:rPr>
          <w:color w:val="231F20"/>
          <w:sz w:val="19"/>
          <w:vertAlign w:val="baseline"/>
        </w:rPr>
        <w:t>as from when the invalidation of the contract at issue in the main proceedings produces</w:t>
      </w:r>
      <w:r>
        <w:rPr>
          <w:color w:val="231F20"/>
          <w:spacing w:val="-7"/>
          <w:sz w:val="19"/>
          <w:vertAlign w:val="baseline"/>
        </w:rPr>
        <w:t> </w:t>
      </w:r>
      <w:r>
        <w:rPr>
          <w:color w:val="231F20"/>
          <w:sz w:val="19"/>
          <w:vertAlign w:val="baseline"/>
        </w:rPr>
        <w:t>its</w:t>
      </w:r>
      <w:r>
        <w:rPr>
          <w:color w:val="231F20"/>
          <w:spacing w:val="-6"/>
          <w:sz w:val="19"/>
          <w:vertAlign w:val="baseline"/>
        </w:rPr>
        <w:t> </w:t>
      </w:r>
      <w:r>
        <w:rPr>
          <w:color w:val="231F20"/>
          <w:sz w:val="19"/>
          <w:vertAlign w:val="baseline"/>
        </w:rPr>
        <w:t>effects</w:t>
      </w:r>
      <w:r>
        <w:rPr>
          <w:color w:val="231F20"/>
          <w:spacing w:val="-8"/>
          <w:sz w:val="19"/>
          <w:vertAlign w:val="baseline"/>
        </w:rPr>
        <w:t> </w:t>
      </w:r>
      <w:r>
        <w:rPr>
          <w:color w:val="231F20"/>
          <w:sz w:val="19"/>
          <w:vertAlign w:val="baseline"/>
        </w:rPr>
        <w:t>depends</w:t>
      </w:r>
      <w:r>
        <w:rPr>
          <w:color w:val="231F20"/>
          <w:spacing w:val="-6"/>
          <w:sz w:val="19"/>
          <w:vertAlign w:val="baseline"/>
        </w:rPr>
        <w:t> </w:t>
      </w:r>
      <w:r>
        <w:rPr>
          <w:color w:val="231F20"/>
          <w:sz w:val="19"/>
          <w:vertAlign w:val="baseline"/>
        </w:rPr>
        <w:t>exclusively</w:t>
      </w:r>
      <w:r>
        <w:rPr>
          <w:color w:val="231F20"/>
          <w:spacing w:val="-8"/>
          <w:sz w:val="19"/>
          <w:vertAlign w:val="baseline"/>
        </w:rPr>
        <w:t> </w:t>
      </w:r>
      <w:r>
        <w:rPr>
          <w:color w:val="231F20"/>
          <w:sz w:val="19"/>
          <w:vertAlign w:val="baseline"/>
        </w:rPr>
        <w:t>on</w:t>
      </w:r>
      <w:r>
        <w:rPr>
          <w:color w:val="231F20"/>
          <w:spacing w:val="-6"/>
          <w:sz w:val="19"/>
          <w:vertAlign w:val="baseline"/>
        </w:rPr>
        <w:t> </w:t>
      </w:r>
      <w:r>
        <w:rPr>
          <w:color w:val="231F20"/>
          <w:sz w:val="19"/>
          <w:vertAlign w:val="baseline"/>
        </w:rPr>
        <w:t>national</w:t>
      </w:r>
      <w:r>
        <w:rPr>
          <w:color w:val="231F20"/>
          <w:spacing w:val="-7"/>
          <w:sz w:val="19"/>
          <w:vertAlign w:val="baseline"/>
        </w:rPr>
        <w:t> </w:t>
      </w:r>
      <w:r>
        <w:rPr>
          <w:color w:val="231F20"/>
          <w:sz w:val="19"/>
          <w:vertAlign w:val="baseline"/>
        </w:rPr>
        <w:t>law,</w:t>
      </w:r>
      <w:r>
        <w:rPr>
          <w:color w:val="231F20"/>
          <w:spacing w:val="-7"/>
          <w:sz w:val="19"/>
          <w:vertAlign w:val="baseline"/>
        </w:rPr>
        <w:t> </w:t>
      </w:r>
      <w:r>
        <w:rPr>
          <w:color w:val="231F20"/>
          <w:sz w:val="19"/>
          <w:vertAlign w:val="baseline"/>
        </w:rPr>
        <w:t>provided</w:t>
      </w:r>
      <w:r>
        <w:rPr>
          <w:color w:val="231F20"/>
          <w:spacing w:val="-6"/>
          <w:sz w:val="19"/>
          <w:vertAlign w:val="baseline"/>
        </w:rPr>
        <w:t> </w:t>
      </w:r>
      <w:r>
        <w:rPr>
          <w:color w:val="231F20"/>
          <w:sz w:val="19"/>
          <w:vertAlign w:val="baseline"/>
        </w:rPr>
        <w:t>that</w:t>
      </w:r>
      <w:r>
        <w:rPr>
          <w:color w:val="231F20"/>
          <w:spacing w:val="-6"/>
          <w:sz w:val="19"/>
          <w:vertAlign w:val="baseline"/>
        </w:rPr>
        <w:t> </w:t>
      </w:r>
      <w:r>
        <w:rPr>
          <w:color w:val="231F20"/>
          <w:sz w:val="19"/>
          <w:vertAlign w:val="baseline"/>
        </w:rPr>
        <w:t>the</w:t>
      </w:r>
      <w:r>
        <w:rPr>
          <w:color w:val="231F20"/>
          <w:spacing w:val="-7"/>
          <w:sz w:val="19"/>
          <w:vertAlign w:val="baseline"/>
        </w:rPr>
        <w:t> </w:t>
      </w:r>
      <w:r>
        <w:rPr>
          <w:color w:val="231F20"/>
          <w:sz w:val="19"/>
          <w:vertAlign w:val="baseline"/>
        </w:rPr>
        <w:t>protec- tion</w:t>
      </w:r>
      <w:r>
        <w:rPr>
          <w:color w:val="231F20"/>
          <w:spacing w:val="1"/>
          <w:sz w:val="19"/>
          <w:vertAlign w:val="baseline"/>
        </w:rPr>
        <w:t> </w:t>
      </w:r>
      <w:r>
        <w:rPr>
          <w:color w:val="231F20"/>
          <w:sz w:val="19"/>
          <w:vertAlign w:val="baseline"/>
        </w:rPr>
        <w:t>guaranteed</w:t>
      </w:r>
      <w:r>
        <w:rPr>
          <w:color w:val="231F20"/>
          <w:spacing w:val="1"/>
          <w:sz w:val="19"/>
          <w:vertAlign w:val="baseline"/>
        </w:rPr>
        <w:t> </w:t>
      </w:r>
      <w:r>
        <w:rPr>
          <w:color w:val="231F20"/>
          <w:sz w:val="19"/>
          <w:vertAlign w:val="baseline"/>
        </w:rPr>
        <w:t>to</w:t>
      </w:r>
      <w:r>
        <w:rPr>
          <w:color w:val="231F20"/>
          <w:spacing w:val="1"/>
          <w:sz w:val="19"/>
          <w:vertAlign w:val="baseline"/>
        </w:rPr>
        <w:t> </w:t>
      </w:r>
      <w:r>
        <w:rPr>
          <w:color w:val="231F20"/>
          <w:sz w:val="19"/>
          <w:vertAlign w:val="baseline"/>
        </w:rPr>
        <w:t>consumers</w:t>
      </w:r>
      <w:r>
        <w:rPr>
          <w:color w:val="231F20"/>
          <w:spacing w:val="1"/>
          <w:sz w:val="19"/>
          <w:vertAlign w:val="baseline"/>
        </w:rPr>
        <w:t> </w:t>
      </w:r>
      <w:r>
        <w:rPr>
          <w:color w:val="231F20"/>
          <w:sz w:val="19"/>
          <w:vertAlign w:val="baseline"/>
        </w:rPr>
        <w:t>by</w:t>
      </w:r>
      <w:r>
        <w:rPr>
          <w:color w:val="231F20"/>
          <w:spacing w:val="1"/>
          <w:sz w:val="19"/>
          <w:vertAlign w:val="baseline"/>
        </w:rPr>
        <w:t> </w:t>
      </w:r>
      <w:r>
        <w:rPr>
          <w:color w:val="231F20"/>
          <w:sz w:val="19"/>
          <w:vertAlign w:val="baseline"/>
        </w:rPr>
        <w:t>the</w:t>
      </w:r>
      <w:r>
        <w:rPr>
          <w:color w:val="231F20"/>
          <w:spacing w:val="1"/>
          <w:sz w:val="19"/>
          <w:vertAlign w:val="baseline"/>
        </w:rPr>
        <w:t> </w:t>
      </w:r>
      <w:r>
        <w:rPr>
          <w:color w:val="231F20"/>
          <w:sz w:val="19"/>
          <w:vertAlign w:val="baseline"/>
        </w:rPr>
        <w:t>provisions</w:t>
      </w:r>
      <w:r>
        <w:rPr>
          <w:color w:val="231F20"/>
          <w:spacing w:val="-1"/>
          <w:sz w:val="19"/>
          <w:vertAlign w:val="baseline"/>
        </w:rPr>
        <w:t> </w:t>
      </w:r>
      <w:r>
        <w:rPr>
          <w:color w:val="231F20"/>
          <w:sz w:val="19"/>
          <w:vertAlign w:val="baseline"/>
        </w:rPr>
        <w:t>of</w:t>
      </w:r>
      <w:r>
        <w:rPr>
          <w:color w:val="231F20"/>
          <w:spacing w:val="1"/>
          <w:sz w:val="19"/>
          <w:vertAlign w:val="baseline"/>
        </w:rPr>
        <w:t> </w:t>
      </w:r>
      <w:r>
        <w:rPr>
          <w:color w:val="231F20"/>
          <w:sz w:val="19"/>
          <w:vertAlign w:val="baseline"/>
        </w:rPr>
        <w:t>Directive 93/13</w:t>
      </w:r>
      <w:r>
        <w:rPr>
          <w:color w:val="231F20"/>
          <w:spacing w:val="1"/>
          <w:sz w:val="19"/>
          <w:vertAlign w:val="baseline"/>
        </w:rPr>
        <w:t> </w:t>
      </w:r>
      <w:r>
        <w:rPr>
          <w:color w:val="231F20"/>
          <w:sz w:val="19"/>
          <w:vertAlign w:val="baseline"/>
        </w:rPr>
        <w:t>is</w:t>
      </w:r>
      <w:r>
        <w:rPr>
          <w:color w:val="231F20"/>
          <w:spacing w:val="1"/>
          <w:sz w:val="19"/>
          <w:vertAlign w:val="baseline"/>
        </w:rPr>
        <w:t> </w:t>
      </w:r>
      <w:r>
        <w:rPr>
          <w:color w:val="231F20"/>
          <w:spacing w:val="-2"/>
          <w:sz w:val="19"/>
          <w:vertAlign w:val="baseline"/>
        </w:rPr>
        <w:t>ensured</w:t>
      </w:r>
      <w:r>
        <w:rPr>
          <w:rFonts w:ascii="Arial" w:hAnsi="Arial"/>
          <w:color w:val="231F20"/>
          <w:spacing w:val="-2"/>
          <w:sz w:val="19"/>
          <w:vertAlign w:val="baseline"/>
        </w:rPr>
        <w:t>’</w:t>
      </w:r>
      <w:r>
        <w:rPr>
          <w:color w:val="231F20"/>
          <w:spacing w:val="-2"/>
          <w:sz w:val="19"/>
          <w:vertAlign w:val="baseline"/>
        </w:rPr>
        <w:t>.</w:t>
      </w:r>
      <w:r>
        <w:rPr>
          <w:color w:val="231F20"/>
          <w:spacing w:val="-2"/>
          <w:sz w:val="19"/>
          <w:vertAlign w:val="superscript"/>
        </w:rPr>
        <w:t>210</w:t>
      </w:r>
    </w:p>
    <w:p>
      <w:pPr>
        <w:pStyle w:val="BodyText"/>
        <w:rPr>
          <w:sz w:val="20"/>
        </w:rPr>
      </w:pPr>
    </w:p>
    <w:p>
      <w:pPr>
        <w:pStyle w:val="BodyText"/>
        <w:spacing w:before="11"/>
        <w:rPr>
          <w:sz w:val="20"/>
        </w:rPr>
      </w:pPr>
      <w:r>
        <w:rPr/>
        <mc:AlternateContent>
          <mc:Choice Requires="wps">
            <w:drawing>
              <wp:anchor distT="0" distB="0" distL="0" distR="0" allowOverlap="1" layoutInCell="1" locked="0" behindDoc="1" simplePos="0" relativeHeight="487605760">
                <wp:simplePos x="0" y="0"/>
                <wp:positionH relativeFrom="page">
                  <wp:posOffset>1979993</wp:posOffset>
                </wp:positionH>
                <wp:positionV relativeFrom="paragraph">
                  <wp:posOffset>166821</wp:posOffset>
                </wp:positionV>
                <wp:extent cx="1656080" cy="4445"/>
                <wp:effectExtent l="0" t="0" r="0" b="0"/>
                <wp:wrapTopAndBottom/>
                <wp:docPr id="38" name="Graphic 38"/>
                <wp:cNvGraphicFramePr>
                  <a:graphicFrameLocks/>
                </wp:cNvGraphicFramePr>
                <a:graphic>
                  <a:graphicData uri="http://schemas.microsoft.com/office/word/2010/wordprocessingShape">
                    <wps:wsp>
                      <wps:cNvPr id="38" name="Graphic 38"/>
                      <wps:cNvSpPr/>
                      <wps:spPr>
                        <a:xfrm>
                          <a:off x="0" y="0"/>
                          <a:ext cx="1656080" cy="4445"/>
                        </a:xfrm>
                        <a:custGeom>
                          <a:avLst/>
                          <a:gdLst/>
                          <a:ahLst/>
                          <a:cxnLst/>
                          <a:rect l="l" t="t" r="r" b="b"/>
                          <a:pathLst>
                            <a:path w="1656080" h="4445">
                              <a:moveTo>
                                <a:pt x="1656003" y="0"/>
                              </a:moveTo>
                              <a:lnTo>
                                <a:pt x="0" y="0"/>
                              </a:lnTo>
                              <a:lnTo>
                                <a:pt x="0" y="4320"/>
                              </a:lnTo>
                              <a:lnTo>
                                <a:pt x="1656003" y="4320"/>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3.135551pt;width:130.394pt;height:.34016pt;mso-position-horizontal-relative:page;mso-position-vertical-relative:paragraph;z-index:-15710720;mso-wrap-distance-left:0;mso-wrap-distance-right:0" id="docshape38"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43.</w:t>
      </w:r>
    </w:p>
    <w:p>
      <w:pPr>
        <w:pStyle w:val="ListParagraph"/>
        <w:numPr>
          <w:ilvl w:val="0"/>
          <w:numId w:val="3"/>
        </w:numPr>
        <w:tabs>
          <w:tab w:pos="865" w:val="left" w:leader="none"/>
        </w:tabs>
        <w:spacing w:line="240" w:lineRule="auto" w:before="36"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39.</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40.</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5"/>
          <w:sz w:val="16"/>
        </w:rPr>
        <w:t> </w:t>
      </w:r>
      <w:r>
        <w:rPr>
          <w:color w:val="231F20"/>
          <w:sz w:val="16"/>
        </w:rPr>
        <w:t>25</w:t>
      </w:r>
      <w:r>
        <w:rPr>
          <w:color w:val="231F20"/>
          <w:spacing w:val="-5"/>
          <w:sz w:val="16"/>
        </w:rPr>
        <w:t> </w:t>
      </w:r>
      <w:r>
        <w:rPr>
          <w:color w:val="231F20"/>
          <w:sz w:val="16"/>
        </w:rPr>
        <w:t>Nov.</w:t>
      </w:r>
      <w:r>
        <w:rPr>
          <w:color w:val="231F20"/>
          <w:spacing w:val="-4"/>
          <w:sz w:val="16"/>
        </w:rPr>
        <w:t> </w:t>
      </w:r>
      <w:r>
        <w:rPr>
          <w:color w:val="231F20"/>
          <w:sz w:val="16"/>
        </w:rPr>
        <w:t>2020,</w:t>
      </w:r>
      <w:r>
        <w:rPr>
          <w:color w:val="231F20"/>
          <w:spacing w:val="-4"/>
          <w:sz w:val="16"/>
        </w:rPr>
        <w:t> </w:t>
      </w:r>
      <w:r>
        <w:rPr>
          <w:color w:val="231F20"/>
          <w:sz w:val="16"/>
        </w:rPr>
        <w:t>ECLI:EU:C:2020:954,</w:t>
      </w:r>
      <w:r>
        <w:rPr>
          <w:color w:val="231F20"/>
          <w:spacing w:val="-4"/>
          <w:sz w:val="16"/>
        </w:rPr>
        <w:t> </w:t>
      </w:r>
      <w:r>
        <w:rPr>
          <w:i/>
          <w:color w:val="231F20"/>
          <w:sz w:val="16"/>
        </w:rPr>
        <w:t>Banca</w:t>
      </w:r>
      <w:r>
        <w:rPr>
          <w:i/>
          <w:color w:val="231F20"/>
          <w:spacing w:val="-4"/>
          <w:sz w:val="16"/>
        </w:rPr>
        <w:t> </w:t>
      </w:r>
      <w:r>
        <w:rPr>
          <w:i/>
          <w:color w:val="231F20"/>
          <w:sz w:val="16"/>
        </w:rPr>
        <w:t>B.</w:t>
      </w:r>
      <w:r>
        <w:rPr>
          <w:color w:val="231F20"/>
          <w:sz w:val="16"/>
        </w:rPr>
        <w:t>,</w:t>
      </w:r>
      <w:r>
        <w:rPr>
          <w:color w:val="231F20"/>
          <w:spacing w:val="-3"/>
          <w:sz w:val="16"/>
        </w:rPr>
        <w:t> </w:t>
      </w:r>
      <w:r>
        <w:rPr>
          <w:color w:val="231F20"/>
          <w:sz w:val="16"/>
        </w:rPr>
        <w:t>para.</w:t>
      </w:r>
      <w:r>
        <w:rPr>
          <w:color w:val="231F20"/>
          <w:spacing w:val="-5"/>
          <w:sz w:val="16"/>
        </w:rPr>
        <w:t> 42.</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4"/>
          <w:sz w:val="16"/>
        </w:rPr>
        <w:t> </w:t>
      </w:r>
      <w:r>
        <w:rPr>
          <w:color w:val="231F20"/>
          <w:sz w:val="16"/>
        </w:rPr>
        <w:t>29</w:t>
      </w:r>
      <w:r>
        <w:rPr>
          <w:color w:val="231F20"/>
          <w:spacing w:val="5"/>
          <w:sz w:val="16"/>
        </w:rPr>
        <w:t> </w:t>
      </w:r>
      <w:r>
        <w:rPr>
          <w:color w:val="231F20"/>
          <w:sz w:val="16"/>
        </w:rPr>
        <w:t>Apr.</w:t>
      </w:r>
      <w:r>
        <w:rPr>
          <w:color w:val="231F20"/>
          <w:spacing w:val="5"/>
          <w:sz w:val="16"/>
        </w:rPr>
        <w:t> </w:t>
      </w:r>
      <w:r>
        <w:rPr>
          <w:color w:val="231F20"/>
          <w:sz w:val="16"/>
        </w:rPr>
        <w:t>2021,</w:t>
      </w:r>
      <w:r>
        <w:rPr>
          <w:color w:val="231F20"/>
          <w:spacing w:val="5"/>
          <w:sz w:val="16"/>
        </w:rPr>
        <w:t> </w:t>
      </w:r>
      <w:r>
        <w:rPr>
          <w:color w:val="231F20"/>
          <w:sz w:val="16"/>
        </w:rPr>
        <w:t>ECLI:EU:C:2021:341,</w:t>
      </w:r>
      <w:r>
        <w:rPr>
          <w:color w:val="231F20"/>
          <w:spacing w:val="6"/>
          <w:sz w:val="16"/>
        </w:rPr>
        <w:t> </w:t>
      </w:r>
      <w:r>
        <w:rPr>
          <w:i/>
          <w:color w:val="231F20"/>
          <w:sz w:val="16"/>
        </w:rPr>
        <w:t>I.W.</w:t>
      </w:r>
      <w:r>
        <w:rPr>
          <w:i/>
          <w:color w:val="231F20"/>
          <w:spacing w:val="4"/>
          <w:sz w:val="16"/>
        </w:rPr>
        <w:t> </w:t>
      </w:r>
      <w:r>
        <w:rPr>
          <w:i/>
          <w:color w:val="231F20"/>
          <w:sz w:val="16"/>
        </w:rPr>
        <w:t>and</w:t>
      </w:r>
      <w:r>
        <w:rPr>
          <w:i/>
          <w:color w:val="231F20"/>
          <w:spacing w:val="5"/>
          <w:sz w:val="16"/>
        </w:rPr>
        <w:t> </w:t>
      </w:r>
      <w:r>
        <w:rPr>
          <w:i/>
          <w:color w:val="231F20"/>
          <w:sz w:val="16"/>
        </w:rPr>
        <w:t>R.W.</w:t>
      </w:r>
      <w:r>
        <w:rPr>
          <w:i/>
          <w:color w:val="231F20"/>
          <w:spacing w:val="5"/>
          <w:sz w:val="16"/>
        </w:rPr>
        <w:t> </w:t>
      </w:r>
      <w:r>
        <w:rPr>
          <w:color w:val="231F20"/>
          <w:sz w:val="16"/>
        </w:rPr>
        <w:t>v.</w:t>
      </w:r>
      <w:r>
        <w:rPr>
          <w:color w:val="231F20"/>
          <w:spacing w:val="5"/>
          <w:sz w:val="16"/>
        </w:rPr>
        <w:t> </w:t>
      </w:r>
      <w:r>
        <w:rPr>
          <w:i/>
          <w:color w:val="231F20"/>
          <w:sz w:val="16"/>
        </w:rPr>
        <w:t>Bank</w:t>
      </w:r>
      <w:r>
        <w:rPr>
          <w:i/>
          <w:color w:val="231F20"/>
          <w:spacing w:val="6"/>
          <w:sz w:val="16"/>
        </w:rPr>
        <w:t> </w:t>
      </w:r>
      <w:r>
        <w:rPr>
          <w:i/>
          <w:color w:val="231F20"/>
          <w:sz w:val="16"/>
        </w:rPr>
        <w:t>BPH</w:t>
      </w:r>
      <w:r>
        <w:rPr>
          <w:i/>
          <w:color w:val="231F20"/>
          <w:spacing w:val="4"/>
          <w:sz w:val="16"/>
        </w:rPr>
        <w:t> </w:t>
      </w:r>
      <w:r>
        <w:rPr>
          <w:i/>
          <w:color w:val="231F20"/>
          <w:sz w:val="16"/>
        </w:rPr>
        <w:t>S.A.</w:t>
      </w:r>
      <w:r>
        <w:rPr>
          <w:color w:val="231F20"/>
          <w:sz w:val="16"/>
        </w:rPr>
        <w:t>,</w:t>
      </w:r>
      <w:r>
        <w:rPr>
          <w:color w:val="231F20"/>
          <w:spacing w:val="5"/>
          <w:sz w:val="16"/>
        </w:rPr>
        <w:t> </w:t>
      </w:r>
      <w:r>
        <w:rPr>
          <w:color w:val="231F20"/>
          <w:sz w:val="16"/>
        </w:rPr>
        <w:t>para.</w:t>
      </w:r>
      <w:r>
        <w:rPr>
          <w:color w:val="231F20"/>
          <w:spacing w:val="5"/>
          <w:sz w:val="16"/>
        </w:rPr>
        <w:t> </w:t>
      </w:r>
      <w:r>
        <w:rPr>
          <w:color w:val="231F20"/>
          <w:sz w:val="16"/>
        </w:rPr>
        <w:t>33,</w:t>
      </w:r>
      <w:r>
        <w:rPr>
          <w:color w:val="231F20"/>
          <w:spacing w:val="4"/>
          <w:sz w:val="16"/>
        </w:rPr>
        <w:t> </w:t>
      </w:r>
      <w:r>
        <w:rPr>
          <w:color w:val="231F20"/>
          <w:sz w:val="16"/>
        </w:rPr>
        <w:t>question</w:t>
      </w:r>
      <w:r>
        <w:rPr>
          <w:color w:val="231F20"/>
          <w:spacing w:val="6"/>
          <w:sz w:val="16"/>
        </w:rPr>
        <w:t> </w:t>
      </w:r>
      <w:r>
        <w:rPr>
          <w:color w:val="231F20"/>
          <w:spacing w:val="-5"/>
          <w:sz w:val="16"/>
        </w:rPr>
        <w:t>4.</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See</w:t>
      </w:r>
      <w:r>
        <w:rPr>
          <w:color w:val="231F20"/>
          <w:spacing w:val="5"/>
          <w:sz w:val="16"/>
        </w:rPr>
        <w:t> </w:t>
      </w:r>
      <w:r>
        <w:rPr>
          <w:color w:val="231F20"/>
          <w:sz w:val="16"/>
        </w:rPr>
        <w:t>above,</w:t>
      </w:r>
      <w:r>
        <w:rPr>
          <w:color w:val="231F20"/>
          <w:spacing w:val="5"/>
          <w:sz w:val="16"/>
        </w:rPr>
        <w:t> </w:t>
      </w:r>
      <w:r>
        <w:rPr>
          <w:color w:val="231F20"/>
          <w:sz w:val="16"/>
        </w:rPr>
        <w:t>s.</w:t>
      </w:r>
      <w:r>
        <w:rPr>
          <w:color w:val="231F20"/>
          <w:spacing w:val="5"/>
          <w:sz w:val="16"/>
        </w:rPr>
        <w:t> </w:t>
      </w:r>
      <w:r>
        <w:rPr>
          <w:color w:val="231F20"/>
          <w:spacing w:val="-4"/>
          <w:sz w:val="16"/>
        </w:rPr>
        <w:t>4.1.</w:t>
      </w:r>
    </w:p>
    <w:p>
      <w:pPr>
        <w:pStyle w:val="ListParagraph"/>
        <w:numPr>
          <w:ilvl w:val="0"/>
          <w:numId w:val="3"/>
        </w:numPr>
        <w:tabs>
          <w:tab w:pos="865" w:val="left" w:leader="none"/>
        </w:tabs>
        <w:spacing w:line="240" w:lineRule="auto" w:before="37" w:after="0"/>
        <w:ind w:left="865" w:right="0" w:hanging="353"/>
        <w:jc w:val="left"/>
        <w:rPr>
          <w:sz w:val="16"/>
        </w:rPr>
      </w:pPr>
      <w:r>
        <w:rPr>
          <w:color w:val="231F20"/>
          <w:sz w:val="16"/>
        </w:rPr>
        <w:t>ECJ</w:t>
      </w:r>
      <w:r>
        <w:rPr>
          <w:color w:val="231F20"/>
          <w:spacing w:val="7"/>
          <w:sz w:val="16"/>
        </w:rPr>
        <w:t> </w:t>
      </w:r>
      <w:r>
        <w:rPr>
          <w:color w:val="231F20"/>
          <w:sz w:val="16"/>
        </w:rPr>
        <w:t>29</w:t>
      </w:r>
      <w:r>
        <w:rPr>
          <w:color w:val="231F20"/>
          <w:spacing w:val="7"/>
          <w:sz w:val="16"/>
        </w:rPr>
        <w:t> </w:t>
      </w:r>
      <w:r>
        <w:rPr>
          <w:color w:val="231F20"/>
          <w:sz w:val="16"/>
        </w:rPr>
        <w:t>Apr.</w:t>
      </w:r>
      <w:r>
        <w:rPr>
          <w:color w:val="231F20"/>
          <w:spacing w:val="7"/>
          <w:sz w:val="16"/>
        </w:rPr>
        <w:t> </w:t>
      </w:r>
      <w:r>
        <w:rPr>
          <w:color w:val="231F20"/>
          <w:sz w:val="16"/>
        </w:rPr>
        <w:t>2021,</w:t>
      </w:r>
      <w:r>
        <w:rPr>
          <w:color w:val="231F20"/>
          <w:spacing w:val="7"/>
          <w:sz w:val="16"/>
        </w:rPr>
        <w:t> </w:t>
      </w:r>
      <w:r>
        <w:rPr>
          <w:color w:val="231F20"/>
          <w:sz w:val="16"/>
        </w:rPr>
        <w:t>ECLI:EU:C:2021:341,</w:t>
      </w:r>
      <w:r>
        <w:rPr>
          <w:color w:val="231F20"/>
          <w:spacing w:val="8"/>
          <w:sz w:val="16"/>
        </w:rPr>
        <w:t> </w:t>
      </w:r>
      <w:r>
        <w:rPr>
          <w:i/>
          <w:color w:val="231F20"/>
          <w:sz w:val="16"/>
        </w:rPr>
        <w:t>I.W.</w:t>
      </w:r>
      <w:r>
        <w:rPr>
          <w:i/>
          <w:color w:val="231F20"/>
          <w:spacing w:val="7"/>
          <w:sz w:val="16"/>
        </w:rPr>
        <w:t> </w:t>
      </w:r>
      <w:r>
        <w:rPr>
          <w:i/>
          <w:color w:val="231F20"/>
          <w:sz w:val="16"/>
        </w:rPr>
        <w:t>and</w:t>
      </w:r>
      <w:r>
        <w:rPr>
          <w:i/>
          <w:color w:val="231F20"/>
          <w:spacing w:val="8"/>
          <w:sz w:val="16"/>
        </w:rPr>
        <w:t> </w:t>
      </w:r>
      <w:r>
        <w:rPr>
          <w:i/>
          <w:color w:val="231F20"/>
          <w:sz w:val="16"/>
        </w:rPr>
        <w:t>R.W.</w:t>
      </w:r>
      <w:r>
        <w:rPr>
          <w:i/>
          <w:color w:val="231F20"/>
          <w:spacing w:val="8"/>
          <w:sz w:val="16"/>
        </w:rPr>
        <w:t> </w:t>
      </w:r>
      <w:r>
        <w:rPr>
          <w:color w:val="231F20"/>
          <w:sz w:val="16"/>
        </w:rPr>
        <w:t>v.</w:t>
      </w:r>
      <w:r>
        <w:rPr>
          <w:color w:val="231F20"/>
          <w:spacing w:val="7"/>
          <w:sz w:val="16"/>
        </w:rPr>
        <w:t> </w:t>
      </w:r>
      <w:r>
        <w:rPr>
          <w:i/>
          <w:color w:val="231F20"/>
          <w:sz w:val="16"/>
        </w:rPr>
        <w:t>Bank</w:t>
      </w:r>
      <w:r>
        <w:rPr>
          <w:i/>
          <w:color w:val="231F20"/>
          <w:spacing w:val="8"/>
          <w:sz w:val="16"/>
        </w:rPr>
        <w:t> </w:t>
      </w:r>
      <w:r>
        <w:rPr>
          <w:i/>
          <w:color w:val="231F20"/>
          <w:sz w:val="16"/>
        </w:rPr>
        <w:t>BPH</w:t>
      </w:r>
      <w:r>
        <w:rPr>
          <w:i/>
          <w:color w:val="231F20"/>
          <w:spacing w:val="8"/>
          <w:sz w:val="16"/>
        </w:rPr>
        <w:t> </w:t>
      </w:r>
      <w:r>
        <w:rPr>
          <w:i/>
          <w:color w:val="231F20"/>
          <w:sz w:val="16"/>
        </w:rPr>
        <w:t>S.A.</w:t>
      </w:r>
      <w:r>
        <w:rPr>
          <w:color w:val="231F20"/>
          <w:sz w:val="16"/>
        </w:rPr>
        <w:t>,</w:t>
      </w:r>
      <w:r>
        <w:rPr>
          <w:color w:val="231F20"/>
          <w:spacing w:val="9"/>
          <w:sz w:val="16"/>
        </w:rPr>
        <w:t> </w:t>
      </w:r>
      <w:r>
        <w:rPr>
          <w:color w:val="231F20"/>
          <w:sz w:val="16"/>
        </w:rPr>
        <w:t>para.</w:t>
      </w:r>
      <w:r>
        <w:rPr>
          <w:color w:val="231F20"/>
          <w:spacing w:val="7"/>
          <w:sz w:val="16"/>
        </w:rPr>
        <w:t> </w:t>
      </w:r>
      <w:r>
        <w:rPr>
          <w:color w:val="231F20"/>
          <w:spacing w:val="-5"/>
          <w:sz w:val="16"/>
        </w:rPr>
        <w:t>88.</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2"/>
      </w:pPr>
    </w:p>
    <w:p>
      <w:pPr>
        <w:pStyle w:val="ListParagraph"/>
        <w:numPr>
          <w:ilvl w:val="0"/>
          <w:numId w:val="4"/>
        </w:numPr>
        <w:tabs>
          <w:tab w:pos="1428" w:val="left" w:leader="none"/>
        </w:tabs>
        <w:spacing w:line="288" w:lineRule="auto" w:before="0" w:after="0"/>
        <w:ind w:left="871" w:right="867" w:firstLine="0"/>
        <w:jc w:val="both"/>
        <w:rPr>
          <w:sz w:val="19"/>
        </w:rPr>
      </w:pPr>
      <w:r>
        <w:rPr>
          <w:color w:val="231F20"/>
          <w:sz w:val="19"/>
        </w:rPr>
        <w:t>Besides, the ECJ</w:t>
      </w:r>
      <w:r>
        <w:rPr>
          <w:rFonts w:ascii="Arial" w:hAnsi="Arial"/>
          <w:color w:val="231F20"/>
          <w:sz w:val="19"/>
        </w:rPr>
        <w:t>’</w:t>
      </w:r>
      <w:r>
        <w:rPr>
          <w:color w:val="231F20"/>
          <w:sz w:val="19"/>
        </w:rPr>
        <w:t>s openness to a functional interpretation of Article 6(1) UCTD could also have a de-harmonizing effect. This would occur when it admits </w:t>
      </w:r>
      <w:r>
        <w:rPr>
          <w:color w:val="231F20"/>
          <w:spacing w:val="-2"/>
          <w:sz w:val="19"/>
        </w:rPr>
        <w:t>other</w:t>
      </w:r>
      <w:r>
        <w:rPr>
          <w:color w:val="231F20"/>
          <w:spacing w:val="-5"/>
          <w:sz w:val="19"/>
        </w:rPr>
        <w:t> </w:t>
      </w:r>
      <w:r>
        <w:rPr>
          <w:color w:val="231F20"/>
          <w:spacing w:val="-2"/>
          <w:sz w:val="19"/>
        </w:rPr>
        <w:t>solutions</w:t>
      </w:r>
      <w:r>
        <w:rPr>
          <w:color w:val="231F20"/>
          <w:spacing w:val="-7"/>
          <w:sz w:val="19"/>
        </w:rPr>
        <w:t> </w:t>
      </w:r>
      <w:r>
        <w:rPr>
          <w:color w:val="231F20"/>
          <w:spacing w:val="-2"/>
          <w:sz w:val="19"/>
        </w:rPr>
        <w:t>than</w:t>
      </w:r>
      <w:r>
        <w:rPr>
          <w:color w:val="231F20"/>
          <w:spacing w:val="-6"/>
          <w:sz w:val="19"/>
        </w:rPr>
        <w:t> </w:t>
      </w:r>
      <w:r>
        <w:rPr>
          <w:color w:val="231F20"/>
          <w:spacing w:val="-2"/>
          <w:sz w:val="19"/>
        </w:rPr>
        <w:t>the</w:t>
      </w:r>
      <w:r>
        <w:rPr>
          <w:color w:val="231F20"/>
          <w:spacing w:val="-8"/>
          <w:sz w:val="19"/>
        </w:rPr>
        <w:t> </w:t>
      </w:r>
      <w:r>
        <w:rPr>
          <w:color w:val="231F20"/>
          <w:spacing w:val="-2"/>
          <w:sz w:val="19"/>
        </w:rPr>
        <w:t>non-binding</w:t>
      </w:r>
      <w:r>
        <w:rPr>
          <w:color w:val="231F20"/>
          <w:spacing w:val="-8"/>
          <w:sz w:val="19"/>
        </w:rPr>
        <w:t> </w:t>
      </w:r>
      <w:r>
        <w:rPr>
          <w:color w:val="231F20"/>
          <w:spacing w:val="-2"/>
          <w:sz w:val="19"/>
        </w:rPr>
        <w:t>effect</w:t>
      </w:r>
      <w:r>
        <w:rPr>
          <w:color w:val="231F20"/>
          <w:spacing w:val="-7"/>
          <w:sz w:val="19"/>
        </w:rPr>
        <w:t> </w:t>
      </w:r>
      <w:r>
        <w:rPr>
          <w:color w:val="231F20"/>
          <w:spacing w:val="-2"/>
          <w:sz w:val="19"/>
        </w:rPr>
        <w:t>of</w:t>
      </w:r>
      <w:r>
        <w:rPr>
          <w:color w:val="231F20"/>
          <w:spacing w:val="-4"/>
          <w:sz w:val="19"/>
        </w:rPr>
        <w:t> </w:t>
      </w:r>
      <w:r>
        <w:rPr>
          <w:color w:val="231F20"/>
          <w:spacing w:val="-2"/>
          <w:sz w:val="19"/>
        </w:rPr>
        <w:t>the</w:t>
      </w:r>
      <w:r>
        <w:rPr>
          <w:color w:val="231F20"/>
          <w:spacing w:val="-8"/>
          <w:sz w:val="19"/>
        </w:rPr>
        <w:t> </w:t>
      </w:r>
      <w:r>
        <w:rPr>
          <w:color w:val="231F20"/>
          <w:spacing w:val="-2"/>
          <w:sz w:val="19"/>
        </w:rPr>
        <w:t>term</w:t>
      </w:r>
      <w:r>
        <w:rPr>
          <w:color w:val="231F20"/>
          <w:spacing w:val="-7"/>
          <w:sz w:val="19"/>
        </w:rPr>
        <w:t> </w:t>
      </w:r>
      <w:r>
        <w:rPr>
          <w:color w:val="231F20"/>
          <w:spacing w:val="-2"/>
          <w:sz w:val="19"/>
        </w:rPr>
        <w:t>or</w:t>
      </w:r>
      <w:r>
        <w:rPr>
          <w:color w:val="231F20"/>
          <w:spacing w:val="-8"/>
          <w:sz w:val="19"/>
        </w:rPr>
        <w:t> </w:t>
      </w:r>
      <w:r>
        <w:rPr>
          <w:color w:val="231F20"/>
          <w:spacing w:val="-2"/>
          <w:sz w:val="19"/>
        </w:rPr>
        <w:t>of</w:t>
      </w:r>
      <w:r>
        <w:rPr>
          <w:color w:val="231F20"/>
          <w:spacing w:val="-4"/>
          <w:sz w:val="19"/>
        </w:rPr>
        <w:t> </w:t>
      </w:r>
      <w:r>
        <w:rPr>
          <w:color w:val="231F20"/>
          <w:spacing w:val="-2"/>
          <w:sz w:val="19"/>
        </w:rPr>
        <w:t>the</w:t>
      </w:r>
      <w:r>
        <w:rPr>
          <w:color w:val="231F20"/>
          <w:spacing w:val="-8"/>
          <w:sz w:val="19"/>
        </w:rPr>
        <w:t> </w:t>
      </w:r>
      <w:r>
        <w:rPr>
          <w:color w:val="231F20"/>
          <w:spacing w:val="-2"/>
          <w:sz w:val="19"/>
        </w:rPr>
        <w:t>contract.</w:t>
      </w:r>
      <w:r>
        <w:rPr>
          <w:color w:val="231F20"/>
          <w:spacing w:val="-6"/>
          <w:sz w:val="19"/>
        </w:rPr>
        <w:t> </w:t>
      </w:r>
      <w:r>
        <w:rPr>
          <w:color w:val="231F20"/>
          <w:spacing w:val="-2"/>
          <w:sz w:val="19"/>
        </w:rPr>
        <w:t>The</w:t>
      </w:r>
      <w:r>
        <w:rPr>
          <w:color w:val="231F20"/>
          <w:spacing w:val="-8"/>
          <w:sz w:val="19"/>
        </w:rPr>
        <w:t> </w:t>
      </w:r>
      <w:r>
        <w:rPr>
          <w:color w:val="231F20"/>
          <w:spacing w:val="-2"/>
          <w:sz w:val="19"/>
        </w:rPr>
        <w:t>Court </w:t>
      </w:r>
      <w:r>
        <w:rPr>
          <w:color w:val="231F20"/>
          <w:sz w:val="19"/>
        </w:rPr>
        <w:t>has accepted alternative solutions to those in Article 6(1) UCTD with the aim of restoring</w:t>
      </w:r>
      <w:r>
        <w:rPr>
          <w:color w:val="231F20"/>
          <w:spacing w:val="-7"/>
          <w:sz w:val="19"/>
        </w:rPr>
        <w:t> </w:t>
      </w:r>
      <w:r>
        <w:rPr>
          <w:color w:val="231F20"/>
          <w:sz w:val="19"/>
        </w:rPr>
        <w:t>consumers</w:t>
      </w:r>
      <w:r>
        <w:rPr>
          <w:color w:val="231F20"/>
          <w:spacing w:val="-7"/>
          <w:sz w:val="19"/>
        </w:rPr>
        <w:t> </w:t>
      </w:r>
      <w:r>
        <w:rPr>
          <w:color w:val="231F20"/>
          <w:sz w:val="19"/>
        </w:rPr>
        <w:t>to</w:t>
      </w:r>
      <w:r>
        <w:rPr>
          <w:color w:val="231F20"/>
          <w:spacing w:val="-7"/>
          <w:sz w:val="19"/>
        </w:rPr>
        <w:t> </w:t>
      </w:r>
      <w:r>
        <w:rPr>
          <w:color w:val="231F20"/>
          <w:sz w:val="19"/>
        </w:rPr>
        <w:t>the</w:t>
      </w:r>
      <w:r>
        <w:rPr>
          <w:color w:val="231F20"/>
          <w:spacing w:val="-9"/>
          <w:sz w:val="19"/>
        </w:rPr>
        <w:t> </w:t>
      </w:r>
      <w:r>
        <w:rPr>
          <w:color w:val="231F20"/>
          <w:sz w:val="19"/>
        </w:rPr>
        <w:t>situation</w:t>
      </w:r>
      <w:r>
        <w:rPr>
          <w:color w:val="231F20"/>
          <w:spacing w:val="-7"/>
          <w:sz w:val="19"/>
        </w:rPr>
        <w:t> </w:t>
      </w:r>
      <w:r>
        <w:rPr>
          <w:color w:val="231F20"/>
          <w:sz w:val="19"/>
        </w:rPr>
        <w:t>they</w:t>
      </w:r>
      <w:r>
        <w:rPr>
          <w:color w:val="231F20"/>
          <w:spacing w:val="-7"/>
          <w:sz w:val="19"/>
        </w:rPr>
        <w:t> </w:t>
      </w:r>
      <w:r>
        <w:rPr>
          <w:color w:val="231F20"/>
          <w:sz w:val="19"/>
        </w:rPr>
        <w:t>would</w:t>
      </w:r>
      <w:r>
        <w:rPr>
          <w:color w:val="231F20"/>
          <w:spacing w:val="-9"/>
          <w:sz w:val="19"/>
        </w:rPr>
        <w:t> </w:t>
      </w:r>
      <w:r>
        <w:rPr>
          <w:color w:val="231F20"/>
          <w:sz w:val="19"/>
        </w:rPr>
        <w:t>have</w:t>
      </w:r>
      <w:r>
        <w:rPr>
          <w:color w:val="231F20"/>
          <w:spacing w:val="-7"/>
          <w:sz w:val="19"/>
        </w:rPr>
        <w:t> </w:t>
      </w:r>
      <w:r>
        <w:rPr>
          <w:color w:val="231F20"/>
          <w:sz w:val="19"/>
        </w:rPr>
        <w:t>been</w:t>
      </w:r>
      <w:r>
        <w:rPr>
          <w:color w:val="231F20"/>
          <w:spacing w:val="-7"/>
          <w:sz w:val="19"/>
        </w:rPr>
        <w:t> </w:t>
      </w:r>
      <w:r>
        <w:rPr>
          <w:color w:val="231F20"/>
          <w:sz w:val="19"/>
        </w:rPr>
        <w:t>in</w:t>
      </w:r>
      <w:r>
        <w:rPr>
          <w:color w:val="231F20"/>
          <w:spacing w:val="-9"/>
          <w:sz w:val="19"/>
        </w:rPr>
        <w:t> </w:t>
      </w:r>
      <w:r>
        <w:rPr>
          <w:color w:val="231F20"/>
          <w:sz w:val="19"/>
        </w:rPr>
        <w:t>in</w:t>
      </w:r>
      <w:r>
        <w:rPr>
          <w:color w:val="231F20"/>
          <w:spacing w:val="-9"/>
          <w:sz w:val="19"/>
        </w:rPr>
        <w:t> </w:t>
      </w:r>
      <w:r>
        <w:rPr>
          <w:color w:val="231F20"/>
          <w:sz w:val="19"/>
        </w:rPr>
        <w:t>the</w:t>
      </w:r>
      <w:r>
        <w:rPr>
          <w:color w:val="231F20"/>
          <w:spacing w:val="-8"/>
          <w:sz w:val="19"/>
        </w:rPr>
        <w:t> </w:t>
      </w:r>
      <w:r>
        <w:rPr>
          <w:color w:val="231F20"/>
          <w:sz w:val="19"/>
        </w:rPr>
        <w:t>absence</w:t>
      </w:r>
      <w:r>
        <w:rPr>
          <w:color w:val="231F20"/>
          <w:spacing w:val="-7"/>
          <w:sz w:val="19"/>
        </w:rPr>
        <w:t> </w:t>
      </w:r>
      <w:r>
        <w:rPr>
          <w:color w:val="231F20"/>
          <w:sz w:val="19"/>
        </w:rPr>
        <w:t>of</w:t>
      </w:r>
      <w:r>
        <w:rPr>
          <w:color w:val="231F20"/>
          <w:spacing w:val="-6"/>
          <w:sz w:val="19"/>
        </w:rPr>
        <w:t> </w:t>
      </w:r>
      <w:r>
        <w:rPr>
          <w:color w:val="231F20"/>
          <w:sz w:val="19"/>
        </w:rPr>
        <w:t>the unfair</w:t>
      </w:r>
      <w:r>
        <w:rPr>
          <w:color w:val="231F20"/>
          <w:spacing w:val="-2"/>
          <w:sz w:val="19"/>
        </w:rPr>
        <w:t> </w:t>
      </w:r>
      <w:r>
        <w:rPr>
          <w:color w:val="231F20"/>
          <w:sz w:val="19"/>
        </w:rPr>
        <w:t>term.</w:t>
      </w:r>
      <w:r>
        <w:rPr>
          <w:color w:val="231F20"/>
          <w:spacing w:val="-1"/>
          <w:sz w:val="19"/>
        </w:rPr>
        <w:t> </w:t>
      </w:r>
      <w:r>
        <w:rPr>
          <w:color w:val="231F20"/>
          <w:sz w:val="19"/>
        </w:rPr>
        <w:t>It</w:t>
      </w:r>
      <w:r>
        <w:rPr>
          <w:color w:val="231F20"/>
          <w:spacing w:val="-1"/>
          <w:sz w:val="19"/>
        </w:rPr>
        <w:t> </w:t>
      </w:r>
      <w:r>
        <w:rPr>
          <w:color w:val="231F20"/>
          <w:sz w:val="19"/>
        </w:rPr>
        <w:t>did</w:t>
      </w:r>
      <w:r>
        <w:rPr>
          <w:color w:val="231F20"/>
          <w:spacing w:val="-1"/>
          <w:sz w:val="19"/>
        </w:rPr>
        <w:t> </w:t>
      </w:r>
      <w:r>
        <w:rPr>
          <w:color w:val="231F20"/>
          <w:sz w:val="19"/>
        </w:rPr>
        <w:t>so</w:t>
      </w:r>
      <w:r>
        <w:rPr>
          <w:color w:val="231F20"/>
          <w:spacing w:val="-2"/>
          <w:sz w:val="19"/>
        </w:rPr>
        <w:t> </w:t>
      </w:r>
      <w:r>
        <w:rPr>
          <w:color w:val="231F20"/>
          <w:sz w:val="19"/>
        </w:rPr>
        <w:t>in</w:t>
      </w:r>
      <w:r>
        <w:rPr>
          <w:color w:val="231F20"/>
          <w:spacing w:val="-2"/>
          <w:sz w:val="19"/>
        </w:rPr>
        <w:t> </w:t>
      </w:r>
      <w:r>
        <w:rPr>
          <w:color w:val="231F20"/>
          <w:sz w:val="19"/>
        </w:rPr>
        <w:t>the</w:t>
      </w:r>
      <w:r>
        <w:rPr>
          <w:color w:val="231F20"/>
          <w:spacing w:val="-2"/>
          <w:sz w:val="19"/>
        </w:rPr>
        <w:t> </w:t>
      </w:r>
      <w:r>
        <w:rPr>
          <w:color w:val="231F20"/>
          <w:sz w:val="19"/>
        </w:rPr>
        <w:t>context</w:t>
      </w:r>
      <w:r>
        <w:rPr>
          <w:color w:val="231F20"/>
          <w:spacing w:val="-1"/>
          <w:sz w:val="19"/>
        </w:rPr>
        <w:t> </w:t>
      </w:r>
      <w:r>
        <w:rPr>
          <w:color w:val="231F20"/>
          <w:sz w:val="19"/>
        </w:rPr>
        <w:t>of</w:t>
      </w:r>
      <w:r>
        <w:rPr>
          <w:color w:val="231F20"/>
          <w:spacing w:val="-2"/>
          <w:sz w:val="19"/>
        </w:rPr>
        <w:t> </w:t>
      </w:r>
      <w:r>
        <w:rPr>
          <w:color w:val="231F20"/>
          <w:sz w:val="19"/>
        </w:rPr>
        <w:t>contracts</w:t>
      </w:r>
      <w:r>
        <w:rPr>
          <w:color w:val="231F20"/>
          <w:spacing w:val="-1"/>
          <w:sz w:val="19"/>
        </w:rPr>
        <w:t> </w:t>
      </w:r>
      <w:r>
        <w:rPr>
          <w:color w:val="231F20"/>
          <w:sz w:val="19"/>
        </w:rPr>
        <w:t>that</w:t>
      </w:r>
      <w:r>
        <w:rPr>
          <w:color w:val="231F20"/>
          <w:spacing w:val="-1"/>
          <w:sz w:val="19"/>
        </w:rPr>
        <w:t> </w:t>
      </w:r>
      <w:r>
        <w:rPr>
          <w:color w:val="231F20"/>
          <w:sz w:val="19"/>
        </w:rPr>
        <w:t>cannot</w:t>
      </w:r>
      <w:r>
        <w:rPr>
          <w:color w:val="231F20"/>
          <w:spacing w:val="-3"/>
          <w:sz w:val="19"/>
        </w:rPr>
        <w:t> </w:t>
      </w:r>
      <w:r>
        <w:rPr>
          <w:color w:val="231F20"/>
          <w:sz w:val="19"/>
        </w:rPr>
        <w:t>continue</w:t>
      </w:r>
      <w:r>
        <w:rPr>
          <w:color w:val="231F20"/>
          <w:spacing w:val="-3"/>
          <w:sz w:val="19"/>
        </w:rPr>
        <w:t> </w:t>
      </w:r>
      <w:r>
        <w:rPr>
          <w:color w:val="231F20"/>
          <w:sz w:val="19"/>
        </w:rPr>
        <w:t>in</w:t>
      </w:r>
      <w:r>
        <w:rPr>
          <w:color w:val="231F20"/>
          <w:spacing w:val="-1"/>
          <w:sz w:val="19"/>
        </w:rPr>
        <w:t> </w:t>
      </w:r>
      <w:r>
        <w:rPr>
          <w:color w:val="231F20"/>
          <w:sz w:val="19"/>
        </w:rPr>
        <w:t>existence </w:t>
      </w:r>
      <w:r>
        <w:rPr>
          <w:color w:val="231F20"/>
          <w:spacing w:val="-2"/>
          <w:sz w:val="19"/>
        </w:rPr>
        <w:t>without</w:t>
      </w:r>
      <w:r>
        <w:rPr>
          <w:color w:val="231F20"/>
          <w:spacing w:val="-10"/>
          <w:sz w:val="19"/>
        </w:rPr>
        <w:t> </w:t>
      </w:r>
      <w:r>
        <w:rPr>
          <w:color w:val="231F20"/>
          <w:spacing w:val="-2"/>
          <w:sz w:val="19"/>
        </w:rPr>
        <w:t>the</w:t>
      </w:r>
      <w:r>
        <w:rPr>
          <w:color w:val="231F20"/>
          <w:spacing w:val="-9"/>
          <w:sz w:val="19"/>
        </w:rPr>
        <w:t> </w:t>
      </w:r>
      <w:r>
        <w:rPr>
          <w:color w:val="231F20"/>
          <w:spacing w:val="-2"/>
          <w:sz w:val="19"/>
        </w:rPr>
        <w:t>unfair</w:t>
      </w:r>
      <w:r>
        <w:rPr>
          <w:color w:val="231F20"/>
          <w:spacing w:val="-10"/>
          <w:sz w:val="19"/>
        </w:rPr>
        <w:t> </w:t>
      </w:r>
      <w:r>
        <w:rPr>
          <w:color w:val="231F20"/>
          <w:spacing w:val="-2"/>
          <w:sz w:val="19"/>
        </w:rPr>
        <w:t>term,</w:t>
      </w:r>
      <w:r>
        <w:rPr>
          <w:color w:val="231F20"/>
          <w:spacing w:val="-9"/>
          <w:sz w:val="19"/>
        </w:rPr>
        <w:t> </w:t>
      </w:r>
      <w:r>
        <w:rPr>
          <w:color w:val="231F20"/>
          <w:spacing w:val="-2"/>
          <w:sz w:val="19"/>
        </w:rPr>
        <w:t>and</w:t>
      </w:r>
      <w:r>
        <w:rPr>
          <w:color w:val="231F20"/>
          <w:spacing w:val="-10"/>
          <w:sz w:val="19"/>
        </w:rPr>
        <w:t> </w:t>
      </w:r>
      <w:r>
        <w:rPr>
          <w:color w:val="231F20"/>
          <w:spacing w:val="-2"/>
          <w:sz w:val="19"/>
        </w:rPr>
        <w:t>where</w:t>
      </w:r>
      <w:r>
        <w:rPr>
          <w:color w:val="231F20"/>
          <w:spacing w:val="-9"/>
          <w:sz w:val="19"/>
        </w:rPr>
        <w:t> </w:t>
      </w:r>
      <w:r>
        <w:rPr>
          <w:color w:val="231F20"/>
          <w:spacing w:val="-2"/>
          <w:sz w:val="19"/>
        </w:rPr>
        <w:t>there</w:t>
      </w:r>
      <w:r>
        <w:rPr>
          <w:color w:val="231F20"/>
          <w:spacing w:val="-10"/>
          <w:sz w:val="19"/>
        </w:rPr>
        <w:t> </w:t>
      </w:r>
      <w:r>
        <w:rPr>
          <w:color w:val="231F20"/>
          <w:spacing w:val="-2"/>
          <w:sz w:val="19"/>
        </w:rPr>
        <w:t>is</w:t>
      </w:r>
      <w:r>
        <w:rPr>
          <w:color w:val="231F20"/>
          <w:spacing w:val="-9"/>
          <w:sz w:val="19"/>
        </w:rPr>
        <w:t> </w:t>
      </w:r>
      <w:r>
        <w:rPr>
          <w:color w:val="231F20"/>
          <w:spacing w:val="-2"/>
          <w:sz w:val="19"/>
        </w:rPr>
        <w:t>no</w:t>
      </w:r>
      <w:r>
        <w:rPr>
          <w:color w:val="231F20"/>
          <w:spacing w:val="-10"/>
          <w:sz w:val="19"/>
        </w:rPr>
        <w:t> </w:t>
      </w:r>
      <w:r>
        <w:rPr>
          <w:color w:val="231F20"/>
          <w:spacing w:val="-2"/>
          <w:sz w:val="19"/>
        </w:rPr>
        <w:t>supplementary</w:t>
      </w:r>
      <w:r>
        <w:rPr>
          <w:color w:val="231F20"/>
          <w:spacing w:val="-9"/>
          <w:sz w:val="19"/>
        </w:rPr>
        <w:t> </w:t>
      </w:r>
      <w:r>
        <w:rPr>
          <w:color w:val="231F20"/>
          <w:spacing w:val="-2"/>
          <w:sz w:val="19"/>
        </w:rPr>
        <w:t>law</w:t>
      </w:r>
      <w:r>
        <w:rPr>
          <w:color w:val="231F20"/>
          <w:spacing w:val="-10"/>
          <w:sz w:val="19"/>
        </w:rPr>
        <w:t> </w:t>
      </w:r>
      <w:r>
        <w:rPr>
          <w:color w:val="231F20"/>
          <w:spacing w:val="-2"/>
          <w:sz w:val="19"/>
        </w:rPr>
        <w:t>to</w:t>
      </w:r>
      <w:r>
        <w:rPr>
          <w:color w:val="231F20"/>
          <w:spacing w:val="-9"/>
          <w:sz w:val="19"/>
        </w:rPr>
        <w:t> </w:t>
      </w:r>
      <w:r>
        <w:rPr>
          <w:color w:val="231F20"/>
          <w:spacing w:val="-2"/>
          <w:sz w:val="19"/>
        </w:rPr>
        <w:t>integrate</w:t>
      </w:r>
      <w:r>
        <w:rPr>
          <w:color w:val="231F20"/>
          <w:spacing w:val="-9"/>
          <w:sz w:val="19"/>
        </w:rPr>
        <w:t> </w:t>
      </w:r>
      <w:r>
        <w:rPr>
          <w:color w:val="231F20"/>
          <w:spacing w:val="-2"/>
          <w:sz w:val="19"/>
        </w:rPr>
        <w:t>them. </w:t>
      </w:r>
      <w:r>
        <w:rPr>
          <w:color w:val="231F20"/>
          <w:sz w:val="19"/>
        </w:rPr>
        <w:t>Against that backdrop, in Cases C-472/20, </w:t>
      </w:r>
      <w:r>
        <w:rPr>
          <w:i/>
          <w:color w:val="231F20"/>
          <w:sz w:val="19"/>
        </w:rPr>
        <w:t>Lombard</w:t>
      </w:r>
      <w:r>
        <w:rPr>
          <w:color w:val="231F20"/>
          <w:sz w:val="19"/>
        </w:rPr>
        <w:t>,</w:t>
      </w:r>
      <w:r>
        <w:rPr>
          <w:color w:val="231F20"/>
          <w:sz w:val="19"/>
          <w:vertAlign w:val="superscript"/>
        </w:rPr>
        <w:t>211</w:t>
      </w:r>
      <w:r>
        <w:rPr>
          <w:color w:val="231F20"/>
          <w:sz w:val="19"/>
          <w:vertAlign w:val="baseline"/>
        </w:rPr>
        <w:t> and C-705/21, </w:t>
      </w:r>
      <w:r>
        <w:rPr>
          <w:i/>
          <w:color w:val="231F20"/>
          <w:sz w:val="19"/>
          <w:vertAlign w:val="baseline"/>
        </w:rPr>
        <w:t>AxFina</w:t>
      </w:r>
      <w:r>
        <w:rPr>
          <w:color w:val="231F20"/>
          <w:sz w:val="19"/>
          <w:vertAlign w:val="baseline"/>
        </w:rPr>
        <w:t>,</w:t>
      </w:r>
      <w:r>
        <w:rPr>
          <w:color w:val="231F20"/>
          <w:sz w:val="19"/>
          <w:vertAlign w:val="superscript"/>
        </w:rPr>
        <w:t>212</w:t>
      </w:r>
      <w:r>
        <w:rPr>
          <w:color w:val="231F20"/>
          <w:sz w:val="19"/>
          <w:vertAlign w:val="baseline"/>
        </w:rPr>
        <w:t> the Court decided that the consumer could instead be compensated under unjust </w:t>
      </w:r>
      <w:r>
        <w:rPr>
          <w:color w:val="231F20"/>
          <w:spacing w:val="-2"/>
          <w:sz w:val="19"/>
          <w:vertAlign w:val="baseline"/>
        </w:rPr>
        <w:t>enrichment.</w:t>
      </w:r>
    </w:p>
    <w:p>
      <w:pPr>
        <w:pStyle w:val="ListParagraph"/>
        <w:numPr>
          <w:ilvl w:val="0"/>
          <w:numId w:val="4"/>
        </w:numPr>
        <w:tabs>
          <w:tab w:pos="1428" w:val="left" w:leader="none"/>
        </w:tabs>
        <w:spacing w:line="288" w:lineRule="auto" w:before="119" w:after="0"/>
        <w:ind w:left="871" w:right="866" w:firstLine="0"/>
        <w:jc w:val="both"/>
        <w:rPr>
          <w:sz w:val="19"/>
        </w:rPr>
      </w:pPr>
      <w:r>
        <w:rPr>
          <w:color w:val="231F20"/>
          <w:spacing w:val="-2"/>
          <w:sz w:val="19"/>
        </w:rPr>
        <w:t>It</w:t>
      </w:r>
      <w:r>
        <w:rPr>
          <w:color w:val="231F20"/>
          <w:spacing w:val="-8"/>
          <w:sz w:val="19"/>
        </w:rPr>
        <w:t> </w:t>
      </w:r>
      <w:r>
        <w:rPr>
          <w:color w:val="231F20"/>
          <w:spacing w:val="-2"/>
          <w:sz w:val="19"/>
        </w:rPr>
        <w:t>is</w:t>
      </w:r>
      <w:r>
        <w:rPr>
          <w:color w:val="231F20"/>
          <w:spacing w:val="-9"/>
          <w:sz w:val="19"/>
        </w:rPr>
        <w:t> </w:t>
      </w:r>
      <w:r>
        <w:rPr>
          <w:color w:val="231F20"/>
          <w:spacing w:val="-2"/>
          <w:sz w:val="19"/>
        </w:rPr>
        <w:t>too</w:t>
      </w:r>
      <w:r>
        <w:rPr>
          <w:color w:val="231F20"/>
          <w:spacing w:val="-9"/>
          <w:sz w:val="19"/>
        </w:rPr>
        <w:t> </w:t>
      </w:r>
      <w:r>
        <w:rPr>
          <w:color w:val="231F20"/>
          <w:spacing w:val="-2"/>
          <w:sz w:val="19"/>
        </w:rPr>
        <w:t>early</w:t>
      </w:r>
      <w:r>
        <w:rPr>
          <w:color w:val="231F20"/>
          <w:spacing w:val="-8"/>
          <w:sz w:val="19"/>
        </w:rPr>
        <w:t> </w:t>
      </w:r>
      <w:r>
        <w:rPr>
          <w:color w:val="231F20"/>
          <w:spacing w:val="-2"/>
          <w:sz w:val="19"/>
        </w:rPr>
        <w:t>to</w:t>
      </w:r>
      <w:r>
        <w:rPr>
          <w:color w:val="231F20"/>
          <w:spacing w:val="-9"/>
          <w:sz w:val="19"/>
        </w:rPr>
        <w:t> </w:t>
      </w:r>
      <w:r>
        <w:rPr>
          <w:color w:val="231F20"/>
          <w:spacing w:val="-2"/>
          <w:sz w:val="19"/>
        </w:rPr>
        <w:t>determine</w:t>
      </w:r>
      <w:r>
        <w:rPr>
          <w:color w:val="231F20"/>
          <w:spacing w:val="-8"/>
          <w:sz w:val="19"/>
        </w:rPr>
        <w:t> </w:t>
      </w:r>
      <w:r>
        <w:rPr>
          <w:color w:val="231F20"/>
          <w:spacing w:val="-2"/>
          <w:sz w:val="19"/>
        </w:rPr>
        <w:t>whether</w:t>
      </w:r>
      <w:r>
        <w:rPr>
          <w:color w:val="231F20"/>
          <w:spacing w:val="-8"/>
          <w:sz w:val="19"/>
        </w:rPr>
        <w:t> </w:t>
      </w:r>
      <w:r>
        <w:rPr>
          <w:color w:val="231F20"/>
          <w:spacing w:val="-2"/>
          <w:sz w:val="19"/>
        </w:rPr>
        <w:t>the</w:t>
      </w:r>
      <w:r>
        <w:rPr>
          <w:color w:val="231F20"/>
          <w:spacing w:val="-9"/>
          <w:sz w:val="19"/>
        </w:rPr>
        <w:t> </w:t>
      </w:r>
      <w:r>
        <w:rPr>
          <w:color w:val="231F20"/>
          <w:spacing w:val="-2"/>
          <w:sz w:val="19"/>
        </w:rPr>
        <w:t>ECJ</w:t>
      </w:r>
      <w:r>
        <w:rPr>
          <w:color w:val="231F20"/>
          <w:spacing w:val="-9"/>
          <w:sz w:val="19"/>
        </w:rPr>
        <w:t> </w:t>
      </w:r>
      <w:r>
        <w:rPr>
          <w:color w:val="231F20"/>
          <w:spacing w:val="-2"/>
          <w:sz w:val="19"/>
        </w:rPr>
        <w:t>is</w:t>
      </w:r>
      <w:r>
        <w:rPr>
          <w:color w:val="231F20"/>
          <w:spacing w:val="-8"/>
          <w:sz w:val="19"/>
        </w:rPr>
        <w:t> </w:t>
      </w:r>
      <w:r>
        <w:rPr>
          <w:color w:val="231F20"/>
          <w:spacing w:val="-2"/>
          <w:sz w:val="19"/>
        </w:rPr>
        <w:t>effectively</w:t>
      </w:r>
      <w:r>
        <w:rPr>
          <w:color w:val="231F20"/>
          <w:spacing w:val="-9"/>
          <w:sz w:val="19"/>
        </w:rPr>
        <w:t> </w:t>
      </w:r>
      <w:r>
        <w:rPr>
          <w:color w:val="231F20"/>
          <w:spacing w:val="-2"/>
          <w:sz w:val="19"/>
        </w:rPr>
        <w:t>de-harmonizing</w:t>
      </w:r>
      <w:r>
        <w:rPr>
          <w:color w:val="231F20"/>
          <w:spacing w:val="-9"/>
          <w:sz w:val="19"/>
        </w:rPr>
        <w:t> </w:t>
      </w:r>
      <w:r>
        <w:rPr>
          <w:color w:val="231F20"/>
          <w:spacing w:val="-2"/>
          <w:sz w:val="19"/>
        </w:rPr>
        <w:t>the </w:t>
      </w:r>
      <w:r>
        <w:rPr>
          <w:color w:val="231F20"/>
          <w:sz w:val="19"/>
        </w:rPr>
        <w:t>system of protection under Article 6(1) UCTD. The rulings in </w:t>
      </w:r>
      <w:r>
        <w:rPr>
          <w:i/>
          <w:color w:val="231F20"/>
          <w:sz w:val="19"/>
        </w:rPr>
        <w:t>Banca B.</w:t>
      </w:r>
      <w:r>
        <w:rPr>
          <w:color w:val="231F20"/>
          <w:sz w:val="19"/>
        </w:rPr>
        <w:t>, </w:t>
      </w:r>
      <w:r>
        <w:rPr>
          <w:i/>
          <w:color w:val="231F20"/>
          <w:sz w:val="19"/>
        </w:rPr>
        <w:t>Bank</w:t>
      </w:r>
      <w:r>
        <w:rPr>
          <w:i/>
          <w:color w:val="231F20"/>
          <w:sz w:val="19"/>
        </w:rPr>
        <w:t> BPH</w:t>
      </w:r>
      <w:r>
        <w:rPr>
          <w:color w:val="231F20"/>
          <w:sz w:val="19"/>
        </w:rPr>
        <w:t>,</w:t>
      </w:r>
      <w:r>
        <w:rPr>
          <w:color w:val="231F20"/>
          <w:spacing w:val="-5"/>
          <w:sz w:val="19"/>
        </w:rPr>
        <w:t> </w:t>
      </w:r>
      <w:r>
        <w:rPr>
          <w:i/>
          <w:color w:val="231F20"/>
          <w:sz w:val="19"/>
        </w:rPr>
        <w:t>Lombard</w:t>
      </w:r>
      <w:r>
        <w:rPr>
          <w:color w:val="231F20"/>
          <w:sz w:val="19"/>
        </w:rPr>
        <w:t>,</w:t>
      </w:r>
      <w:r>
        <w:rPr>
          <w:color w:val="231F20"/>
          <w:spacing w:val="-5"/>
          <w:sz w:val="19"/>
        </w:rPr>
        <w:t> </w:t>
      </w:r>
      <w:r>
        <w:rPr>
          <w:color w:val="231F20"/>
          <w:sz w:val="19"/>
        </w:rPr>
        <w:t>and</w:t>
      </w:r>
      <w:r>
        <w:rPr>
          <w:color w:val="231F20"/>
          <w:spacing w:val="-5"/>
          <w:sz w:val="19"/>
        </w:rPr>
        <w:t> </w:t>
      </w:r>
      <w:r>
        <w:rPr>
          <w:i/>
          <w:color w:val="231F20"/>
          <w:sz w:val="19"/>
        </w:rPr>
        <w:t>AxFina</w:t>
      </w:r>
      <w:r>
        <w:rPr>
          <w:i/>
          <w:color w:val="231F20"/>
          <w:spacing w:val="-6"/>
          <w:sz w:val="19"/>
        </w:rPr>
        <w:t> </w:t>
      </w:r>
      <w:r>
        <w:rPr>
          <w:color w:val="231F20"/>
          <w:sz w:val="19"/>
        </w:rPr>
        <w:t>could</w:t>
      </w:r>
      <w:r>
        <w:rPr>
          <w:color w:val="231F20"/>
          <w:spacing w:val="-5"/>
          <w:sz w:val="19"/>
        </w:rPr>
        <w:t> </w:t>
      </w:r>
      <w:r>
        <w:rPr>
          <w:color w:val="231F20"/>
          <w:sz w:val="19"/>
        </w:rPr>
        <w:t>be</w:t>
      </w:r>
      <w:r>
        <w:rPr>
          <w:color w:val="231F20"/>
          <w:spacing w:val="-6"/>
          <w:sz w:val="19"/>
        </w:rPr>
        <w:t> </w:t>
      </w:r>
      <w:r>
        <w:rPr>
          <w:color w:val="231F20"/>
          <w:sz w:val="19"/>
        </w:rPr>
        <w:t>isolated</w:t>
      </w:r>
      <w:r>
        <w:rPr>
          <w:color w:val="231F20"/>
          <w:spacing w:val="-4"/>
          <w:sz w:val="19"/>
        </w:rPr>
        <w:t> </w:t>
      </w:r>
      <w:r>
        <w:rPr>
          <w:color w:val="231F20"/>
          <w:sz w:val="19"/>
        </w:rPr>
        <w:t>judgments</w:t>
      </w:r>
      <w:r>
        <w:rPr>
          <w:color w:val="231F20"/>
          <w:spacing w:val="-5"/>
          <w:sz w:val="19"/>
        </w:rPr>
        <w:t> </w:t>
      </w:r>
      <w:r>
        <w:rPr>
          <w:color w:val="231F20"/>
          <w:sz w:val="19"/>
        </w:rPr>
        <w:t>that</w:t>
      </w:r>
      <w:r>
        <w:rPr>
          <w:color w:val="231F20"/>
          <w:spacing w:val="-4"/>
          <w:sz w:val="19"/>
        </w:rPr>
        <w:t> </w:t>
      </w:r>
      <w:r>
        <w:rPr>
          <w:color w:val="231F20"/>
          <w:sz w:val="19"/>
        </w:rPr>
        <w:t>were</w:t>
      </w:r>
      <w:r>
        <w:rPr>
          <w:color w:val="231F20"/>
          <w:spacing w:val="-6"/>
          <w:sz w:val="19"/>
        </w:rPr>
        <w:t> </w:t>
      </w:r>
      <w:r>
        <w:rPr>
          <w:color w:val="231F20"/>
          <w:sz w:val="19"/>
        </w:rPr>
        <w:t>marked</w:t>
      </w:r>
      <w:r>
        <w:rPr>
          <w:color w:val="231F20"/>
          <w:spacing w:val="-6"/>
          <w:sz w:val="19"/>
        </w:rPr>
        <w:t> </w:t>
      </w:r>
      <w:r>
        <w:rPr>
          <w:color w:val="231F20"/>
          <w:sz w:val="19"/>
        </w:rPr>
        <w:t>by</w:t>
      </w:r>
      <w:r>
        <w:rPr>
          <w:color w:val="231F20"/>
          <w:spacing w:val="-5"/>
          <w:sz w:val="19"/>
        </w:rPr>
        <w:t> </w:t>
      </w:r>
      <w:r>
        <w:rPr>
          <w:color w:val="231F20"/>
          <w:sz w:val="19"/>
        </w:rPr>
        <w:t>the </w:t>
      </w:r>
      <w:r>
        <w:rPr>
          <w:color w:val="231F20"/>
          <w:spacing w:val="-2"/>
          <w:sz w:val="19"/>
        </w:rPr>
        <w:t>interaction</w:t>
      </w:r>
      <w:r>
        <w:rPr>
          <w:color w:val="231F20"/>
          <w:spacing w:val="-5"/>
          <w:sz w:val="19"/>
        </w:rPr>
        <w:t> </w:t>
      </w:r>
      <w:r>
        <w:rPr>
          <w:color w:val="231F20"/>
          <w:spacing w:val="-2"/>
          <w:sz w:val="19"/>
        </w:rPr>
        <w:t>with</w:t>
      </w:r>
      <w:r>
        <w:rPr>
          <w:color w:val="231F20"/>
          <w:spacing w:val="-5"/>
          <w:sz w:val="19"/>
        </w:rPr>
        <w:t> </w:t>
      </w:r>
      <w:r>
        <w:rPr>
          <w:color w:val="231F20"/>
          <w:spacing w:val="-2"/>
          <w:sz w:val="19"/>
        </w:rPr>
        <w:t>specific</w:t>
      </w:r>
      <w:r>
        <w:rPr>
          <w:color w:val="231F20"/>
          <w:spacing w:val="-6"/>
          <w:sz w:val="19"/>
        </w:rPr>
        <w:t> </w:t>
      </w:r>
      <w:r>
        <w:rPr>
          <w:color w:val="231F20"/>
          <w:spacing w:val="-2"/>
          <w:sz w:val="19"/>
        </w:rPr>
        <w:t>solutions</w:t>
      </w:r>
      <w:r>
        <w:rPr>
          <w:color w:val="231F20"/>
          <w:spacing w:val="-5"/>
          <w:sz w:val="19"/>
        </w:rPr>
        <w:t> </w:t>
      </w:r>
      <w:r>
        <w:rPr>
          <w:color w:val="231F20"/>
          <w:spacing w:val="-2"/>
          <w:sz w:val="19"/>
        </w:rPr>
        <w:t>from</w:t>
      </w:r>
      <w:r>
        <w:rPr>
          <w:color w:val="231F20"/>
          <w:spacing w:val="-5"/>
          <w:sz w:val="19"/>
        </w:rPr>
        <w:t> </w:t>
      </w:r>
      <w:r>
        <w:rPr>
          <w:color w:val="231F20"/>
          <w:spacing w:val="-2"/>
          <w:sz w:val="19"/>
        </w:rPr>
        <w:t>national</w:t>
      </w:r>
      <w:r>
        <w:rPr>
          <w:color w:val="231F20"/>
          <w:spacing w:val="-5"/>
          <w:sz w:val="19"/>
        </w:rPr>
        <w:t> </w:t>
      </w:r>
      <w:r>
        <w:rPr>
          <w:color w:val="231F20"/>
          <w:spacing w:val="-2"/>
          <w:sz w:val="19"/>
        </w:rPr>
        <w:t>law.</w:t>
      </w:r>
      <w:r>
        <w:rPr>
          <w:color w:val="231F20"/>
          <w:spacing w:val="-4"/>
          <w:sz w:val="19"/>
        </w:rPr>
        <w:t> </w:t>
      </w:r>
      <w:r>
        <w:rPr>
          <w:color w:val="231F20"/>
          <w:spacing w:val="-2"/>
          <w:sz w:val="19"/>
        </w:rPr>
        <w:t>However,</w:t>
      </w:r>
      <w:r>
        <w:rPr>
          <w:color w:val="231F20"/>
          <w:spacing w:val="-5"/>
          <w:sz w:val="19"/>
        </w:rPr>
        <w:t> </w:t>
      </w:r>
      <w:r>
        <w:rPr>
          <w:color w:val="231F20"/>
          <w:spacing w:val="-2"/>
          <w:sz w:val="19"/>
        </w:rPr>
        <w:t>they</w:t>
      </w:r>
      <w:r>
        <w:rPr>
          <w:color w:val="231F20"/>
          <w:spacing w:val="-4"/>
          <w:sz w:val="19"/>
        </w:rPr>
        <w:t> </w:t>
      </w:r>
      <w:r>
        <w:rPr>
          <w:color w:val="231F20"/>
          <w:spacing w:val="-2"/>
          <w:sz w:val="19"/>
        </w:rPr>
        <w:t>underscore</w:t>
      </w:r>
      <w:r>
        <w:rPr>
          <w:color w:val="231F20"/>
          <w:spacing w:val="-5"/>
          <w:sz w:val="19"/>
        </w:rPr>
        <w:t> </w:t>
      </w:r>
      <w:r>
        <w:rPr>
          <w:color w:val="231F20"/>
          <w:spacing w:val="-2"/>
          <w:sz w:val="19"/>
        </w:rPr>
        <w:t>the </w:t>
      </w:r>
      <w:r>
        <w:rPr>
          <w:color w:val="231F20"/>
          <w:sz w:val="19"/>
        </w:rPr>
        <w:t>need for constant scrutiny of the actual level of harmonization of the remedy for unfair terms.</w:t>
      </w:r>
    </w:p>
    <w:p>
      <w:pPr>
        <w:pStyle w:val="BodyText"/>
        <w:spacing w:before="54"/>
      </w:pPr>
    </w:p>
    <w:p>
      <w:pPr>
        <w:pStyle w:val="Heading1"/>
        <w:numPr>
          <w:ilvl w:val="0"/>
          <w:numId w:val="1"/>
        </w:numPr>
        <w:tabs>
          <w:tab w:pos="865" w:val="left" w:leader="none"/>
        </w:tabs>
        <w:spacing w:line="240" w:lineRule="auto" w:before="1" w:after="0"/>
        <w:ind w:left="865" w:right="0" w:hanging="353"/>
        <w:jc w:val="left"/>
      </w:pPr>
      <w:r>
        <w:rPr>
          <w:color w:val="231F20"/>
          <w:spacing w:val="-2"/>
          <w:w w:val="110"/>
        </w:rPr>
        <w:t>Conclusion</w:t>
      </w:r>
    </w:p>
    <w:p>
      <w:pPr>
        <w:pStyle w:val="ListParagraph"/>
        <w:numPr>
          <w:ilvl w:val="0"/>
          <w:numId w:val="4"/>
        </w:numPr>
        <w:tabs>
          <w:tab w:pos="1428" w:val="left" w:leader="none"/>
        </w:tabs>
        <w:spacing w:line="288" w:lineRule="auto" w:before="166" w:after="0"/>
        <w:ind w:left="871" w:right="868" w:firstLine="0"/>
        <w:jc w:val="both"/>
        <w:rPr>
          <w:sz w:val="19"/>
        </w:rPr>
      </w:pPr>
      <w:r>
        <w:rPr>
          <w:color w:val="231F20"/>
          <w:sz w:val="19"/>
        </w:rPr>
        <w:t>Article 6(1) UCTD provided for a rudimentary regulation of the conse- quences for unfair terms, whereby they should not be binding on the </w:t>
      </w:r>
      <w:r>
        <w:rPr>
          <w:color w:val="231F20"/>
          <w:sz w:val="19"/>
        </w:rPr>
        <w:t>consumer. </w:t>
      </w:r>
      <w:r>
        <w:rPr>
          <w:color w:val="231F20"/>
          <w:spacing w:val="-2"/>
          <w:sz w:val="19"/>
        </w:rPr>
        <w:t>The</w:t>
      </w:r>
      <w:r>
        <w:rPr>
          <w:color w:val="231F20"/>
          <w:spacing w:val="-7"/>
          <w:sz w:val="19"/>
        </w:rPr>
        <w:t> </w:t>
      </w:r>
      <w:r>
        <w:rPr>
          <w:color w:val="231F20"/>
          <w:spacing w:val="-2"/>
          <w:sz w:val="19"/>
        </w:rPr>
        <w:t>directive</w:t>
      </w:r>
      <w:r>
        <w:rPr>
          <w:color w:val="231F20"/>
          <w:spacing w:val="-9"/>
          <w:sz w:val="19"/>
        </w:rPr>
        <w:t> </w:t>
      </w:r>
      <w:r>
        <w:rPr>
          <w:color w:val="231F20"/>
          <w:spacing w:val="-2"/>
          <w:sz w:val="19"/>
        </w:rPr>
        <w:t>allowed</w:t>
      </w:r>
      <w:r>
        <w:rPr>
          <w:color w:val="231F20"/>
          <w:spacing w:val="-9"/>
          <w:sz w:val="19"/>
        </w:rPr>
        <w:t> </w:t>
      </w:r>
      <w:r>
        <w:rPr>
          <w:color w:val="231F20"/>
          <w:spacing w:val="-2"/>
          <w:sz w:val="19"/>
        </w:rPr>
        <w:t>Member</w:t>
      </w:r>
      <w:r>
        <w:rPr>
          <w:color w:val="231F20"/>
          <w:spacing w:val="-7"/>
          <w:sz w:val="19"/>
        </w:rPr>
        <w:t> </w:t>
      </w:r>
      <w:r>
        <w:rPr>
          <w:color w:val="231F20"/>
          <w:spacing w:val="-2"/>
          <w:sz w:val="19"/>
        </w:rPr>
        <w:t>States</w:t>
      </w:r>
      <w:r>
        <w:rPr>
          <w:color w:val="231F20"/>
          <w:spacing w:val="-8"/>
          <w:sz w:val="19"/>
        </w:rPr>
        <w:t> </w:t>
      </w:r>
      <w:r>
        <w:rPr>
          <w:color w:val="231F20"/>
          <w:spacing w:val="-2"/>
          <w:sz w:val="19"/>
        </w:rPr>
        <w:t>to</w:t>
      </w:r>
      <w:r>
        <w:rPr>
          <w:color w:val="231F20"/>
          <w:spacing w:val="-8"/>
          <w:sz w:val="19"/>
        </w:rPr>
        <w:t> </w:t>
      </w:r>
      <w:r>
        <w:rPr>
          <w:color w:val="231F20"/>
          <w:spacing w:val="-2"/>
          <w:sz w:val="19"/>
        </w:rPr>
        <w:t>regulate</w:t>
      </w:r>
      <w:r>
        <w:rPr>
          <w:color w:val="231F20"/>
          <w:spacing w:val="-7"/>
          <w:sz w:val="19"/>
        </w:rPr>
        <w:t> </w:t>
      </w:r>
      <w:r>
        <w:rPr>
          <w:color w:val="231F20"/>
          <w:spacing w:val="-2"/>
          <w:sz w:val="19"/>
        </w:rPr>
        <w:t>the</w:t>
      </w:r>
      <w:r>
        <w:rPr>
          <w:color w:val="231F20"/>
          <w:spacing w:val="-7"/>
          <w:sz w:val="19"/>
        </w:rPr>
        <w:t> </w:t>
      </w:r>
      <w:r>
        <w:rPr>
          <w:color w:val="231F20"/>
          <w:spacing w:val="-2"/>
          <w:sz w:val="19"/>
        </w:rPr>
        <w:t>non-harmonized</w:t>
      </w:r>
      <w:r>
        <w:rPr>
          <w:color w:val="231F20"/>
          <w:spacing w:val="-8"/>
          <w:sz w:val="19"/>
        </w:rPr>
        <w:t> </w:t>
      </w:r>
      <w:r>
        <w:rPr>
          <w:color w:val="231F20"/>
          <w:spacing w:val="-2"/>
          <w:sz w:val="19"/>
        </w:rPr>
        <w:t>aspects</w:t>
      </w:r>
      <w:r>
        <w:rPr>
          <w:color w:val="231F20"/>
          <w:spacing w:val="-7"/>
          <w:sz w:val="19"/>
        </w:rPr>
        <w:t> </w:t>
      </w:r>
      <w:r>
        <w:rPr>
          <w:color w:val="231F20"/>
          <w:spacing w:val="-2"/>
          <w:sz w:val="19"/>
        </w:rPr>
        <w:t>of</w:t>
      </w:r>
      <w:r>
        <w:rPr>
          <w:color w:val="231F20"/>
          <w:spacing w:val="-5"/>
          <w:sz w:val="19"/>
        </w:rPr>
        <w:t> </w:t>
      </w:r>
      <w:r>
        <w:rPr>
          <w:color w:val="231F20"/>
          <w:spacing w:val="-2"/>
          <w:sz w:val="19"/>
        </w:rPr>
        <w:t>the </w:t>
      </w:r>
      <w:r>
        <w:rPr>
          <w:color w:val="231F20"/>
          <w:sz w:val="19"/>
        </w:rPr>
        <w:t>remedy.</w:t>
      </w:r>
      <w:r>
        <w:rPr>
          <w:color w:val="231F20"/>
          <w:spacing w:val="-1"/>
          <w:sz w:val="19"/>
        </w:rPr>
        <w:t> </w:t>
      </w:r>
      <w:r>
        <w:rPr>
          <w:color w:val="231F20"/>
          <w:sz w:val="19"/>
        </w:rPr>
        <w:t>However,</w:t>
      </w:r>
      <w:r>
        <w:rPr>
          <w:color w:val="231F20"/>
          <w:spacing w:val="-1"/>
          <w:sz w:val="19"/>
        </w:rPr>
        <w:t> </w:t>
      </w:r>
      <w:r>
        <w:rPr>
          <w:color w:val="231F20"/>
          <w:sz w:val="19"/>
        </w:rPr>
        <w:t>the</w:t>
      </w:r>
      <w:r>
        <w:rPr>
          <w:color w:val="231F20"/>
          <w:spacing w:val="-2"/>
          <w:sz w:val="19"/>
        </w:rPr>
        <w:t> </w:t>
      </w:r>
      <w:r>
        <w:rPr>
          <w:color w:val="231F20"/>
          <w:sz w:val="19"/>
        </w:rPr>
        <w:t>ECJ</w:t>
      </w:r>
      <w:r>
        <w:rPr>
          <w:color w:val="231F20"/>
          <w:spacing w:val="-2"/>
          <w:sz w:val="19"/>
        </w:rPr>
        <w:t> </w:t>
      </w:r>
      <w:r>
        <w:rPr>
          <w:color w:val="231F20"/>
          <w:sz w:val="19"/>
        </w:rPr>
        <w:t>advanced</w:t>
      </w:r>
      <w:r>
        <w:rPr>
          <w:color w:val="231F20"/>
          <w:spacing w:val="-2"/>
          <w:sz w:val="19"/>
        </w:rPr>
        <w:t> </w:t>
      </w:r>
      <w:r>
        <w:rPr>
          <w:color w:val="231F20"/>
          <w:sz w:val="19"/>
        </w:rPr>
        <w:t>a</w:t>
      </w:r>
      <w:r>
        <w:rPr>
          <w:color w:val="231F20"/>
          <w:spacing w:val="-1"/>
          <w:sz w:val="19"/>
        </w:rPr>
        <w:t> </w:t>
      </w:r>
      <w:r>
        <w:rPr>
          <w:color w:val="231F20"/>
          <w:sz w:val="19"/>
        </w:rPr>
        <w:t>Union</w:t>
      </w:r>
      <w:r>
        <w:rPr>
          <w:color w:val="231F20"/>
          <w:spacing w:val="-1"/>
          <w:sz w:val="19"/>
        </w:rPr>
        <w:t> </w:t>
      </w:r>
      <w:r>
        <w:rPr>
          <w:color w:val="231F20"/>
          <w:sz w:val="19"/>
        </w:rPr>
        <w:t>interpretation</w:t>
      </w:r>
      <w:r>
        <w:rPr>
          <w:color w:val="231F20"/>
          <w:spacing w:val="-1"/>
          <w:sz w:val="19"/>
        </w:rPr>
        <w:t> </w:t>
      </w:r>
      <w:r>
        <w:rPr>
          <w:color w:val="231F20"/>
          <w:sz w:val="19"/>
        </w:rPr>
        <w:t>of</w:t>
      </w:r>
      <w:r>
        <w:rPr>
          <w:color w:val="231F20"/>
          <w:spacing w:val="-1"/>
          <w:sz w:val="19"/>
        </w:rPr>
        <w:t> </w:t>
      </w:r>
      <w:r>
        <w:rPr>
          <w:color w:val="231F20"/>
          <w:sz w:val="19"/>
        </w:rPr>
        <w:t>Article</w:t>
      </w:r>
      <w:r>
        <w:rPr>
          <w:color w:val="231F20"/>
          <w:spacing w:val="-2"/>
          <w:sz w:val="19"/>
        </w:rPr>
        <w:t> </w:t>
      </w:r>
      <w:r>
        <w:rPr>
          <w:color w:val="231F20"/>
          <w:sz w:val="19"/>
        </w:rPr>
        <w:t>6(1)</w:t>
      </w:r>
      <w:r>
        <w:rPr>
          <w:color w:val="231F20"/>
          <w:spacing w:val="-2"/>
          <w:sz w:val="19"/>
        </w:rPr>
        <w:t> </w:t>
      </w:r>
      <w:r>
        <w:rPr>
          <w:color w:val="231F20"/>
          <w:sz w:val="19"/>
        </w:rPr>
        <w:t>UCTD under the principles of effectiveness and equivalence, thus restricting national procedural</w:t>
      </w:r>
      <w:r>
        <w:rPr>
          <w:color w:val="231F20"/>
          <w:spacing w:val="-4"/>
          <w:sz w:val="19"/>
        </w:rPr>
        <w:t> </w:t>
      </w:r>
      <w:r>
        <w:rPr>
          <w:color w:val="231F20"/>
          <w:sz w:val="19"/>
        </w:rPr>
        <w:t>autonomy.</w:t>
      </w:r>
      <w:r>
        <w:rPr>
          <w:color w:val="231F20"/>
          <w:spacing w:val="-4"/>
          <w:sz w:val="19"/>
        </w:rPr>
        <w:t> </w:t>
      </w:r>
      <w:r>
        <w:rPr>
          <w:color w:val="231F20"/>
          <w:sz w:val="19"/>
        </w:rPr>
        <w:t>The</w:t>
      </w:r>
      <w:r>
        <w:rPr>
          <w:color w:val="231F20"/>
          <w:spacing w:val="-4"/>
          <w:sz w:val="19"/>
        </w:rPr>
        <w:t> </w:t>
      </w:r>
      <w:r>
        <w:rPr>
          <w:color w:val="231F20"/>
          <w:sz w:val="19"/>
        </w:rPr>
        <w:t>role</w:t>
      </w:r>
      <w:r>
        <w:rPr>
          <w:color w:val="231F20"/>
          <w:spacing w:val="-3"/>
          <w:sz w:val="19"/>
        </w:rPr>
        <w:t> </w:t>
      </w:r>
      <w:r>
        <w:rPr>
          <w:color w:val="231F20"/>
          <w:sz w:val="19"/>
        </w:rPr>
        <w:t>of</w:t>
      </w:r>
      <w:r>
        <w:rPr>
          <w:color w:val="231F20"/>
          <w:spacing w:val="-1"/>
          <w:sz w:val="19"/>
        </w:rPr>
        <w:t> </w:t>
      </w:r>
      <w:r>
        <w:rPr>
          <w:color w:val="231F20"/>
          <w:sz w:val="19"/>
        </w:rPr>
        <w:t>the</w:t>
      </w:r>
      <w:r>
        <w:rPr>
          <w:color w:val="231F20"/>
          <w:spacing w:val="-4"/>
          <w:sz w:val="19"/>
        </w:rPr>
        <w:t> </w:t>
      </w:r>
      <w:r>
        <w:rPr>
          <w:color w:val="231F20"/>
          <w:sz w:val="19"/>
        </w:rPr>
        <w:t>Court</w:t>
      </w:r>
      <w:r>
        <w:rPr>
          <w:color w:val="231F20"/>
          <w:spacing w:val="-3"/>
          <w:sz w:val="19"/>
        </w:rPr>
        <w:t> </w:t>
      </w:r>
      <w:r>
        <w:rPr>
          <w:color w:val="231F20"/>
          <w:sz w:val="19"/>
        </w:rPr>
        <w:t>was</w:t>
      </w:r>
      <w:r>
        <w:rPr>
          <w:color w:val="231F20"/>
          <w:spacing w:val="-4"/>
          <w:sz w:val="19"/>
        </w:rPr>
        <w:t> </w:t>
      </w:r>
      <w:r>
        <w:rPr>
          <w:color w:val="231F20"/>
          <w:sz w:val="19"/>
        </w:rPr>
        <w:t>relevant</w:t>
      </w:r>
      <w:r>
        <w:rPr>
          <w:color w:val="231F20"/>
          <w:spacing w:val="-4"/>
          <w:sz w:val="19"/>
        </w:rPr>
        <w:t> </w:t>
      </w:r>
      <w:r>
        <w:rPr>
          <w:color w:val="231F20"/>
          <w:sz w:val="19"/>
        </w:rPr>
        <w:t>in</w:t>
      </w:r>
      <w:r>
        <w:rPr>
          <w:color w:val="231F20"/>
          <w:spacing w:val="-5"/>
          <w:sz w:val="19"/>
        </w:rPr>
        <w:t> </w:t>
      </w:r>
      <w:r>
        <w:rPr>
          <w:color w:val="231F20"/>
          <w:sz w:val="19"/>
        </w:rPr>
        <w:t>addressing</w:t>
      </w:r>
      <w:r>
        <w:rPr>
          <w:color w:val="231F20"/>
          <w:spacing w:val="-3"/>
          <w:sz w:val="19"/>
        </w:rPr>
        <w:t> </w:t>
      </w:r>
      <w:r>
        <w:rPr>
          <w:color w:val="231F20"/>
          <w:sz w:val="19"/>
        </w:rPr>
        <w:t>the</w:t>
      </w:r>
      <w:r>
        <w:rPr>
          <w:color w:val="231F20"/>
          <w:spacing w:val="-4"/>
          <w:sz w:val="19"/>
        </w:rPr>
        <w:t> </w:t>
      </w:r>
      <w:r>
        <w:rPr>
          <w:color w:val="231F20"/>
          <w:sz w:val="19"/>
        </w:rPr>
        <w:t>effects of the 2007</w:t>
      </w:r>
      <w:r>
        <w:rPr>
          <w:rFonts w:ascii="Arial" w:hAnsi="Arial"/>
          <w:color w:val="231F20"/>
          <w:sz w:val="19"/>
        </w:rPr>
        <w:t>–</w:t>
      </w:r>
      <w:r>
        <w:rPr>
          <w:color w:val="231F20"/>
          <w:sz w:val="19"/>
        </w:rPr>
        <w:t>8 crisis and beyond, in particular concerning loans.</w:t>
      </w:r>
    </w:p>
    <w:p>
      <w:pPr>
        <w:pStyle w:val="ListParagraph"/>
        <w:numPr>
          <w:ilvl w:val="0"/>
          <w:numId w:val="4"/>
        </w:numPr>
        <w:tabs>
          <w:tab w:pos="1428" w:val="left" w:leader="none"/>
        </w:tabs>
        <w:spacing w:line="288" w:lineRule="auto" w:before="111" w:after="0"/>
        <w:ind w:left="871" w:right="868" w:firstLine="0"/>
        <w:jc w:val="both"/>
        <w:rPr>
          <w:sz w:val="19"/>
        </w:rPr>
      </w:pPr>
      <w:r>
        <w:rPr>
          <w:color w:val="231F20"/>
          <w:spacing w:val="-2"/>
          <w:sz w:val="19"/>
        </w:rPr>
        <w:t>The</w:t>
      </w:r>
      <w:r>
        <w:rPr>
          <w:color w:val="231F20"/>
          <w:spacing w:val="-10"/>
          <w:sz w:val="19"/>
        </w:rPr>
        <w:t> </w:t>
      </w:r>
      <w:r>
        <w:rPr>
          <w:color w:val="231F20"/>
          <w:spacing w:val="-2"/>
          <w:sz w:val="19"/>
        </w:rPr>
        <w:t>directive</w:t>
      </w:r>
      <w:r>
        <w:rPr>
          <w:color w:val="231F20"/>
          <w:spacing w:val="-9"/>
          <w:sz w:val="19"/>
        </w:rPr>
        <w:t> </w:t>
      </w:r>
      <w:r>
        <w:rPr>
          <w:color w:val="231F20"/>
          <w:spacing w:val="-2"/>
          <w:sz w:val="19"/>
        </w:rPr>
        <w:t>enshrines</w:t>
      </w:r>
      <w:r>
        <w:rPr>
          <w:color w:val="231F20"/>
          <w:spacing w:val="-7"/>
          <w:sz w:val="19"/>
        </w:rPr>
        <w:t> </w:t>
      </w:r>
      <w:r>
        <w:rPr>
          <w:color w:val="231F20"/>
          <w:spacing w:val="-2"/>
          <w:sz w:val="19"/>
        </w:rPr>
        <w:t>a</w:t>
      </w:r>
      <w:r>
        <w:rPr>
          <w:color w:val="231F20"/>
          <w:spacing w:val="-7"/>
          <w:sz w:val="19"/>
        </w:rPr>
        <w:t> </w:t>
      </w:r>
      <w:r>
        <w:rPr>
          <w:color w:val="231F20"/>
          <w:spacing w:val="-2"/>
          <w:sz w:val="19"/>
        </w:rPr>
        <w:t>remedy</w:t>
      </w:r>
      <w:r>
        <w:rPr>
          <w:color w:val="231F20"/>
          <w:spacing w:val="-7"/>
          <w:sz w:val="19"/>
        </w:rPr>
        <w:t> </w:t>
      </w:r>
      <w:r>
        <w:rPr>
          <w:color w:val="231F20"/>
          <w:spacing w:val="-2"/>
          <w:sz w:val="19"/>
        </w:rPr>
        <w:t>for</w:t>
      </w:r>
      <w:r>
        <w:rPr>
          <w:color w:val="231F20"/>
          <w:spacing w:val="-8"/>
          <w:sz w:val="19"/>
        </w:rPr>
        <w:t> </w:t>
      </w:r>
      <w:r>
        <w:rPr>
          <w:color w:val="231F20"/>
          <w:spacing w:val="-2"/>
          <w:sz w:val="19"/>
        </w:rPr>
        <w:t>unfair</w:t>
      </w:r>
      <w:r>
        <w:rPr>
          <w:color w:val="231F20"/>
          <w:spacing w:val="-8"/>
          <w:sz w:val="19"/>
        </w:rPr>
        <w:t> </w:t>
      </w:r>
      <w:r>
        <w:rPr>
          <w:color w:val="231F20"/>
          <w:spacing w:val="-2"/>
          <w:sz w:val="19"/>
        </w:rPr>
        <w:t>terms</w:t>
      </w:r>
      <w:r>
        <w:rPr>
          <w:color w:val="231F20"/>
          <w:spacing w:val="-7"/>
          <w:sz w:val="19"/>
        </w:rPr>
        <w:t> </w:t>
      </w:r>
      <w:r>
        <w:rPr>
          <w:color w:val="231F20"/>
          <w:spacing w:val="-2"/>
          <w:sz w:val="19"/>
        </w:rPr>
        <w:t>that</w:t>
      </w:r>
      <w:r>
        <w:rPr>
          <w:color w:val="231F20"/>
          <w:spacing w:val="-7"/>
          <w:sz w:val="19"/>
        </w:rPr>
        <w:t> </w:t>
      </w:r>
      <w:r>
        <w:rPr>
          <w:color w:val="231F20"/>
          <w:spacing w:val="-2"/>
          <w:sz w:val="19"/>
        </w:rPr>
        <w:t>has</w:t>
      </w:r>
      <w:r>
        <w:rPr>
          <w:color w:val="231F20"/>
          <w:spacing w:val="-7"/>
          <w:sz w:val="19"/>
        </w:rPr>
        <w:t> </w:t>
      </w:r>
      <w:r>
        <w:rPr>
          <w:color w:val="231F20"/>
          <w:spacing w:val="-2"/>
          <w:sz w:val="19"/>
        </w:rPr>
        <w:t>dual</w:t>
      </w:r>
      <w:r>
        <w:rPr>
          <w:color w:val="231F20"/>
          <w:spacing w:val="-7"/>
          <w:sz w:val="19"/>
        </w:rPr>
        <w:t> </w:t>
      </w:r>
      <w:r>
        <w:rPr>
          <w:rFonts w:ascii="Arial" w:hAnsi="Arial"/>
          <w:color w:val="231F20"/>
          <w:spacing w:val="-2"/>
          <w:sz w:val="19"/>
        </w:rPr>
        <w:t>–</w:t>
      </w:r>
      <w:r>
        <w:rPr>
          <w:rFonts w:ascii="Arial" w:hAnsi="Arial"/>
          <w:color w:val="231F20"/>
          <w:spacing w:val="-12"/>
          <w:sz w:val="19"/>
        </w:rPr>
        <w:t> </w:t>
      </w:r>
      <w:r>
        <w:rPr>
          <w:color w:val="231F20"/>
          <w:spacing w:val="-2"/>
          <w:sz w:val="19"/>
        </w:rPr>
        <w:t>private</w:t>
      </w:r>
      <w:r>
        <w:rPr>
          <w:color w:val="231F20"/>
          <w:spacing w:val="-7"/>
          <w:sz w:val="19"/>
        </w:rPr>
        <w:t> </w:t>
      </w:r>
      <w:r>
        <w:rPr>
          <w:color w:val="231F20"/>
          <w:spacing w:val="-2"/>
          <w:sz w:val="19"/>
        </w:rPr>
        <w:t>and </w:t>
      </w:r>
      <w:r>
        <w:rPr>
          <w:color w:val="231F20"/>
          <w:sz w:val="19"/>
        </w:rPr>
        <w:t>market regulation </w:t>
      </w:r>
      <w:r>
        <w:rPr>
          <w:rFonts w:ascii="Arial" w:hAnsi="Arial"/>
          <w:color w:val="231F20"/>
          <w:sz w:val="19"/>
        </w:rPr>
        <w:t>–</w:t>
      </w:r>
      <w:r>
        <w:rPr>
          <w:rFonts w:ascii="Arial" w:hAnsi="Arial"/>
          <w:color w:val="231F20"/>
          <w:spacing w:val="-4"/>
          <w:sz w:val="19"/>
        </w:rPr>
        <w:t> </w:t>
      </w:r>
      <w:r>
        <w:rPr>
          <w:color w:val="231F20"/>
          <w:sz w:val="19"/>
        </w:rPr>
        <w:t>goals. It aims to restore the balance between the contracting parties</w:t>
      </w:r>
      <w:r>
        <w:rPr>
          <w:color w:val="231F20"/>
          <w:spacing w:val="-6"/>
          <w:sz w:val="19"/>
        </w:rPr>
        <w:t> </w:t>
      </w:r>
      <w:r>
        <w:rPr>
          <w:color w:val="231F20"/>
          <w:sz w:val="19"/>
        </w:rPr>
        <w:t>and</w:t>
      </w:r>
      <w:r>
        <w:rPr>
          <w:color w:val="231F20"/>
          <w:spacing w:val="-7"/>
          <w:sz w:val="19"/>
        </w:rPr>
        <w:t> </w:t>
      </w:r>
      <w:r>
        <w:rPr>
          <w:color w:val="231F20"/>
          <w:sz w:val="19"/>
        </w:rPr>
        <w:t>it</w:t>
      </w:r>
      <w:r>
        <w:rPr>
          <w:color w:val="231F20"/>
          <w:spacing w:val="-7"/>
          <w:sz w:val="19"/>
        </w:rPr>
        <w:t> </w:t>
      </w:r>
      <w:r>
        <w:rPr>
          <w:color w:val="231F20"/>
          <w:sz w:val="19"/>
        </w:rPr>
        <w:t>seeks</w:t>
      </w:r>
      <w:r>
        <w:rPr>
          <w:color w:val="231F20"/>
          <w:spacing w:val="-6"/>
          <w:sz w:val="19"/>
        </w:rPr>
        <w:t> </w:t>
      </w:r>
      <w:r>
        <w:rPr>
          <w:color w:val="231F20"/>
          <w:sz w:val="19"/>
        </w:rPr>
        <w:t>to</w:t>
      </w:r>
      <w:r>
        <w:rPr>
          <w:color w:val="231F20"/>
          <w:spacing w:val="-7"/>
          <w:sz w:val="19"/>
        </w:rPr>
        <w:t> </w:t>
      </w:r>
      <w:r>
        <w:rPr>
          <w:color w:val="231F20"/>
          <w:sz w:val="19"/>
        </w:rPr>
        <w:t>dissuade</w:t>
      </w:r>
      <w:r>
        <w:rPr>
          <w:color w:val="231F20"/>
          <w:spacing w:val="-7"/>
          <w:sz w:val="19"/>
        </w:rPr>
        <w:t> </w:t>
      </w:r>
      <w:r>
        <w:rPr>
          <w:color w:val="231F20"/>
          <w:sz w:val="19"/>
        </w:rPr>
        <w:t>businesses</w:t>
      </w:r>
      <w:r>
        <w:rPr>
          <w:color w:val="231F20"/>
          <w:spacing w:val="-6"/>
          <w:sz w:val="19"/>
        </w:rPr>
        <w:t> </w:t>
      </w:r>
      <w:r>
        <w:rPr>
          <w:color w:val="231F20"/>
          <w:sz w:val="19"/>
        </w:rPr>
        <w:t>from</w:t>
      </w:r>
      <w:r>
        <w:rPr>
          <w:color w:val="231F20"/>
          <w:spacing w:val="-7"/>
          <w:sz w:val="19"/>
        </w:rPr>
        <w:t> </w:t>
      </w:r>
      <w:r>
        <w:rPr>
          <w:color w:val="231F20"/>
          <w:sz w:val="19"/>
        </w:rPr>
        <w:t>using</w:t>
      </w:r>
      <w:r>
        <w:rPr>
          <w:color w:val="231F20"/>
          <w:spacing w:val="-6"/>
          <w:sz w:val="19"/>
        </w:rPr>
        <w:t> </w:t>
      </w:r>
      <w:r>
        <w:rPr>
          <w:color w:val="231F20"/>
          <w:sz w:val="19"/>
        </w:rPr>
        <w:t>unfair</w:t>
      </w:r>
      <w:r>
        <w:rPr>
          <w:color w:val="231F20"/>
          <w:spacing w:val="-7"/>
          <w:sz w:val="19"/>
        </w:rPr>
        <w:t> </w:t>
      </w:r>
      <w:r>
        <w:rPr>
          <w:color w:val="231F20"/>
          <w:sz w:val="19"/>
        </w:rPr>
        <w:t>terms.</w:t>
      </w:r>
      <w:r>
        <w:rPr>
          <w:color w:val="231F20"/>
          <w:spacing w:val="-7"/>
          <w:sz w:val="19"/>
        </w:rPr>
        <w:t> </w:t>
      </w:r>
      <w:r>
        <w:rPr>
          <w:color w:val="231F20"/>
          <w:sz w:val="19"/>
        </w:rPr>
        <w:t>The</w:t>
      </w:r>
      <w:r>
        <w:rPr>
          <w:color w:val="231F20"/>
          <w:spacing w:val="-6"/>
          <w:sz w:val="19"/>
        </w:rPr>
        <w:t> </w:t>
      </w:r>
      <w:r>
        <w:rPr>
          <w:color w:val="231F20"/>
          <w:sz w:val="19"/>
        </w:rPr>
        <w:t>combina- tion</w:t>
      </w:r>
      <w:r>
        <w:rPr>
          <w:color w:val="231F20"/>
          <w:spacing w:val="-12"/>
          <w:sz w:val="19"/>
        </w:rPr>
        <w:t> </w:t>
      </w:r>
      <w:r>
        <w:rPr>
          <w:color w:val="231F20"/>
          <w:sz w:val="19"/>
        </w:rPr>
        <w:t>of</w:t>
      </w:r>
      <w:r>
        <w:rPr>
          <w:color w:val="231F20"/>
          <w:spacing w:val="-10"/>
          <w:sz w:val="19"/>
        </w:rPr>
        <w:t> </w:t>
      </w:r>
      <w:r>
        <w:rPr>
          <w:color w:val="231F20"/>
          <w:sz w:val="19"/>
        </w:rPr>
        <w:t>these</w:t>
      </w:r>
      <w:r>
        <w:rPr>
          <w:color w:val="231F20"/>
          <w:spacing w:val="-10"/>
          <w:sz w:val="19"/>
        </w:rPr>
        <w:t> </w:t>
      </w:r>
      <w:r>
        <w:rPr>
          <w:color w:val="231F20"/>
          <w:sz w:val="19"/>
        </w:rPr>
        <w:t>two</w:t>
      </w:r>
      <w:r>
        <w:rPr>
          <w:color w:val="231F20"/>
          <w:spacing w:val="-12"/>
          <w:sz w:val="19"/>
        </w:rPr>
        <w:t> </w:t>
      </w:r>
      <w:r>
        <w:rPr>
          <w:color w:val="231F20"/>
          <w:sz w:val="19"/>
        </w:rPr>
        <w:t>aims</w:t>
      </w:r>
      <w:r>
        <w:rPr>
          <w:color w:val="231F20"/>
          <w:spacing w:val="-11"/>
          <w:sz w:val="19"/>
        </w:rPr>
        <w:t> </w:t>
      </w:r>
      <w:r>
        <w:rPr>
          <w:color w:val="231F20"/>
          <w:sz w:val="19"/>
        </w:rPr>
        <w:t>in</w:t>
      </w:r>
      <w:r>
        <w:rPr>
          <w:color w:val="231F20"/>
          <w:spacing w:val="-11"/>
          <w:sz w:val="19"/>
        </w:rPr>
        <w:t> </w:t>
      </w:r>
      <w:r>
        <w:rPr>
          <w:color w:val="231F20"/>
          <w:sz w:val="19"/>
        </w:rPr>
        <w:t>a</w:t>
      </w:r>
      <w:r>
        <w:rPr>
          <w:color w:val="231F20"/>
          <w:spacing w:val="-12"/>
          <w:sz w:val="19"/>
        </w:rPr>
        <w:t> </w:t>
      </w:r>
      <w:r>
        <w:rPr>
          <w:color w:val="231F20"/>
          <w:sz w:val="19"/>
        </w:rPr>
        <w:t>private</w:t>
      </w:r>
      <w:r>
        <w:rPr>
          <w:color w:val="231F20"/>
          <w:spacing w:val="-11"/>
          <w:sz w:val="19"/>
        </w:rPr>
        <w:t> </w:t>
      </w:r>
      <w:r>
        <w:rPr>
          <w:color w:val="231F20"/>
          <w:sz w:val="19"/>
        </w:rPr>
        <w:t>law</w:t>
      </w:r>
      <w:r>
        <w:rPr>
          <w:color w:val="231F20"/>
          <w:spacing w:val="-11"/>
          <w:sz w:val="19"/>
        </w:rPr>
        <w:t> </w:t>
      </w:r>
      <w:r>
        <w:rPr>
          <w:color w:val="231F20"/>
          <w:sz w:val="19"/>
        </w:rPr>
        <w:t>remedy</w:t>
      </w:r>
      <w:r>
        <w:rPr>
          <w:color w:val="231F20"/>
          <w:spacing w:val="-12"/>
          <w:sz w:val="19"/>
        </w:rPr>
        <w:t> </w:t>
      </w:r>
      <w:r>
        <w:rPr>
          <w:color w:val="231F20"/>
          <w:sz w:val="19"/>
        </w:rPr>
        <w:t>is</w:t>
      </w:r>
      <w:r>
        <w:rPr>
          <w:color w:val="231F20"/>
          <w:spacing w:val="-11"/>
          <w:sz w:val="19"/>
        </w:rPr>
        <w:t> </w:t>
      </w:r>
      <w:r>
        <w:rPr>
          <w:color w:val="231F20"/>
          <w:sz w:val="19"/>
        </w:rPr>
        <w:t>consistent</w:t>
      </w:r>
      <w:r>
        <w:rPr>
          <w:color w:val="231F20"/>
          <w:spacing w:val="-11"/>
          <w:sz w:val="19"/>
        </w:rPr>
        <w:t> </w:t>
      </w:r>
      <w:r>
        <w:rPr>
          <w:color w:val="231F20"/>
          <w:sz w:val="19"/>
        </w:rPr>
        <w:t>with</w:t>
      </w:r>
      <w:r>
        <w:rPr>
          <w:color w:val="231F20"/>
          <w:spacing w:val="-12"/>
          <w:sz w:val="19"/>
        </w:rPr>
        <w:t> </w:t>
      </w:r>
      <w:r>
        <w:rPr>
          <w:color w:val="231F20"/>
          <w:sz w:val="19"/>
        </w:rPr>
        <w:t>EU</w:t>
      </w:r>
      <w:r>
        <w:rPr>
          <w:color w:val="231F20"/>
          <w:spacing w:val="-11"/>
          <w:sz w:val="19"/>
        </w:rPr>
        <w:t> </w:t>
      </w:r>
      <w:r>
        <w:rPr>
          <w:color w:val="231F20"/>
          <w:sz w:val="19"/>
        </w:rPr>
        <w:t>law</w:t>
      </w:r>
      <w:r>
        <w:rPr>
          <w:color w:val="231F20"/>
          <w:spacing w:val="-11"/>
          <w:sz w:val="19"/>
        </w:rPr>
        <w:t> </w:t>
      </w:r>
      <w:r>
        <w:rPr>
          <w:color w:val="231F20"/>
          <w:sz w:val="19"/>
        </w:rPr>
        <w:t>but</w:t>
      </w:r>
      <w:r>
        <w:rPr>
          <w:color w:val="231F20"/>
          <w:spacing w:val="-12"/>
          <w:sz w:val="19"/>
        </w:rPr>
        <w:t> </w:t>
      </w:r>
      <w:r>
        <w:rPr>
          <w:color w:val="231F20"/>
          <w:sz w:val="19"/>
        </w:rPr>
        <w:t>is</w:t>
      </w:r>
      <w:r>
        <w:rPr>
          <w:color w:val="231F20"/>
          <w:spacing w:val="-10"/>
          <w:sz w:val="19"/>
        </w:rPr>
        <w:t> </w:t>
      </w:r>
      <w:r>
        <w:rPr>
          <w:color w:val="231F20"/>
          <w:sz w:val="19"/>
        </w:rPr>
        <w:t>alien to</w:t>
      </w:r>
      <w:r>
        <w:rPr>
          <w:color w:val="231F20"/>
          <w:spacing w:val="-4"/>
          <w:sz w:val="19"/>
        </w:rPr>
        <w:t> </w:t>
      </w:r>
      <w:r>
        <w:rPr>
          <w:color w:val="231F20"/>
          <w:sz w:val="19"/>
        </w:rPr>
        <w:t>traditional</w:t>
      </w:r>
      <w:r>
        <w:rPr>
          <w:color w:val="231F20"/>
          <w:spacing w:val="-4"/>
          <w:sz w:val="19"/>
        </w:rPr>
        <w:t> </w:t>
      </w:r>
      <w:r>
        <w:rPr>
          <w:color w:val="231F20"/>
          <w:sz w:val="19"/>
        </w:rPr>
        <w:t>national</w:t>
      </w:r>
      <w:r>
        <w:rPr>
          <w:color w:val="231F20"/>
          <w:spacing w:val="-3"/>
          <w:sz w:val="19"/>
        </w:rPr>
        <w:t> </w:t>
      </w:r>
      <w:r>
        <w:rPr>
          <w:color w:val="231F20"/>
          <w:sz w:val="19"/>
        </w:rPr>
        <w:t>contract</w:t>
      </w:r>
      <w:r>
        <w:rPr>
          <w:color w:val="231F20"/>
          <w:spacing w:val="-4"/>
          <w:sz w:val="19"/>
        </w:rPr>
        <w:t> </w:t>
      </w:r>
      <w:r>
        <w:rPr>
          <w:color w:val="231F20"/>
          <w:sz w:val="19"/>
        </w:rPr>
        <w:t>law.</w:t>
      </w:r>
      <w:r>
        <w:rPr>
          <w:color w:val="231F20"/>
          <w:spacing w:val="-4"/>
          <w:sz w:val="19"/>
        </w:rPr>
        <w:t> </w:t>
      </w:r>
      <w:r>
        <w:rPr>
          <w:color w:val="231F20"/>
          <w:sz w:val="19"/>
        </w:rPr>
        <w:t>Moreover,</w:t>
      </w:r>
      <w:r>
        <w:rPr>
          <w:color w:val="231F20"/>
          <w:spacing w:val="-3"/>
          <w:sz w:val="19"/>
        </w:rPr>
        <w:t> </w:t>
      </w:r>
      <w:r>
        <w:rPr>
          <w:color w:val="231F20"/>
          <w:sz w:val="19"/>
        </w:rPr>
        <w:t>the</w:t>
      </w:r>
      <w:r>
        <w:rPr>
          <w:color w:val="231F20"/>
          <w:spacing w:val="-4"/>
          <w:sz w:val="19"/>
        </w:rPr>
        <w:t> </w:t>
      </w:r>
      <w:r>
        <w:rPr>
          <w:color w:val="231F20"/>
          <w:sz w:val="19"/>
        </w:rPr>
        <w:t>system</w:t>
      </w:r>
      <w:r>
        <w:rPr>
          <w:color w:val="231F20"/>
          <w:spacing w:val="-4"/>
          <w:sz w:val="19"/>
        </w:rPr>
        <w:t> </w:t>
      </w:r>
      <w:r>
        <w:rPr>
          <w:color w:val="231F20"/>
          <w:sz w:val="19"/>
        </w:rPr>
        <w:t>of</w:t>
      </w:r>
      <w:r>
        <w:rPr>
          <w:color w:val="231F20"/>
          <w:spacing w:val="-3"/>
          <w:sz w:val="19"/>
        </w:rPr>
        <w:t> </w:t>
      </w:r>
      <w:r>
        <w:rPr>
          <w:color w:val="231F20"/>
          <w:sz w:val="19"/>
        </w:rPr>
        <w:t>protection</w:t>
      </w:r>
      <w:r>
        <w:rPr>
          <w:color w:val="231F20"/>
          <w:spacing w:val="-4"/>
          <w:sz w:val="19"/>
        </w:rPr>
        <w:t> </w:t>
      </w:r>
      <w:r>
        <w:rPr>
          <w:color w:val="231F20"/>
          <w:sz w:val="19"/>
        </w:rPr>
        <w:t>under</w:t>
      </w:r>
      <w:r>
        <w:rPr>
          <w:color w:val="231F20"/>
          <w:spacing w:val="-4"/>
          <w:sz w:val="19"/>
        </w:rPr>
        <w:t> </w:t>
      </w:r>
      <w:r>
        <w:rPr>
          <w:color w:val="231F20"/>
          <w:sz w:val="19"/>
        </w:rPr>
        <w:t>the UCTD is based on the idea that the consumer is in a weak position towards the business (the principle of weaker party protection). On this also, the UCTD deviates from the governing principles of general contract law of the Member States. Despite the different, foundational notions of EU and national private laws, they are called on to cohabitate in the regulation of the remedy for unfair terms. Coexistence has proven not to be peaceful.</w:t>
      </w:r>
    </w:p>
    <w:p>
      <w:pPr>
        <w:pStyle w:val="BodyText"/>
        <w:rPr>
          <w:sz w:val="20"/>
        </w:rPr>
      </w:pPr>
    </w:p>
    <w:p>
      <w:pPr>
        <w:pStyle w:val="BodyText"/>
        <w:rPr>
          <w:sz w:val="20"/>
        </w:rPr>
      </w:pPr>
    </w:p>
    <w:p>
      <w:pPr>
        <w:pStyle w:val="BodyText"/>
        <w:spacing w:before="38"/>
        <w:rPr>
          <w:sz w:val="20"/>
        </w:rPr>
      </w:pPr>
      <w:r>
        <w:rPr/>
        <mc:AlternateContent>
          <mc:Choice Requires="wps">
            <w:drawing>
              <wp:anchor distT="0" distB="0" distL="0" distR="0" allowOverlap="1" layoutInCell="1" locked="0" behindDoc="1" simplePos="0" relativeHeight="487606272">
                <wp:simplePos x="0" y="0"/>
                <wp:positionH relativeFrom="page">
                  <wp:posOffset>1979993</wp:posOffset>
                </wp:positionH>
                <wp:positionV relativeFrom="paragraph">
                  <wp:posOffset>184117</wp:posOffset>
                </wp:positionV>
                <wp:extent cx="1656080" cy="4445"/>
                <wp:effectExtent l="0" t="0" r="0" b="0"/>
                <wp:wrapTopAndBottom/>
                <wp:docPr id="39" name="Graphic 39"/>
                <wp:cNvGraphicFramePr>
                  <a:graphicFrameLocks/>
                </wp:cNvGraphicFramePr>
                <a:graphic>
                  <a:graphicData uri="http://schemas.microsoft.com/office/word/2010/wordprocessingShape">
                    <wps:wsp>
                      <wps:cNvPr id="39" name="Graphic 39"/>
                      <wps:cNvSpPr/>
                      <wps:spPr>
                        <a:xfrm>
                          <a:off x="0" y="0"/>
                          <a:ext cx="1656080" cy="4445"/>
                        </a:xfrm>
                        <a:custGeom>
                          <a:avLst/>
                          <a:gdLst/>
                          <a:ahLst/>
                          <a:cxnLst/>
                          <a:rect l="l" t="t" r="r" b="b"/>
                          <a:pathLst>
                            <a:path w="1656080" h="4445">
                              <a:moveTo>
                                <a:pt x="1656003" y="0"/>
                              </a:moveTo>
                              <a:lnTo>
                                <a:pt x="0" y="0"/>
                              </a:lnTo>
                              <a:lnTo>
                                <a:pt x="0" y="4319"/>
                              </a:lnTo>
                              <a:lnTo>
                                <a:pt x="1656003" y="4319"/>
                              </a:lnTo>
                              <a:lnTo>
                                <a:pt x="16560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5.904999pt;margin-top:14.49745pt;width:130.394pt;height:.34015pt;mso-position-horizontal-relative:page;mso-position-vertical-relative:paragraph;z-index:-15710208;mso-wrap-distance-left:0;mso-wrap-distance-right:0" id="docshape39" filled="true" fillcolor="#000000" stroked="false">
                <v:fill type="solid"/>
                <w10:wrap type="topAndBottom"/>
              </v:rect>
            </w:pict>
          </mc:Fallback>
        </mc:AlternateContent>
      </w:r>
    </w:p>
    <w:p>
      <w:pPr>
        <w:pStyle w:val="BodyText"/>
        <w:spacing w:before="76"/>
        <w:rPr>
          <w:sz w:val="16"/>
        </w:rPr>
      </w:pPr>
    </w:p>
    <w:p>
      <w:pPr>
        <w:pStyle w:val="ListParagraph"/>
        <w:numPr>
          <w:ilvl w:val="0"/>
          <w:numId w:val="3"/>
        </w:numPr>
        <w:tabs>
          <w:tab w:pos="865" w:val="left" w:leader="none"/>
        </w:tabs>
        <w:spacing w:line="240" w:lineRule="auto" w:before="0" w:after="0"/>
        <w:ind w:left="865" w:right="0" w:hanging="353"/>
        <w:jc w:val="left"/>
        <w:rPr>
          <w:sz w:val="16"/>
        </w:rPr>
      </w:pPr>
      <w:r>
        <w:rPr>
          <w:color w:val="231F20"/>
          <w:spacing w:val="-2"/>
          <w:sz w:val="16"/>
        </w:rPr>
        <w:t>ECJ</w:t>
      </w:r>
      <w:r>
        <w:rPr>
          <w:color w:val="231F20"/>
          <w:spacing w:val="7"/>
          <w:sz w:val="16"/>
        </w:rPr>
        <w:t> </w:t>
      </w:r>
      <w:r>
        <w:rPr>
          <w:color w:val="231F20"/>
          <w:spacing w:val="-2"/>
          <w:sz w:val="16"/>
        </w:rPr>
        <w:t>31</w:t>
      </w:r>
      <w:r>
        <w:rPr>
          <w:color w:val="231F20"/>
          <w:spacing w:val="7"/>
          <w:sz w:val="16"/>
        </w:rPr>
        <w:t> </w:t>
      </w:r>
      <w:r>
        <w:rPr>
          <w:color w:val="231F20"/>
          <w:spacing w:val="-2"/>
          <w:sz w:val="16"/>
        </w:rPr>
        <w:t>Mar.</w:t>
      </w:r>
      <w:r>
        <w:rPr>
          <w:color w:val="231F20"/>
          <w:spacing w:val="7"/>
          <w:sz w:val="16"/>
        </w:rPr>
        <w:t> </w:t>
      </w:r>
      <w:r>
        <w:rPr>
          <w:color w:val="231F20"/>
          <w:spacing w:val="-2"/>
          <w:sz w:val="16"/>
        </w:rPr>
        <w:t>2022,</w:t>
      </w:r>
      <w:r>
        <w:rPr>
          <w:color w:val="231F20"/>
          <w:spacing w:val="8"/>
          <w:sz w:val="16"/>
        </w:rPr>
        <w:t> </w:t>
      </w:r>
      <w:r>
        <w:rPr>
          <w:color w:val="231F20"/>
          <w:spacing w:val="-2"/>
          <w:sz w:val="16"/>
        </w:rPr>
        <w:t>ECLI:EU:C:2022:242,</w:t>
      </w:r>
      <w:r>
        <w:rPr>
          <w:color w:val="231F20"/>
          <w:spacing w:val="8"/>
          <w:sz w:val="16"/>
        </w:rPr>
        <w:t> </w:t>
      </w:r>
      <w:r>
        <w:rPr>
          <w:i/>
          <w:color w:val="231F20"/>
          <w:spacing w:val="-2"/>
          <w:sz w:val="16"/>
        </w:rPr>
        <w:t>Lombard</w:t>
      </w:r>
      <w:r>
        <w:rPr>
          <w:color w:val="231F20"/>
          <w:spacing w:val="-2"/>
          <w:sz w:val="16"/>
        </w:rPr>
        <w:t>,</w:t>
      </w:r>
      <w:r>
        <w:rPr>
          <w:color w:val="231F20"/>
          <w:spacing w:val="7"/>
          <w:sz w:val="16"/>
        </w:rPr>
        <w:t> </w:t>
      </w:r>
      <w:r>
        <w:rPr>
          <w:color w:val="231F20"/>
          <w:spacing w:val="-2"/>
          <w:sz w:val="16"/>
        </w:rPr>
        <w:t>para.</w:t>
      </w:r>
      <w:r>
        <w:rPr>
          <w:color w:val="231F20"/>
          <w:spacing w:val="7"/>
          <w:sz w:val="16"/>
        </w:rPr>
        <w:t> </w:t>
      </w:r>
      <w:r>
        <w:rPr>
          <w:color w:val="231F20"/>
          <w:spacing w:val="-5"/>
          <w:sz w:val="16"/>
        </w:rPr>
        <w:t>58.</w:t>
      </w:r>
    </w:p>
    <w:p>
      <w:pPr>
        <w:pStyle w:val="ListParagraph"/>
        <w:numPr>
          <w:ilvl w:val="0"/>
          <w:numId w:val="3"/>
        </w:numPr>
        <w:tabs>
          <w:tab w:pos="865" w:val="left" w:leader="none"/>
        </w:tabs>
        <w:spacing w:line="240" w:lineRule="auto" w:before="37" w:after="0"/>
        <w:ind w:left="865" w:right="0" w:hanging="353"/>
        <w:jc w:val="left"/>
        <w:rPr>
          <w:sz w:val="16"/>
        </w:rPr>
      </w:pPr>
      <w:r>
        <w:rPr>
          <w:color w:val="231F20"/>
          <w:spacing w:val="-2"/>
          <w:sz w:val="16"/>
        </w:rPr>
        <w:t>ECJ</w:t>
      </w:r>
      <w:r>
        <w:rPr>
          <w:color w:val="231F20"/>
          <w:spacing w:val="7"/>
          <w:sz w:val="16"/>
        </w:rPr>
        <w:t> </w:t>
      </w:r>
      <w:r>
        <w:rPr>
          <w:color w:val="231F20"/>
          <w:spacing w:val="-2"/>
          <w:sz w:val="16"/>
        </w:rPr>
        <w:t>27</w:t>
      </w:r>
      <w:r>
        <w:rPr>
          <w:color w:val="231F20"/>
          <w:spacing w:val="8"/>
          <w:sz w:val="16"/>
        </w:rPr>
        <w:t> </w:t>
      </w:r>
      <w:r>
        <w:rPr>
          <w:color w:val="231F20"/>
          <w:spacing w:val="-2"/>
          <w:sz w:val="16"/>
        </w:rPr>
        <w:t>Apr.</w:t>
      </w:r>
      <w:r>
        <w:rPr>
          <w:color w:val="231F20"/>
          <w:spacing w:val="9"/>
          <w:sz w:val="16"/>
        </w:rPr>
        <w:t> </w:t>
      </w:r>
      <w:r>
        <w:rPr>
          <w:color w:val="231F20"/>
          <w:spacing w:val="-2"/>
          <w:sz w:val="16"/>
        </w:rPr>
        <w:t>2023,</w:t>
      </w:r>
      <w:r>
        <w:rPr>
          <w:color w:val="231F20"/>
          <w:spacing w:val="8"/>
          <w:sz w:val="16"/>
        </w:rPr>
        <w:t> </w:t>
      </w:r>
      <w:r>
        <w:rPr>
          <w:color w:val="231F20"/>
          <w:spacing w:val="-2"/>
          <w:sz w:val="16"/>
        </w:rPr>
        <w:t>ECLI:EU:C:2023:352,</w:t>
      </w:r>
      <w:r>
        <w:rPr>
          <w:color w:val="231F20"/>
          <w:spacing w:val="8"/>
          <w:sz w:val="16"/>
        </w:rPr>
        <w:t> </w:t>
      </w:r>
      <w:r>
        <w:rPr>
          <w:i/>
          <w:color w:val="231F20"/>
          <w:spacing w:val="-2"/>
          <w:sz w:val="16"/>
        </w:rPr>
        <w:t>AxFina</w:t>
      </w:r>
      <w:r>
        <w:rPr>
          <w:i/>
          <w:color w:val="231F20"/>
          <w:spacing w:val="6"/>
          <w:sz w:val="16"/>
        </w:rPr>
        <w:t> </w:t>
      </w:r>
      <w:r>
        <w:rPr>
          <w:i/>
          <w:color w:val="231F20"/>
          <w:spacing w:val="-2"/>
          <w:sz w:val="16"/>
        </w:rPr>
        <w:t>Hungary</w:t>
      </w:r>
      <w:r>
        <w:rPr>
          <w:color w:val="231F20"/>
          <w:spacing w:val="-2"/>
          <w:sz w:val="16"/>
        </w:rPr>
        <w:t>,</w:t>
      </w:r>
      <w:r>
        <w:rPr>
          <w:color w:val="231F20"/>
          <w:spacing w:val="8"/>
          <w:sz w:val="16"/>
        </w:rPr>
        <w:t> </w:t>
      </w:r>
      <w:r>
        <w:rPr>
          <w:color w:val="231F20"/>
          <w:spacing w:val="-2"/>
          <w:sz w:val="16"/>
        </w:rPr>
        <w:t>para.</w:t>
      </w:r>
      <w:r>
        <w:rPr>
          <w:color w:val="231F20"/>
          <w:spacing w:val="8"/>
          <w:sz w:val="16"/>
        </w:rPr>
        <w:t> </w:t>
      </w:r>
      <w:r>
        <w:rPr>
          <w:color w:val="231F20"/>
          <w:spacing w:val="-5"/>
          <w:sz w:val="16"/>
        </w:rPr>
        <w:t>48.</w:t>
      </w:r>
    </w:p>
    <w:p>
      <w:pPr>
        <w:spacing w:after="0" w:line="240" w:lineRule="auto"/>
        <w:jc w:val="left"/>
        <w:rPr>
          <w:sz w:val="16"/>
        </w:rPr>
        <w:sectPr>
          <w:pgSz w:w="11910" w:h="16840"/>
          <w:pgMar w:header="0" w:footer="2585" w:top="1920" w:bottom="2780" w:left="1680" w:right="1680"/>
        </w:sectPr>
      </w:pPr>
    </w:p>
    <w:p>
      <w:pPr>
        <w:pStyle w:val="BodyText"/>
      </w:pPr>
    </w:p>
    <w:p>
      <w:pPr>
        <w:pStyle w:val="BodyText"/>
        <w:spacing w:before="166"/>
      </w:pPr>
    </w:p>
    <w:p>
      <w:pPr>
        <w:pStyle w:val="ListParagraph"/>
        <w:numPr>
          <w:ilvl w:val="0"/>
          <w:numId w:val="4"/>
        </w:numPr>
        <w:tabs>
          <w:tab w:pos="1428" w:val="left" w:leader="none"/>
        </w:tabs>
        <w:spacing w:line="288" w:lineRule="auto" w:before="0" w:after="0"/>
        <w:ind w:left="871" w:right="867" w:firstLine="0"/>
        <w:jc w:val="both"/>
        <w:rPr>
          <w:sz w:val="19"/>
        </w:rPr>
      </w:pPr>
      <w:r>
        <w:rPr>
          <w:color w:val="231F20"/>
          <w:spacing w:val="-6"/>
          <w:sz w:val="19"/>
        </w:rPr>
        <w:t>The</w:t>
      </w:r>
      <w:r>
        <w:rPr>
          <w:color w:val="231F20"/>
          <w:spacing w:val="-2"/>
          <w:sz w:val="19"/>
        </w:rPr>
        <w:t> </w:t>
      </w:r>
      <w:r>
        <w:rPr>
          <w:color w:val="231F20"/>
          <w:spacing w:val="-6"/>
          <w:sz w:val="19"/>
        </w:rPr>
        <w:t>principles</w:t>
      </w:r>
      <w:r>
        <w:rPr>
          <w:color w:val="231F20"/>
          <w:spacing w:val="-4"/>
          <w:sz w:val="19"/>
        </w:rPr>
        <w:t> </w:t>
      </w:r>
      <w:r>
        <w:rPr>
          <w:color w:val="231F20"/>
          <w:spacing w:val="-6"/>
          <w:sz w:val="19"/>
        </w:rPr>
        <w:t>of</w:t>
      </w:r>
      <w:r>
        <w:rPr>
          <w:color w:val="231F20"/>
          <w:spacing w:val="-3"/>
          <w:sz w:val="19"/>
        </w:rPr>
        <w:t> </w:t>
      </w:r>
      <w:r>
        <w:rPr>
          <w:color w:val="231F20"/>
          <w:spacing w:val="-6"/>
          <w:sz w:val="19"/>
        </w:rPr>
        <w:t>party</w:t>
      </w:r>
      <w:r>
        <w:rPr>
          <w:color w:val="231F20"/>
          <w:spacing w:val="-5"/>
          <w:sz w:val="19"/>
        </w:rPr>
        <w:t> </w:t>
      </w:r>
      <w:r>
        <w:rPr>
          <w:color w:val="231F20"/>
          <w:spacing w:val="-6"/>
          <w:sz w:val="19"/>
        </w:rPr>
        <w:t>equality,</w:t>
      </w:r>
      <w:r>
        <w:rPr>
          <w:color w:val="231F20"/>
          <w:spacing w:val="-1"/>
          <w:sz w:val="19"/>
        </w:rPr>
        <w:t> </w:t>
      </w:r>
      <w:r>
        <w:rPr>
          <w:color w:val="231F20"/>
          <w:spacing w:val="-6"/>
          <w:sz w:val="19"/>
        </w:rPr>
        <w:t>dissuasiveness</w:t>
      </w:r>
      <w:r>
        <w:rPr>
          <w:color w:val="231F20"/>
          <w:spacing w:val="-2"/>
          <w:sz w:val="19"/>
        </w:rPr>
        <w:t> </w:t>
      </w:r>
      <w:r>
        <w:rPr>
          <w:color w:val="231F20"/>
          <w:spacing w:val="-6"/>
          <w:sz w:val="19"/>
        </w:rPr>
        <w:t>and</w:t>
      </w:r>
      <w:r>
        <w:rPr>
          <w:color w:val="231F20"/>
          <w:spacing w:val="-1"/>
          <w:sz w:val="19"/>
        </w:rPr>
        <w:t> </w:t>
      </w:r>
      <w:r>
        <w:rPr>
          <w:color w:val="231F20"/>
          <w:spacing w:val="-6"/>
          <w:sz w:val="19"/>
        </w:rPr>
        <w:t>weaker</w:t>
      </w:r>
      <w:r>
        <w:rPr>
          <w:color w:val="231F20"/>
          <w:spacing w:val="-3"/>
          <w:sz w:val="19"/>
        </w:rPr>
        <w:t> </w:t>
      </w:r>
      <w:r>
        <w:rPr>
          <w:color w:val="231F20"/>
          <w:spacing w:val="-6"/>
          <w:sz w:val="19"/>
        </w:rPr>
        <w:t>party</w:t>
      </w:r>
      <w:r>
        <w:rPr>
          <w:color w:val="231F20"/>
          <w:spacing w:val="-2"/>
          <w:sz w:val="19"/>
        </w:rPr>
        <w:t> </w:t>
      </w:r>
      <w:r>
        <w:rPr>
          <w:color w:val="231F20"/>
          <w:spacing w:val="-6"/>
          <w:sz w:val="19"/>
        </w:rPr>
        <w:t>protection</w:t>
      </w:r>
      <w:r>
        <w:rPr>
          <w:color w:val="231F20"/>
          <w:spacing w:val="-4"/>
          <w:sz w:val="19"/>
        </w:rPr>
        <w:t> </w:t>
      </w:r>
      <w:r>
        <w:rPr>
          <w:color w:val="231F20"/>
          <w:spacing w:val="-6"/>
          <w:sz w:val="19"/>
        </w:rPr>
        <w:t>are</w:t>
      </w:r>
      <w:r>
        <w:rPr>
          <w:color w:val="231F20"/>
          <w:sz w:val="19"/>
        </w:rPr>
        <w:t> the</w:t>
      </w:r>
      <w:r>
        <w:rPr>
          <w:color w:val="231F20"/>
          <w:spacing w:val="-2"/>
          <w:sz w:val="19"/>
        </w:rPr>
        <w:t> </w:t>
      </w:r>
      <w:r>
        <w:rPr>
          <w:color w:val="231F20"/>
          <w:sz w:val="19"/>
        </w:rPr>
        <w:t>main</w:t>
      </w:r>
      <w:r>
        <w:rPr>
          <w:color w:val="231F20"/>
          <w:spacing w:val="-2"/>
          <w:sz w:val="19"/>
        </w:rPr>
        <w:t> </w:t>
      </w:r>
      <w:r>
        <w:rPr>
          <w:color w:val="231F20"/>
          <w:sz w:val="19"/>
        </w:rPr>
        <w:t>drivers</w:t>
      </w:r>
      <w:r>
        <w:rPr>
          <w:color w:val="231F20"/>
          <w:spacing w:val="-1"/>
          <w:sz w:val="19"/>
        </w:rPr>
        <w:t> </w:t>
      </w:r>
      <w:r>
        <w:rPr>
          <w:color w:val="231F20"/>
          <w:sz w:val="19"/>
        </w:rPr>
        <w:t>of</w:t>
      </w:r>
      <w:r>
        <w:rPr>
          <w:color w:val="231F20"/>
          <w:spacing w:val="-2"/>
          <w:sz w:val="19"/>
        </w:rPr>
        <w:t> </w:t>
      </w:r>
      <w:r>
        <w:rPr>
          <w:color w:val="231F20"/>
          <w:sz w:val="19"/>
        </w:rPr>
        <w:t>Article</w:t>
      </w:r>
      <w:r>
        <w:rPr>
          <w:color w:val="231F20"/>
          <w:spacing w:val="-1"/>
          <w:sz w:val="19"/>
        </w:rPr>
        <w:t> </w:t>
      </w:r>
      <w:r>
        <w:rPr>
          <w:color w:val="231F20"/>
          <w:sz w:val="19"/>
        </w:rPr>
        <w:t>6(1)</w:t>
      </w:r>
      <w:r>
        <w:rPr>
          <w:color w:val="231F20"/>
          <w:spacing w:val="-2"/>
          <w:sz w:val="19"/>
        </w:rPr>
        <w:t> </w:t>
      </w:r>
      <w:r>
        <w:rPr>
          <w:color w:val="231F20"/>
          <w:sz w:val="19"/>
        </w:rPr>
        <w:t>UCTD.</w:t>
      </w:r>
      <w:r>
        <w:rPr>
          <w:color w:val="231F20"/>
          <w:spacing w:val="-1"/>
          <w:sz w:val="19"/>
        </w:rPr>
        <w:t> </w:t>
      </w:r>
      <w:r>
        <w:rPr>
          <w:color w:val="231F20"/>
          <w:sz w:val="19"/>
        </w:rPr>
        <w:t>They</w:t>
      </w:r>
      <w:r>
        <w:rPr>
          <w:color w:val="231F20"/>
          <w:spacing w:val="-2"/>
          <w:sz w:val="19"/>
        </w:rPr>
        <w:t> </w:t>
      </w:r>
      <w:r>
        <w:rPr>
          <w:color w:val="231F20"/>
          <w:sz w:val="19"/>
        </w:rPr>
        <w:t>explain</w:t>
      </w:r>
      <w:r>
        <w:rPr>
          <w:color w:val="231F20"/>
          <w:spacing w:val="-2"/>
          <w:sz w:val="19"/>
        </w:rPr>
        <w:t> </w:t>
      </w:r>
      <w:r>
        <w:rPr>
          <w:color w:val="231F20"/>
          <w:sz w:val="19"/>
        </w:rPr>
        <w:t>why it</w:t>
      </w:r>
      <w:r>
        <w:rPr>
          <w:color w:val="231F20"/>
          <w:spacing w:val="-2"/>
          <w:sz w:val="19"/>
        </w:rPr>
        <w:t> </w:t>
      </w:r>
      <w:r>
        <w:rPr>
          <w:color w:val="231F20"/>
          <w:sz w:val="19"/>
        </w:rPr>
        <w:t>is</w:t>
      </w:r>
      <w:r>
        <w:rPr>
          <w:color w:val="231F20"/>
          <w:spacing w:val="-2"/>
          <w:sz w:val="19"/>
        </w:rPr>
        <w:t> </w:t>
      </w:r>
      <w:r>
        <w:rPr>
          <w:color w:val="231F20"/>
          <w:sz w:val="19"/>
        </w:rPr>
        <w:t>a special</w:t>
      </w:r>
      <w:r>
        <w:rPr>
          <w:color w:val="231F20"/>
          <w:spacing w:val="-1"/>
          <w:sz w:val="19"/>
        </w:rPr>
        <w:t> </w:t>
      </w:r>
      <w:r>
        <w:rPr>
          <w:color w:val="231F20"/>
          <w:sz w:val="19"/>
        </w:rPr>
        <w:t>mandatory </w:t>
      </w:r>
      <w:r>
        <w:rPr>
          <w:color w:val="231F20"/>
          <w:spacing w:val="-2"/>
          <w:sz w:val="19"/>
        </w:rPr>
        <w:t>provision</w:t>
      </w:r>
      <w:r>
        <w:rPr>
          <w:color w:val="231F20"/>
          <w:spacing w:val="-8"/>
          <w:sz w:val="19"/>
        </w:rPr>
        <w:t> </w:t>
      </w:r>
      <w:r>
        <w:rPr>
          <w:color w:val="231F20"/>
          <w:spacing w:val="-2"/>
          <w:sz w:val="19"/>
        </w:rPr>
        <w:t>with</w:t>
      </w:r>
      <w:r>
        <w:rPr>
          <w:color w:val="231F20"/>
          <w:spacing w:val="-8"/>
          <w:sz w:val="19"/>
        </w:rPr>
        <w:t> </w:t>
      </w:r>
      <w:r>
        <w:rPr>
          <w:color w:val="231F20"/>
          <w:spacing w:val="-2"/>
          <w:sz w:val="19"/>
        </w:rPr>
        <w:t>no</w:t>
      </w:r>
      <w:r>
        <w:rPr>
          <w:color w:val="231F20"/>
          <w:spacing w:val="-8"/>
          <w:sz w:val="19"/>
        </w:rPr>
        <w:t> </w:t>
      </w:r>
      <w:r>
        <w:rPr>
          <w:color w:val="231F20"/>
          <w:spacing w:val="-2"/>
          <w:sz w:val="19"/>
        </w:rPr>
        <w:t>parallel</w:t>
      </w:r>
      <w:r>
        <w:rPr>
          <w:color w:val="231F20"/>
          <w:spacing w:val="-8"/>
          <w:sz w:val="19"/>
        </w:rPr>
        <w:t> </w:t>
      </w:r>
      <w:r>
        <w:rPr>
          <w:color w:val="231F20"/>
          <w:spacing w:val="-2"/>
          <w:sz w:val="19"/>
        </w:rPr>
        <w:t>in</w:t>
      </w:r>
      <w:r>
        <w:rPr>
          <w:color w:val="231F20"/>
          <w:spacing w:val="-8"/>
          <w:sz w:val="19"/>
        </w:rPr>
        <w:t> </w:t>
      </w:r>
      <w:r>
        <w:rPr>
          <w:color w:val="231F20"/>
          <w:spacing w:val="-2"/>
          <w:sz w:val="19"/>
        </w:rPr>
        <w:t>most</w:t>
      </w:r>
      <w:r>
        <w:rPr>
          <w:color w:val="231F20"/>
          <w:spacing w:val="-8"/>
          <w:sz w:val="19"/>
        </w:rPr>
        <w:t> </w:t>
      </w:r>
      <w:r>
        <w:rPr>
          <w:color w:val="231F20"/>
          <w:spacing w:val="-2"/>
          <w:sz w:val="19"/>
        </w:rPr>
        <w:t>Member</w:t>
      </w:r>
      <w:r>
        <w:rPr>
          <w:color w:val="231F20"/>
          <w:spacing w:val="-8"/>
          <w:sz w:val="19"/>
        </w:rPr>
        <w:t> </w:t>
      </w:r>
      <w:r>
        <w:rPr>
          <w:color w:val="231F20"/>
          <w:spacing w:val="-2"/>
          <w:sz w:val="19"/>
        </w:rPr>
        <w:t>States.</w:t>
      </w:r>
      <w:r>
        <w:rPr>
          <w:color w:val="231F20"/>
          <w:spacing w:val="-7"/>
          <w:sz w:val="19"/>
        </w:rPr>
        <w:t> </w:t>
      </w:r>
      <w:r>
        <w:rPr>
          <w:color w:val="231F20"/>
          <w:spacing w:val="-2"/>
          <w:sz w:val="19"/>
        </w:rPr>
        <w:t>It</w:t>
      </w:r>
      <w:r>
        <w:rPr>
          <w:color w:val="231F20"/>
          <w:spacing w:val="-8"/>
          <w:sz w:val="19"/>
        </w:rPr>
        <w:t> </w:t>
      </w:r>
      <w:r>
        <w:rPr>
          <w:color w:val="231F20"/>
          <w:spacing w:val="-2"/>
          <w:sz w:val="19"/>
        </w:rPr>
        <w:t>protects</w:t>
      </w:r>
      <w:r>
        <w:rPr>
          <w:color w:val="231F20"/>
          <w:spacing w:val="-6"/>
          <w:sz w:val="19"/>
        </w:rPr>
        <w:t> </w:t>
      </w:r>
      <w:r>
        <w:rPr>
          <w:color w:val="231F20"/>
          <w:spacing w:val="-2"/>
          <w:sz w:val="19"/>
        </w:rPr>
        <w:t>consumers,</w:t>
      </w:r>
      <w:r>
        <w:rPr>
          <w:color w:val="231F20"/>
          <w:spacing w:val="-7"/>
          <w:sz w:val="19"/>
        </w:rPr>
        <w:t> </w:t>
      </w:r>
      <w:r>
        <w:rPr>
          <w:color w:val="231F20"/>
          <w:spacing w:val="-2"/>
          <w:sz w:val="19"/>
        </w:rPr>
        <w:t>but</w:t>
      </w:r>
      <w:r>
        <w:rPr>
          <w:color w:val="231F20"/>
          <w:spacing w:val="-7"/>
          <w:sz w:val="19"/>
        </w:rPr>
        <w:t> </w:t>
      </w:r>
      <w:r>
        <w:rPr>
          <w:color w:val="231F20"/>
          <w:spacing w:val="-2"/>
          <w:sz w:val="19"/>
        </w:rPr>
        <w:t>only</w:t>
      </w:r>
      <w:r>
        <w:rPr>
          <w:color w:val="231F20"/>
          <w:spacing w:val="-8"/>
          <w:sz w:val="19"/>
        </w:rPr>
        <w:t> </w:t>
      </w:r>
      <w:r>
        <w:rPr>
          <w:color w:val="231F20"/>
          <w:spacing w:val="-2"/>
          <w:sz w:val="19"/>
        </w:rPr>
        <w:t>if they</w:t>
      </w:r>
      <w:r>
        <w:rPr>
          <w:color w:val="231F20"/>
          <w:spacing w:val="-6"/>
          <w:sz w:val="19"/>
        </w:rPr>
        <w:t> </w:t>
      </w:r>
      <w:r>
        <w:rPr>
          <w:color w:val="231F20"/>
          <w:spacing w:val="-2"/>
          <w:sz w:val="19"/>
        </w:rPr>
        <w:t>want</w:t>
      </w:r>
      <w:r>
        <w:rPr>
          <w:color w:val="231F20"/>
          <w:spacing w:val="-6"/>
          <w:sz w:val="19"/>
        </w:rPr>
        <w:t> </w:t>
      </w:r>
      <w:r>
        <w:rPr>
          <w:color w:val="231F20"/>
          <w:spacing w:val="-2"/>
          <w:sz w:val="19"/>
        </w:rPr>
        <w:t>that</w:t>
      </w:r>
      <w:r>
        <w:rPr>
          <w:color w:val="231F20"/>
          <w:spacing w:val="-6"/>
          <w:sz w:val="19"/>
        </w:rPr>
        <w:t> </w:t>
      </w:r>
      <w:r>
        <w:rPr>
          <w:color w:val="231F20"/>
          <w:spacing w:val="-2"/>
          <w:sz w:val="19"/>
        </w:rPr>
        <w:t>protection.</w:t>
      </w:r>
      <w:r>
        <w:rPr>
          <w:color w:val="231F20"/>
          <w:spacing w:val="-6"/>
          <w:sz w:val="19"/>
        </w:rPr>
        <w:t> </w:t>
      </w:r>
      <w:r>
        <w:rPr>
          <w:color w:val="231F20"/>
          <w:spacing w:val="-2"/>
          <w:sz w:val="19"/>
        </w:rPr>
        <w:t>Those</w:t>
      </w:r>
      <w:r>
        <w:rPr>
          <w:color w:val="231F20"/>
          <w:spacing w:val="-7"/>
          <w:sz w:val="19"/>
        </w:rPr>
        <w:t> </w:t>
      </w:r>
      <w:r>
        <w:rPr>
          <w:color w:val="231F20"/>
          <w:spacing w:val="-2"/>
          <w:sz w:val="19"/>
        </w:rPr>
        <w:t>principles</w:t>
      </w:r>
      <w:r>
        <w:rPr>
          <w:color w:val="231F20"/>
          <w:spacing w:val="-7"/>
          <w:sz w:val="19"/>
        </w:rPr>
        <w:t> </w:t>
      </w:r>
      <w:r>
        <w:rPr>
          <w:color w:val="231F20"/>
          <w:spacing w:val="-2"/>
          <w:sz w:val="19"/>
        </w:rPr>
        <w:t>also</w:t>
      </w:r>
      <w:r>
        <w:rPr>
          <w:color w:val="231F20"/>
          <w:spacing w:val="-7"/>
          <w:sz w:val="19"/>
        </w:rPr>
        <w:t> </w:t>
      </w:r>
      <w:r>
        <w:rPr>
          <w:color w:val="231F20"/>
          <w:spacing w:val="-2"/>
          <w:sz w:val="19"/>
        </w:rPr>
        <w:t>justify</w:t>
      </w:r>
      <w:r>
        <w:rPr>
          <w:color w:val="231F20"/>
          <w:spacing w:val="-6"/>
          <w:sz w:val="19"/>
        </w:rPr>
        <w:t> </w:t>
      </w:r>
      <w:r>
        <w:rPr>
          <w:color w:val="231F20"/>
          <w:spacing w:val="-2"/>
          <w:sz w:val="19"/>
        </w:rPr>
        <w:t>the</w:t>
      </w:r>
      <w:r>
        <w:rPr>
          <w:color w:val="231F20"/>
          <w:spacing w:val="-7"/>
          <w:sz w:val="19"/>
        </w:rPr>
        <w:t> </w:t>
      </w:r>
      <w:r>
        <w:rPr>
          <w:color w:val="231F20"/>
          <w:spacing w:val="-2"/>
          <w:sz w:val="19"/>
        </w:rPr>
        <w:t>black-letter</w:t>
      </w:r>
      <w:r>
        <w:rPr>
          <w:color w:val="231F20"/>
          <w:spacing w:val="-6"/>
          <w:sz w:val="19"/>
        </w:rPr>
        <w:t> </w:t>
      </w:r>
      <w:r>
        <w:rPr>
          <w:color w:val="231F20"/>
          <w:spacing w:val="-2"/>
          <w:sz w:val="19"/>
        </w:rPr>
        <w:t>regulation</w:t>
      </w:r>
      <w:r>
        <w:rPr>
          <w:color w:val="231F20"/>
          <w:spacing w:val="-6"/>
          <w:sz w:val="19"/>
        </w:rPr>
        <w:t> </w:t>
      </w:r>
      <w:r>
        <w:rPr>
          <w:color w:val="231F20"/>
          <w:spacing w:val="-2"/>
          <w:sz w:val="19"/>
        </w:rPr>
        <w:t>of </w:t>
      </w:r>
      <w:r>
        <w:rPr>
          <w:color w:val="231F20"/>
          <w:sz w:val="19"/>
        </w:rPr>
        <w:t>the</w:t>
      </w:r>
      <w:r>
        <w:rPr>
          <w:color w:val="231F20"/>
          <w:spacing w:val="-11"/>
          <w:sz w:val="19"/>
        </w:rPr>
        <w:t> </w:t>
      </w:r>
      <w:r>
        <w:rPr>
          <w:color w:val="231F20"/>
          <w:sz w:val="19"/>
        </w:rPr>
        <w:t>remedy,</w:t>
      </w:r>
      <w:r>
        <w:rPr>
          <w:color w:val="231F20"/>
          <w:spacing w:val="-9"/>
          <w:sz w:val="19"/>
        </w:rPr>
        <w:t> </w:t>
      </w:r>
      <w:r>
        <w:rPr>
          <w:color w:val="231F20"/>
          <w:sz w:val="19"/>
        </w:rPr>
        <w:t>whereby</w:t>
      </w:r>
      <w:r>
        <w:rPr>
          <w:color w:val="231F20"/>
          <w:spacing w:val="-10"/>
          <w:sz w:val="19"/>
        </w:rPr>
        <w:t> </w:t>
      </w:r>
      <w:r>
        <w:rPr>
          <w:color w:val="231F20"/>
          <w:sz w:val="19"/>
        </w:rPr>
        <w:t>the</w:t>
      </w:r>
      <w:r>
        <w:rPr>
          <w:color w:val="231F20"/>
          <w:spacing w:val="-11"/>
          <w:sz w:val="19"/>
        </w:rPr>
        <w:t> </w:t>
      </w:r>
      <w:r>
        <w:rPr>
          <w:color w:val="231F20"/>
          <w:sz w:val="19"/>
        </w:rPr>
        <w:t>consumer</w:t>
      </w:r>
      <w:r>
        <w:rPr>
          <w:color w:val="231F20"/>
          <w:spacing w:val="-9"/>
          <w:sz w:val="19"/>
        </w:rPr>
        <w:t> </w:t>
      </w:r>
      <w:r>
        <w:rPr>
          <w:color w:val="231F20"/>
          <w:sz w:val="19"/>
        </w:rPr>
        <w:t>is</w:t>
      </w:r>
      <w:r>
        <w:rPr>
          <w:color w:val="231F20"/>
          <w:spacing w:val="-11"/>
          <w:sz w:val="19"/>
        </w:rPr>
        <w:t> </w:t>
      </w:r>
      <w:r>
        <w:rPr>
          <w:color w:val="231F20"/>
          <w:sz w:val="19"/>
        </w:rPr>
        <w:t>not</w:t>
      </w:r>
      <w:r>
        <w:rPr>
          <w:color w:val="231F20"/>
          <w:spacing w:val="-10"/>
          <w:sz w:val="19"/>
        </w:rPr>
        <w:t> </w:t>
      </w:r>
      <w:r>
        <w:rPr>
          <w:color w:val="231F20"/>
          <w:sz w:val="19"/>
        </w:rPr>
        <w:t>bound</w:t>
      </w:r>
      <w:r>
        <w:rPr>
          <w:color w:val="231F20"/>
          <w:spacing w:val="-9"/>
          <w:sz w:val="19"/>
        </w:rPr>
        <w:t> </w:t>
      </w:r>
      <w:r>
        <w:rPr>
          <w:color w:val="231F20"/>
          <w:sz w:val="19"/>
        </w:rPr>
        <w:t>by</w:t>
      </w:r>
      <w:r>
        <w:rPr>
          <w:color w:val="231F20"/>
          <w:spacing w:val="-9"/>
          <w:sz w:val="19"/>
        </w:rPr>
        <w:t> </w:t>
      </w:r>
      <w:r>
        <w:rPr>
          <w:color w:val="231F20"/>
          <w:sz w:val="19"/>
        </w:rPr>
        <w:t>the</w:t>
      </w:r>
      <w:r>
        <w:rPr>
          <w:color w:val="231F20"/>
          <w:spacing w:val="-11"/>
          <w:sz w:val="19"/>
        </w:rPr>
        <w:t> </w:t>
      </w:r>
      <w:r>
        <w:rPr>
          <w:color w:val="231F20"/>
          <w:sz w:val="19"/>
        </w:rPr>
        <w:t>unfair</w:t>
      </w:r>
      <w:r>
        <w:rPr>
          <w:color w:val="231F20"/>
          <w:spacing w:val="-11"/>
          <w:sz w:val="19"/>
        </w:rPr>
        <w:t> </w:t>
      </w:r>
      <w:r>
        <w:rPr>
          <w:color w:val="231F20"/>
          <w:sz w:val="19"/>
        </w:rPr>
        <w:t>term.</w:t>
      </w:r>
    </w:p>
    <w:p>
      <w:pPr>
        <w:pStyle w:val="ListParagraph"/>
        <w:numPr>
          <w:ilvl w:val="0"/>
          <w:numId w:val="4"/>
        </w:numPr>
        <w:tabs>
          <w:tab w:pos="1428" w:val="left" w:leader="none"/>
        </w:tabs>
        <w:spacing w:line="288" w:lineRule="auto" w:before="120" w:after="0"/>
        <w:ind w:left="871" w:right="867" w:firstLine="0"/>
        <w:jc w:val="both"/>
        <w:rPr>
          <w:sz w:val="19"/>
        </w:rPr>
      </w:pPr>
      <w:r>
        <w:rPr>
          <w:color w:val="231F20"/>
          <w:spacing w:val="-2"/>
          <w:sz w:val="19"/>
        </w:rPr>
        <w:t>The</w:t>
      </w:r>
      <w:r>
        <w:rPr>
          <w:color w:val="231F20"/>
          <w:spacing w:val="-6"/>
          <w:sz w:val="19"/>
        </w:rPr>
        <w:t> </w:t>
      </w:r>
      <w:r>
        <w:rPr>
          <w:color w:val="231F20"/>
          <w:spacing w:val="-2"/>
          <w:sz w:val="19"/>
        </w:rPr>
        <w:t>ECJ</w:t>
      </w:r>
      <w:r>
        <w:rPr>
          <w:color w:val="231F20"/>
          <w:spacing w:val="-7"/>
          <w:sz w:val="19"/>
        </w:rPr>
        <w:t> </w:t>
      </w:r>
      <w:r>
        <w:rPr>
          <w:color w:val="231F20"/>
          <w:spacing w:val="-2"/>
          <w:sz w:val="19"/>
        </w:rPr>
        <w:t>has</w:t>
      </w:r>
      <w:r>
        <w:rPr>
          <w:color w:val="231F20"/>
          <w:spacing w:val="-6"/>
          <w:sz w:val="19"/>
        </w:rPr>
        <w:t> </w:t>
      </w:r>
      <w:r>
        <w:rPr>
          <w:color w:val="231F20"/>
          <w:spacing w:val="-2"/>
          <w:sz w:val="19"/>
        </w:rPr>
        <w:t>built</w:t>
      </w:r>
      <w:r>
        <w:rPr>
          <w:color w:val="231F20"/>
          <w:spacing w:val="-7"/>
          <w:sz w:val="19"/>
        </w:rPr>
        <w:t> </w:t>
      </w:r>
      <w:r>
        <w:rPr>
          <w:color w:val="231F20"/>
          <w:spacing w:val="-2"/>
          <w:sz w:val="19"/>
        </w:rPr>
        <w:t>on</w:t>
      </w:r>
      <w:r>
        <w:rPr>
          <w:color w:val="231F20"/>
          <w:spacing w:val="-9"/>
          <w:sz w:val="19"/>
        </w:rPr>
        <w:t> </w:t>
      </w:r>
      <w:r>
        <w:rPr>
          <w:color w:val="231F20"/>
          <w:spacing w:val="-2"/>
          <w:sz w:val="19"/>
        </w:rPr>
        <w:t>party</w:t>
      </w:r>
      <w:r>
        <w:rPr>
          <w:color w:val="231F20"/>
          <w:spacing w:val="-9"/>
          <w:sz w:val="19"/>
        </w:rPr>
        <w:t> </w:t>
      </w:r>
      <w:r>
        <w:rPr>
          <w:color w:val="231F20"/>
          <w:spacing w:val="-2"/>
          <w:sz w:val="19"/>
        </w:rPr>
        <w:t>equality</w:t>
      </w:r>
      <w:r>
        <w:rPr>
          <w:color w:val="231F20"/>
          <w:spacing w:val="-6"/>
          <w:sz w:val="19"/>
        </w:rPr>
        <w:t> </w:t>
      </w:r>
      <w:r>
        <w:rPr>
          <w:color w:val="231F20"/>
          <w:spacing w:val="-2"/>
          <w:sz w:val="19"/>
        </w:rPr>
        <w:t>and</w:t>
      </w:r>
      <w:r>
        <w:rPr>
          <w:color w:val="231F20"/>
          <w:spacing w:val="-7"/>
          <w:sz w:val="19"/>
        </w:rPr>
        <w:t> </w:t>
      </w:r>
      <w:r>
        <w:rPr>
          <w:color w:val="231F20"/>
          <w:spacing w:val="-2"/>
          <w:sz w:val="19"/>
        </w:rPr>
        <w:t>dissuasiveness,</w:t>
      </w:r>
      <w:r>
        <w:rPr>
          <w:color w:val="231F20"/>
          <w:spacing w:val="-8"/>
          <w:sz w:val="19"/>
        </w:rPr>
        <w:t> </w:t>
      </w:r>
      <w:r>
        <w:rPr>
          <w:color w:val="231F20"/>
          <w:spacing w:val="-2"/>
          <w:sz w:val="19"/>
        </w:rPr>
        <w:t>after</w:t>
      </w:r>
      <w:r>
        <w:rPr>
          <w:color w:val="231F20"/>
          <w:spacing w:val="-6"/>
          <w:sz w:val="19"/>
        </w:rPr>
        <w:t> </w:t>
      </w:r>
      <w:r>
        <w:rPr>
          <w:color w:val="231F20"/>
          <w:spacing w:val="-2"/>
          <w:sz w:val="19"/>
        </w:rPr>
        <w:t>overcoming</w:t>
      </w:r>
      <w:r>
        <w:rPr>
          <w:color w:val="231F20"/>
          <w:spacing w:val="-7"/>
          <w:sz w:val="19"/>
        </w:rPr>
        <w:t> </w:t>
      </w:r>
      <w:r>
        <w:rPr>
          <w:color w:val="231F20"/>
          <w:spacing w:val="-2"/>
          <w:sz w:val="19"/>
        </w:rPr>
        <w:t>the </w:t>
      </w:r>
      <w:r>
        <w:rPr>
          <w:color w:val="231F20"/>
          <w:sz w:val="19"/>
        </w:rPr>
        <w:t>barrier of procedural autonomy with the principles of effectiveness and equiva- lence, to define the content of the remedy for unfair terms and its follow-on consequences. In doing so, it has additionally and expressly relied on other </w:t>
      </w:r>
      <w:r>
        <w:rPr>
          <w:color w:val="231F20"/>
          <w:sz w:val="19"/>
        </w:rPr>
        <w:t>key principles such as legal certainty. Moreover, it is possible to deduce from the Court</w:t>
      </w:r>
      <w:r>
        <w:rPr>
          <w:rFonts w:ascii="Arial" w:hAnsi="Arial"/>
          <w:color w:val="231F20"/>
          <w:sz w:val="19"/>
        </w:rPr>
        <w:t>’</w:t>
      </w:r>
      <w:r>
        <w:rPr>
          <w:color w:val="231F20"/>
          <w:sz w:val="19"/>
        </w:rPr>
        <w:t>s rulings the presence of yet other principles, such as proportionality,</w:t>
      </w:r>
      <w:r>
        <w:rPr>
          <w:color w:val="231F20"/>
          <w:spacing w:val="40"/>
          <w:sz w:val="19"/>
        </w:rPr>
        <w:t> </w:t>
      </w:r>
      <w:r>
        <w:rPr>
          <w:color w:val="231F20"/>
          <w:sz w:val="19"/>
        </w:rPr>
        <w:t>which</w:t>
      </w:r>
      <w:r>
        <w:rPr>
          <w:color w:val="231F20"/>
          <w:spacing w:val="-12"/>
          <w:sz w:val="19"/>
        </w:rPr>
        <w:t> </w:t>
      </w:r>
      <w:r>
        <w:rPr>
          <w:color w:val="231F20"/>
          <w:sz w:val="19"/>
        </w:rPr>
        <w:t>could</w:t>
      </w:r>
      <w:r>
        <w:rPr>
          <w:color w:val="231F20"/>
          <w:spacing w:val="-10"/>
          <w:sz w:val="19"/>
        </w:rPr>
        <w:t> </w:t>
      </w:r>
      <w:r>
        <w:rPr>
          <w:color w:val="231F20"/>
          <w:sz w:val="19"/>
        </w:rPr>
        <w:t>explain</w:t>
      </w:r>
      <w:r>
        <w:rPr>
          <w:color w:val="231F20"/>
          <w:spacing w:val="-11"/>
          <w:sz w:val="19"/>
        </w:rPr>
        <w:t> </w:t>
      </w:r>
      <w:r>
        <w:rPr>
          <w:color w:val="231F20"/>
          <w:sz w:val="19"/>
        </w:rPr>
        <w:t>seemingly</w:t>
      </w:r>
      <w:r>
        <w:rPr>
          <w:color w:val="231F20"/>
          <w:spacing w:val="-12"/>
          <w:sz w:val="19"/>
        </w:rPr>
        <w:t> </w:t>
      </w:r>
      <w:r>
        <w:rPr>
          <w:color w:val="231F20"/>
          <w:sz w:val="19"/>
        </w:rPr>
        <w:t>contradictory</w:t>
      </w:r>
      <w:r>
        <w:rPr>
          <w:color w:val="231F20"/>
          <w:spacing w:val="-11"/>
          <w:sz w:val="19"/>
        </w:rPr>
        <w:t> </w:t>
      </w:r>
      <w:r>
        <w:rPr>
          <w:color w:val="231F20"/>
          <w:sz w:val="19"/>
        </w:rPr>
        <w:t>judgments.</w:t>
      </w:r>
      <w:r>
        <w:rPr>
          <w:color w:val="231F20"/>
          <w:spacing w:val="-10"/>
          <w:sz w:val="19"/>
        </w:rPr>
        <w:t> </w:t>
      </w:r>
      <w:r>
        <w:rPr>
          <w:color w:val="231F20"/>
          <w:sz w:val="19"/>
        </w:rPr>
        <w:t>On</w:t>
      </w:r>
      <w:r>
        <w:rPr>
          <w:color w:val="231F20"/>
          <w:spacing w:val="-11"/>
          <w:sz w:val="19"/>
        </w:rPr>
        <w:t> </w:t>
      </w:r>
      <w:r>
        <w:rPr>
          <w:color w:val="231F20"/>
          <w:sz w:val="19"/>
        </w:rPr>
        <w:t>this,</w:t>
      </w:r>
      <w:r>
        <w:rPr>
          <w:color w:val="231F20"/>
          <w:spacing w:val="-11"/>
          <w:sz w:val="19"/>
        </w:rPr>
        <w:t> </w:t>
      </w:r>
      <w:r>
        <w:rPr>
          <w:color w:val="231F20"/>
          <w:sz w:val="19"/>
        </w:rPr>
        <w:t>the</w:t>
      </w:r>
      <w:r>
        <w:rPr>
          <w:color w:val="231F20"/>
          <w:spacing w:val="-11"/>
          <w:sz w:val="19"/>
        </w:rPr>
        <w:t> </w:t>
      </w:r>
      <w:r>
        <w:rPr>
          <w:color w:val="231F20"/>
          <w:sz w:val="19"/>
        </w:rPr>
        <w:t>paper</w:t>
      </w:r>
      <w:r>
        <w:rPr>
          <w:color w:val="231F20"/>
          <w:spacing w:val="-11"/>
          <w:sz w:val="19"/>
        </w:rPr>
        <w:t> </w:t>
      </w:r>
      <w:r>
        <w:rPr>
          <w:color w:val="231F20"/>
          <w:sz w:val="19"/>
        </w:rPr>
        <w:t>argues that</w:t>
      </w:r>
      <w:r>
        <w:rPr>
          <w:color w:val="231F20"/>
          <w:spacing w:val="-12"/>
          <w:sz w:val="19"/>
        </w:rPr>
        <w:t> </w:t>
      </w:r>
      <w:r>
        <w:rPr>
          <w:color w:val="231F20"/>
          <w:sz w:val="19"/>
        </w:rPr>
        <w:t>the</w:t>
      </w:r>
      <w:r>
        <w:rPr>
          <w:color w:val="231F20"/>
          <w:spacing w:val="-11"/>
          <w:sz w:val="19"/>
        </w:rPr>
        <w:t> </w:t>
      </w:r>
      <w:r>
        <w:rPr>
          <w:color w:val="231F20"/>
          <w:sz w:val="19"/>
        </w:rPr>
        <w:t>ECJ</w:t>
      </w:r>
      <w:r>
        <w:rPr>
          <w:color w:val="231F20"/>
          <w:spacing w:val="-12"/>
          <w:sz w:val="19"/>
        </w:rPr>
        <w:t> </w:t>
      </w:r>
      <w:r>
        <w:rPr>
          <w:color w:val="231F20"/>
          <w:sz w:val="19"/>
        </w:rPr>
        <w:t>has</w:t>
      </w:r>
      <w:r>
        <w:rPr>
          <w:color w:val="231F20"/>
          <w:spacing w:val="-11"/>
          <w:sz w:val="19"/>
        </w:rPr>
        <w:t> </w:t>
      </w:r>
      <w:r>
        <w:rPr>
          <w:color w:val="231F20"/>
          <w:sz w:val="19"/>
        </w:rPr>
        <w:t>created</w:t>
      </w:r>
      <w:r>
        <w:rPr>
          <w:color w:val="231F20"/>
          <w:spacing w:val="-12"/>
          <w:sz w:val="19"/>
        </w:rPr>
        <w:t> </w:t>
      </w:r>
      <w:r>
        <w:rPr>
          <w:color w:val="231F20"/>
          <w:sz w:val="19"/>
        </w:rPr>
        <w:t>a</w:t>
      </w:r>
      <w:r>
        <w:rPr>
          <w:color w:val="231F20"/>
          <w:spacing w:val="-11"/>
          <w:sz w:val="19"/>
        </w:rPr>
        <w:t> </w:t>
      </w:r>
      <w:r>
        <w:rPr>
          <w:color w:val="231F20"/>
          <w:sz w:val="19"/>
        </w:rPr>
        <w:t>private</w:t>
      </w:r>
      <w:r>
        <w:rPr>
          <w:color w:val="231F20"/>
          <w:spacing w:val="-12"/>
          <w:sz w:val="19"/>
        </w:rPr>
        <w:t> </w:t>
      </w:r>
      <w:r>
        <w:rPr>
          <w:color w:val="231F20"/>
          <w:sz w:val="19"/>
        </w:rPr>
        <w:t>law</w:t>
      </w:r>
      <w:r>
        <w:rPr>
          <w:color w:val="231F20"/>
          <w:spacing w:val="-11"/>
          <w:sz w:val="19"/>
        </w:rPr>
        <w:t> </w:t>
      </w:r>
      <w:r>
        <w:rPr>
          <w:color w:val="231F20"/>
          <w:sz w:val="19"/>
        </w:rPr>
        <w:t>sanction</w:t>
      </w:r>
      <w:r>
        <w:rPr>
          <w:color w:val="231F20"/>
          <w:spacing w:val="-12"/>
          <w:sz w:val="19"/>
        </w:rPr>
        <w:t> </w:t>
      </w:r>
      <w:r>
        <w:rPr>
          <w:color w:val="231F20"/>
          <w:sz w:val="19"/>
        </w:rPr>
        <w:t>and</w:t>
      </w:r>
      <w:r>
        <w:rPr>
          <w:color w:val="231F20"/>
          <w:spacing w:val="-11"/>
          <w:sz w:val="19"/>
        </w:rPr>
        <w:t> </w:t>
      </w:r>
      <w:r>
        <w:rPr>
          <w:color w:val="231F20"/>
          <w:sz w:val="19"/>
        </w:rPr>
        <w:t>suggests</w:t>
      </w:r>
      <w:r>
        <w:rPr>
          <w:color w:val="231F20"/>
          <w:spacing w:val="-12"/>
          <w:sz w:val="19"/>
        </w:rPr>
        <w:t> </w:t>
      </w:r>
      <w:r>
        <w:rPr>
          <w:color w:val="231F20"/>
          <w:sz w:val="19"/>
        </w:rPr>
        <w:t>that</w:t>
      </w:r>
      <w:r>
        <w:rPr>
          <w:color w:val="231F20"/>
          <w:spacing w:val="-11"/>
          <w:sz w:val="19"/>
        </w:rPr>
        <w:t> </w:t>
      </w:r>
      <w:r>
        <w:rPr>
          <w:color w:val="231F20"/>
          <w:sz w:val="19"/>
        </w:rPr>
        <w:t>the</w:t>
      </w:r>
      <w:r>
        <w:rPr>
          <w:color w:val="231F20"/>
          <w:spacing w:val="-11"/>
          <w:sz w:val="19"/>
        </w:rPr>
        <w:t> </w:t>
      </w:r>
      <w:r>
        <w:rPr>
          <w:color w:val="231F20"/>
          <w:sz w:val="19"/>
        </w:rPr>
        <w:t>prohibition</w:t>
      </w:r>
      <w:r>
        <w:rPr>
          <w:color w:val="231F20"/>
          <w:spacing w:val="-12"/>
          <w:sz w:val="19"/>
        </w:rPr>
        <w:t> </w:t>
      </w:r>
      <w:r>
        <w:rPr>
          <w:color w:val="231F20"/>
          <w:sz w:val="19"/>
        </w:rPr>
        <w:t>of unjust enrichment has a limit to it, as an application of the principle of </w:t>
      </w:r>
      <w:r>
        <w:rPr>
          <w:color w:val="231F20"/>
          <w:spacing w:val="-2"/>
          <w:sz w:val="19"/>
        </w:rPr>
        <w:t>proportionality.</w:t>
      </w:r>
    </w:p>
    <w:p>
      <w:pPr>
        <w:pStyle w:val="ListParagraph"/>
        <w:numPr>
          <w:ilvl w:val="0"/>
          <w:numId w:val="4"/>
        </w:numPr>
        <w:tabs>
          <w:tab w:pos="1428" w:val="left" w:leader="none"/>
        </w:tabs>
        <w:spacing w:line="288" w:lineRule="auto" w:before="114" w:after="0"/>
        <w:ind w:left="871" w:right="868" w:firstLine="0"/>
        <w:jc w:val="both"/>
        <w:rPr>
          <w:sz w:val="19"/>
        </w:rPr>
      </w:pPr>
      <w:r>
        <w:rPr>
          <w:color w:val="231F20"/>
          <w:sz w:val="19"/>
        </w:rPr>
        <w:t>Interpreting</w:t>
      </w:r>
      <w:r>
        <w:rPr>
          <w:color w:val="231F20"/>
          <w:spacing w:val="-4"/>
          <w:sz w:val="19"/>
        </w:rPr>
        <w:t> </w:t>
      </w:r>
      <w:r>
        <w:rPr>
          <w:color w:val="231F20"/>
          <w:sz w:val="19"/>
        </w:rPr>
        <w:t>Article</w:t>
      </w:r>
      <w:r>
        <w:rPr>
          <w:color w:val="231F20"/>
          <w:spacing w:val="-3"/>
          <w:sz w:val="19"/>
        </w:rPr>
        <w:t> </w:t>
      </w:r>
      <w:r>
        <w:rPr>
          <w:color w:val="231F20"/>
          <w:sz w:val="19"/>
        </w:rPr>
        <w:t>6(1)</w:t>
      </w:r>
      <w:r>
        <w:rPr>
          <w:color w:val="231F20"/>
          <w:spacing w:val="-4"/>
          <w:sz w:val="19"/>
        </w:rPr>
        <w:t> </w:t>
      </w:r>
      <w:r>
        <w:rPr>
          <w:color w:val="231F20"/>
          <w:sz w:val="19"/>
        </w:rPr>
        <w:t>UCTD</w:t>
      </w:r>
      <w:r>
        <w:rPr>
          <w:color w:val="231F20"/>
          <w:spacing w:val="-5"/>
          <w:sz w:val="19"/>
        </w:rPr>
        <w:t> </w:t>
      </w:r>
      <w:r>
        <w:rPr>
          <w:color w:val="231F20"/>
          <w:sz w:val="19"/>
        </w:rPr>
        <w:t>through</w:t>
      </w:r>
      <w:r>
        <w:rPr>
          <w:color w:val="231F20"/>
          <w:spacing w:val="-3"/>
          <w:sz w:val="19"/>
        </w:rPr>
        <w:t> </w:t>
      </w:r>
      <w:r>
        <w:rPr>
          <w:color w:val="231F20"/>
          <w:sz w:val="19"/>
        </w:rPr>
        <w:t>the</w:t>
      </w:r>
      <w:r>
        <w:rPr>
          <w:color w:val="231F20"/>
          <w:spacing w:val="-4"/>
          <w:sz w:val="19"/>
        </w:rPr>
        <w:t> </w:t>
      </w:r>
      <w:r>
        <w:rPr>
          <w:color w:val="231F20"/>
          <w:sz w:val="19"/>
        </w:rPr>
        <w:t>lenses</w:t>
      </w:r>
      <w:r>
        <w:rPr>
          <w:color w:val="231F20"/>
          <w:spacing w:val="-4"/>
          <w:sz w:val="19"/>
        </w:rPr>
        <w:t> </w:t>
      </w:r>
      <w:r>
        <w:rPr>
          <w:color w:val="231F20"/>
          <w:sz w:val="19"/>
        </w:rPr>
        <w:t>of</w:t>
      </w:r>
      <w:r>
        <w:rPr>
          <w:color w:val="231F20"/>
          <w:spacing w:val="-1"/>
          <w:sz w:val="19"/>
        </w:rPr>
        <w:t> </w:t>
      </w:r>
      <w:r>
        <w:rPr>
          <w:color w:val="231F20"/>
          <w:sz w:val="19"/>
        </w:rPr>
        <w:t>the</w:t>
      </w:r>
      <w:r>
        <w:rPr>
          <w:color w:val="231F20"/>
          <w:spacing w:val="-4"/>
          <w:sz w:val="19"/>
        </w:rPr>
        <w:t> </w:t>
      </w:r>
      <w:r>
        <w:rPr>
          <w:color w:val="231F20"/>
          <w:sz w:val="19"/>
        </w:rPr>
        <w:t>general</w:t>
      </w:r>
      <w:r>
        <w:rPr>
          <w:color w:val="231F20"/>
          <w:spacing w:val="-4"/>
          <w:sz w:val="19"/>
        </w:rPr>
        <w:t> </w:t>
      </w:r>
      <w:r>
        <w:rPr>
          <w:color w:val="231F20"/>
          <w:sz w:val="19"/>
        </w:rPr>
        <w:t>principles of EU law seems the right way to understand its current features as the ECJ has shaped them. It could also help the Court to escape from the trap of decisions it took under a certain principle when that cannot apply. This is the case for gap- filing</w:t>
      </w:r>
      <w:r>
        <w:rPr>
          <w:color w:val="231F20"/>
          <w:spacing w:val="-11"/>
          <w:sz w:val="19"/>
        </w:rPr>
        <w:t> </w:t>
      </w:r>
      <w:r>
        <w:rPr>
          <w:color w:val="231F20"/>
          <w:sz w:val="19"/>
        </w:rPr>
        <w:t>when</w:t>
      </w:r>
      <w:r>
        <w:rPr>
          <w:color w:val="231F20"/>
          <w:spacing w:val="-11"/>
          <w:sz w:val="19"/>
        </w:rPr>
        <w:t> </w:t>
      </w:r>
      <w:r>
        <w:rPr>
          <w:color w:val="231F20"/>
          <w:sz w:val="19"/>
        </w:rPr>
        <w:t>the</w:t>
      </w:r>
      <w:r>
        <w:rPr>
          <w:color w:val="231F20"/>
          <w:spacing w:val="-10"/>
          <w:sz w:val="19"/>
        </w:rPr>
        <w:t> </w:t>
      </w:r>
      <w:r>
        <w:rPr>
          <w:color w:val="231F20"/>
          <w:sz w:val="19"/>
        </w:rPr>
        <w:t>contract</w:t>
      </w:r>
      <w:r>
        <w:rPr>
          <w:color w:val="231F20"/>
          <w:spacing w:val="-11"/>
          <w:sz w:val="19"/>
        </w:rPr>
        <w:t> </w:t>
      </w:r>
      <w:r>
        <w:rPr>
          <w:color w:val="231F20"/>
          <w:sz w:val="19"/>
        </w:rPr>
        <w:t>cannot</w:t>
      </w:r>
      <w:r>
        <w:rPr>
          <w:color w:val="231F20"/>
          <w:spacing w:val="-10"/>
          <w:sz w:val="19"/>
        </w:rPr>
        <w:t> </w:t>
      </w:r>
      <w:r>
        <w:rPr>
          <w:color w:val="231F20"/>
          <w:sz w:val="19"/>
        </w:rPr>
        <w:t>continue</w:t>
      </w:r>
      <w:r>
        <w:rPr>
          <w:color w:val="231F20"/>
          <w:spacing w:val="-11"/>
          <w:sz w:val="19"/>
        </w:rPr>
        <w:t> </w:t>
      </w:r>
      <w:r>
        <w:rPr>
          <w:color w:val="231F20"/>
          <w:sz w:val="19"/>
        </w:rPr>
        <w:t>in</w:t>
      </w:r>
      <w:r>
        <w:rPr>
          <w:color w:val="231F20"/>
          <w:spacing w:val="-11"/>
          <w:sz w:val="19"/>
        </w:rPr>
        <w:t> </w:t>
      </w:r>
      <w:r>
        <w:rPr>
          <w:color w:val="231F20"/>
          <w:sz w:val="19"/>
        </w:rPr>
        <w:t>existence</w:t>
      </w:r>
      <w:r>
        <w:rPr>
          <w:color w:val="231F20"/>
          <w:spacing w:val="-10"/>
          <w:sz w:val="19"/>
        </w:rPr>
        <w:t> </w:t>
      </w:r>
      <w:r>
        <w:rPr>
          <w:color w:val="231F20"/>
          <w:sz w:val="19"/>
        </w:rPr>
        <w:t>but</w:t>
      </w:r>
      <w:r>
        <w:rPr>
          <w:color w:val="231F20"/>
          <w:spacing w:val="-11"/>
          <w:sz w:val="19"/>
        </w:rPr>
        <w:t> </w:t>
      </w:r>
      <w:r>
        <w:rPr>
          <w:color w:val="231F20"/>
          <w:sz w:val="19"/>
        </w:rPr>
        <w:t>voiding</w:t>
      </w:r>
      <w:r>
        <w:rPr>
          <w:color w:val="231F20"/>
          <w:spacing w:val="-10"/>
          <w:sz w:val="19"/>
        </w:rPr>
        <w:t> </w:t>
      </w:r>
      <w:r>
        <w:rPr>
          <w:color w:val="231F20"/>
          <w:sz w:val="19"/>
        </w:rPr>
        <w:t>it</w:t>
      </w:r>
      <w:r>
        <w:rPr>
          <w:color w:val="231F20"/>
          <w:spacing w:val="-11"/>
          <w:sz w:val="19"/>
        </w:rPr>
        <w:t> </w:t>
      </w:r>
      <w:r>
        <w:rPr>
          <w:color w:val="231F20"/>
          <w:sz w:val="19"/>
        </w:rPr>
        <w:t>would</w:t>
      </w:r>
      <w:r>
        <w:rPr>
          <w:color w:val="231F20"/>
          <w:spacing w:val="-11"/>
          <w:sz w:val="19"/>
        </w:rPr>
        <w:t> </w:t>
      </w:r>
      <w:r>
        <w:rPr>
          <w:color w:val="231F20"/>
          <w:sz w:val="19"/>
        </w:rPr>
        <w:t>penalize the consumer. The principle of weaker party protection, which is overarching </w:t>
      </w:r>
      <w:r>
        <w:rPr>
          <w:color w:val="231F20"/>
          <w:sz w:val="19"/>
        </w:rPr>
        <w:t>to the</w:t>
      </w:r>
      <w:r>
        <w:rPr>
          <w:color w:val="231F20"/>
          <w:spacing w:val="-6"/>
          <w:sz w:val="19"/>
        </w:rPr>
        <w:t> </w:t>
      </w:r>
      <w:r>
        <w:rPr>
          <w:color w:val="231F20"/>
          <w:sz w:val="19"/>
        </w:rPr>
        <w:t>UCTD,</w:t>
      </w:r>
      <w:r>
        <w:rPr>
          <w:color w:val="231F20"/>
          <w:spacing w:val="-5"/>
          <w:sz w:val="19"/>
        </w:rPr>
        <w:t> </w:t>
      </w:r>
      <w:r>
        <w:rPr>
          <w:color w:val="231F20"/>
          <w:sz w:val="19"/>
        </w:rPr>
        <w:t>justifies</w:t>
      </w:r>
      <w:r>
        <w:rPr>
          <w:color w:val="231F20"/>
          <w:spacing w:val="-5"/>
          <w:sz w:val="19"/>
        </w:rPr>
        <w:t> </w:t>
      </w:r>
      <w:r>
        <w:rPr>
          <w:color w:val="231F20"/>
          <w:sz w:val="19"/>
        </w:rPr>
        <w:t>that</w:t>
      </w:r>
      <w:r>
        <w:rPr>
          <w:color w:val="231F20"/>
          <w:spacing w:val="-5"/>
          <w:sz w:val="19"/>
        </w:rPr>
        <w:t> </w:t>
      </w:r>
      <w:r>
        <w:rPr>
          <w:color w:val="231F20"/>
          <w:sz w:val="19"/>
        </w:rPr>
        <w:t>the</w:t>
      </w:r>
      <w:r>
        <w:rPr>
          <w:color w:val="231F20"/>
          <w:spacing w:val="-6"/>
          <w:sz w:val="19"/>
        </w:rPr>
        <w:t> </w:t>
      </w:r>
      <w:r>
        <w:rPr>
          <w:color w:val="231F20"/>
          <w:sz w:val="19"/>
        </w:rPr>
        <w:t>consumer</w:t>
      </w:r>
      <w:r>
        <w:rPr>
          <w:color w:val="231F20"/>
          <w:spacing w:val="-5"/>
          <w:sz w:val="19"/>
        </w:rPr>
        <w:t> </w:t>
      </w:r>
      <w:r>
        <w:rPr>
          <w:color w:val="231F20"/>
          <w:sz w:val="19"/>
        </w:rPr>
        <w:t>is</w:t>
      </w:r>
      <w:r>
        <w:rPr>
          <w:color w:val="231F20"/>
          <w:spacing w:val="-6"/>
          <w:sz w:val="19"/>
        </w:rPr>
        <w:t> </w:t>
      </w:r>
      <w:r>
        <w:rPr>
          <w:color w:val="231F20"/>
          <w:sz w:val="19"/>
        </w:rPr>
        <w:t>not</w:t>
      </w:r>
      <w:r>
        <w:rPr>
          <w:color w:val="231F20"/>
          <w:spacing w:val="-5"/>
          <w:sz w:val="19"/>
        </w:rPr>
        <w:t> </w:t>
      </w:r>
      <w:r>
        <w:rPr>
          <w:color w:val="231F20"/>
          <w:sz w:val="19"/>
        </w:rPr>
        <w:t>penalized.</w:t>
      </w:r>
      <w:r>
        <w:rPr>
          <w:color w:val="231F20"/>
          <w:spacing w:val="-6"/>
          <w:sz w:val="19"/>
        </w:rPr>
        <w:t> </w:t>
      </w:r>
      <w:r>
        <w:rPr>
          <w:color w:val="231F20"/>
          <w:sz w:val="19"/>
        </w:rPr>
        <w:t>In</w:t>
      </w:r>
      <w:r>
        <w:rPr>
          <w:color w:val="231F20"/>
          <w:spacing w:val="-5"/>
          <w:sz w:val="19"/>
        </w:rPr>
        <w:t> </w:t>
      </w:r>
      <w:r>
        <w:rPr>
          <w:color w:val="231F20"/>
          <w:sz w:val="19"/>
        </w:rPr>
        <w:t>such</w:t>
      </w:r>
      <w:r>
        <w:rPr>
          <w:color w:val="231F20"/>
          <w:spacing w:val="-6"/>
          <w:sz w:val="19"/>
        </w:rPr>
        <w:t> </w:t>
      </w:r>
      <w:r>
        <w:rPr>
          <w:color w:val="231F20"/>
          <w:sz w:val="19"/>
        </w:rPr>
        <w:t>cases,</w:t>
      </w:r>
      <w:r>
        <w:rPr>
          <w:color w:val="231F20"/>
          <w:spacing w:val="-5"/>
          <w:sz w:val="19"/>
        </w:rPr>
        <w:t> </w:t>
      </w:r>
      <w:r>
        <w:rPr>
          <w:color w:val="231F20"/>
          <w:sz w:val="19"/>
        </w:rPr>
        <w:t>the</w:t>
      </w:r>
      <w:r>
        <w:rPr>
          <w:color w:val="231F20"/>
          <w:spacing w:val="-6"/>
          <w:sz w:val="19"/>
        </w:rPr>
        <w:t> </w:t>
      </w:r>
      <w:r>
        <w:rPr>
          <w:color w:val="231F20"/>
          <w:sz w:val="19"/>
        </w:rPr>
        <w:t>contract can</w:t>
      </w:r>
      <w:r>
        <w:rPr>
          <w:color w:val="231F20"/>
          <w:spacing w:val="-9"/>
          <w:sz w:val="19"/>
        </w:rPr>
        <w:t> </w:t>
      </w:r>
      <w:r>
        <w:rPr>
          <w:color w:val="231F20"/>
          <w:sz w:val="19"/>
        </w:rPr>
        <w:t>be</w:t>
      </w:r>
      <w:r>
        <w:rPr>
          <w:color w:val="231F20"/>
          <w:spacing w:val="-8"/>
          <w:sz w:val="19"/>
        </w:rPr>
        <w:t> </w:t>
      </w:r>
      <w:r>
        <w:rPr>
          <w:color w:val="231F20"/>
          <w:sz w:val="19"/>
        </w:rPr>
        <w:t>supplemented</w:t>
      </w:r>
      <w:r>
        <w:rPr>
          <w:color w:val="231F20"/>
          <w:spacing w:val="-9"/>
          <w:sz w:val="19"/>
        </w:rPr>
        <w:t> </w:t>
      </w:r>
      <w:r>
        <w:rPr>
          <w:color w:val="231F20"/>
          <w:sz w:val="19"/>
        </w:rPr>
        <w:t>with</w:t>
      </w:r>
      <w:r>
        <w:rPr>
          <w:color w:val="231F20"/>
          <w:spacing w:val="-9"/>
          <w:sz w:val="19"/>
        </w:rPr>
        <w:t> </w:t>
      </w:r>
      <w:r>
        <w:rPr>
          <w:color w:val="231F20"/>
          <w:sz w:val="19"/>
        </w:rPr>
        <w:t>national</w:t>
      </w:r>
      <w:r>
        <w:rPr>
          <w:color w:val="231F20"/>
          <w:spacing w:val="-8"/>
          <w:sz w:val="19"/>
        </w:rPr>
        <w:t> </w:t>
      </w:r>
      <w:r>
        <w:rPr>
          <w:color w:val="231F20"/>
          <w:sz w:val="19"/>
        </w:rPr>
        <w:t>law,</w:t>
      </w:r>
      <w:r>
        <w:rPr>
          <w:color w:val="231F20"/>
          <w:spacing w:val="-8"/>
          <w:sz w:val="19"/>
        </w:rPr>
        <w:t> </w:t>
      </w:r>
      <w:r>
        <w:rPr>
          <w:color w:val="231F20"/>
          <w:sz w:val="19"/>
        </w:rPr>
        <w:t>even</w:t>
      </w:r>
      <w:r>
        <w:rPr>
          <w:color w:val="231F20"/>
          <w:spacing w:val="-8"/>
          <w:sz w:val="19"/>
        </w:rPr>
        <w:t> </w:t>
      </w:r>
      <w:r>
        <w:rPr>
          <w:color w:val="231F20"/>
          <w:sz w:val="19"/>
        </w:rPr>
        <w:t>if</w:t>
      </w:r>
      <w:r>
        <w:rPr>
          <w:color w:val="231F20"/>
          <w:spacing w:val="-9"/>
          <w:sz w:val="19"/>
        </w:rPr>
        <w:t> </w:t>
      </w:r>
      <w:r>
        <w:rPr>
          <w:color w:val="231F20"/>
          <w:sz w:val="19"/>
        </w:rPr>
        <w:t>revising</w:t>
      </w:r>
      <w:r>
        <w:rPr>
          <w:color w:val="231F20"/>
          <w:spacing w:val="-8"/>
          <w:sz w:val="19"/>
        </w:rPr>
        <w:t> </w:t>
      </w:r>
      <w:r>
        <w:rPr>
          <w:color w:val="231F20"/>
          <w:sz w:val="19"/>
        </w:rPr>
        <w:t>the</w:t>
      </w:r>
      <w:r>
        <w:rPr>
          <w:color w:val="231F20"/>
          <w:spacing w:val="-8"/>
          <w:sz w:val="19"/>
        </w:rPr>
        <w:t> </w:t>
      </w:r>
      <w:r>
        <w:rPr>
          <w:color w:val="231F20"/>
          <w:sz w:val="19"/>
        </w:rPr>
        <w:t>contract</w:t>
      </w:r>
      <w:r>
        <w:rPr>
          <w:color w:val="231F20"/>
          <w:spacing w:val="-8"/>
          <w:sz w:val="19"/>
        </w:rPr>
        <w:t> </w:t>
      </w:r>
      <w:r>
        <w:rPr>
          <w:color w:val="231F20"/>
          <w:sz w:val="19"/>
        </w:rPr>
        <w:t>would</w:t>
      </w:r>
      <w:r>
        <w:rPr>
          <w:color w:val="231F20"/>
          <w:spacing w:val="-8"/>
          <w:sz w:val="19"/>
        </w:rPr>
        <w:t> </w:t>
      </w:r>
      <w:r>
        <w:rPr>
          <w:color w:val="231F20"/>
          <w:sz w:val="19"/>
        </w:rPr>
        <w:t>under- mine the dissuasive effects of Article 6(1) UCTD. However, precisely because dissuasiveness</w:t>
      </w:r>
      <w:r>
        <w:rPr>
          <w:color w:val="231F20"/>
          <w:spacing w:val="-12"/>
          <w:sz w:val="19"/>
        </w:rPr>
        <w:t> </w:t>
      </w:r>
      <w:r>
        <w:rPr>
          <w:color w:val="231F20"/>
          <w:sz w:val="19"/>
        </w:rPr>
        <w:t>cannot</w:t>
      </w:r>
      <w:r>
        <w:rPr>
          <w:color w:val="231F20"/>
          <w:spacing w:val="-11"/>
          <w:sz w:val="19"/>
        </w:rPr>
        <w:t> </w:t>
      </w:r>
      <w:r>
        <w:rPr>
          <w:color w:val="231F20"/>
          <w:sz w:val="19"/>
        </w:rPr>
        <w:t>be</w:t>
      </w:r>
      <w:r>
        <w:rPr>
          <w:color w:val="231F20"/>
          <w:spacing w:val="-12"/>
          <w:sz w:val="19"/>
        </w:rPr>
        <w:t> </w:t>
      </w:r>
      <w:r>
        <w:rPr>
          <w:color w:val="231F20"/>
          <w:sz w:val="19"/>
        </w:rPr>
        <w:t>attained,</w:t>
      </w:r>
      <w:r>
        <w:rPr>
          <w:color w:val="231F20"/>
          <w:spacing w:val="-11"/>
          <w:sz w:val="19"/>
        </w:rPr>
        <w:t> </w:t>
      </w:r>
      <w:r>
        <w:rPr>
          <w:color w:val="231F20"/>
          <w:sz w:val="19"/>
        </w:rPr>
        <w:t>the</w:t>
      </w:r>
      <w:r>
        <w:rPr>
          <w:color w:val="231F20"/>
          <w:spacing w:val="-12"/>
          <w:sz w:val="19"/>
        </w:rPr>
        <w:t> </w:t>
      </w:r>
      <w:r>
        <w:rPr>
          <w:color w:val="231F20"/>
          <w:sz w:val="19"/>
        </w:rPr>
        <w:t>ECJ</w:t>
      </w:r>
      <w:r>
        <w:rPr>
          <w:color w:val="231F20"/>
          <w:spacing w:val="-11"/>
          <w:sz w:val="19"/>
        </w:rPr>
        <w:t> </w:t>
      </w:r>
      <w:r>
        <w:rPr>
          <w:color w:val="231F20"/>
          <w:sz w:val="19"/>
        </w:rPr>
        <w:t>should</w:t>
      </w:r>
      <w:r>
        <w:rPr>
          <w:color w:val="231F20"/>
          <w:spacing w:val="-12"/>
          <w:sz w:val="19"/>
        </w:rPr>
        <w:t> </w:t>
      </w:r>
      <w:r>
        <w:rPr>
          <w:color w:val="231F20"/>
          <w:sz w:val="19"/>
        </w:rPr>
        <w:t>have</w:t>
      </w:r>
      <w:r>
        <w:rPr>
          <w:color w:val="231F20"/>
          <w:spacing w:val="-11"/>
          <w:sz w:val="19"/>
        </w:rPr>
        <w:t> </w:t>
      </w:r>
      <w:r>
        <w:rPr>
          <w:color w:val="231F20"/>
          <w:sz w:val="19"/>
        </w:rPr>
        <w:t>a</w:t>
      </w:r>
      <w:r>
        <w:rPr>
          <w:color w:val="231F20"/>
          <w:spacing w:val="-12"/>
          <w:sz w:val="19"/>
        </w:rPr>
        <w:t> </w:t>
      </w:r>
      <w:r>
        <w:rPr>
          <w:color w:val="231F20"/>
          <w:sz w:val="19"/>
        </w:rPr>
        <w:t>more</w:t>
      </w:r>
      <w:r>
        <w:rPr>
          <w:color w:val="231F20"/>
          <w:spacing w:val="-11"/>
          <w:sz w:val="19"/>
        </w:rPr>
        <w:t> </w:t>
      </w:r>
      <w:r>
        <w:rPr>
          <w:color w:val="231F20"/>
          <w:sz w:val="19"/>
        </w:rPr>
        <w:t>receptive</w:t>
      </w:r>
      <w:r>
        <w:rPr>
          <w:color w:val="231F20"/>
          <w:spacing w:val="-12"/>
          <w:sz w:val="19"/>
        </w:rPr>
        <w:t> </w:t>
      </w:r>
      <w:r>
        <w:rPr>
          <w:color w:val="231F20"/>
          <w:sz w:val="19"/>
        </w:rPr>
        <w:t>approach to national law, with the aim of party equality.</w:t>
      </w:r>
    </w:p>
    <w:p>
      <w:pPr>
        <w:pStyle w:val="ListParagraph"/>
        <w:numPr>
          <w:ilvl w:val="0"/>
          <w:numId w:val="4"/>
        </w:numPr>
        <w:tabs>
          <w:tab w:pos="1428" w:val="left" w:leader="none"/>
        </w:tabs>
        <w:spacing w:line="288" w:lineRule="auto" w:before="119" w:after="0"/>
        <w:ind w:left="871" w:right="868" w:firstLine="0"/>
        <w:jc w:val="both"/>
        <w:rPr>
          <w:sz w:val="19"/>
        </w:rPr>
      </w:pPr>
      <w:r>
        <w:rPr>
          <w:color w:val="231F20"/>
          <w:sz w:val="19"/>
        </w:rPr>
        <w:t>The principles of weaker party protection and dissuasiveness justify other follow-on consequences of Article 6(1) UCTD in respect of national law, which </w:t>
      </w:r>
      <w:r>
        <w:rPr>
          <w:color w:val="231F20"/>
          <w:spacing w:val="-2"/>
          <w:sz w:val="19"/>
        </w:rPr>
        <w:t>cannot</w:t>
      </w:r>
      <w:r>
        <w:rPr>
          <w:color w:val="231F20"/>
          <w:spacing w:val="-8"/>
          <w:sz w:val="19"/>
        </w:rPr>
        <w:t> </w:t>
      </w:r>
      <w:r>
        <w:rPr>
          <w:color w:val="231F20"/>
          <w:spacing w:val="-2"/>
          <w:sz w:val="19"/>
        </w:rPr>
        <w:t>be</w:t>
      </w:r>
      <w:r>
        <w:rPr>
          <w:color w:val="231F20"/>
          <w:spacing w:val="-8"/>
          <w:sz w:val="19"/>
        </w:rPr>
        <w:t> </w:t>
      </w:r>
      <w:r>
        <w:rPr>
          <w:color w:val="231F20"/>
          <w:spacing w:val="-2"/>
          <w:sz w:val="19"/>
        </w:rPr>
        <w:t>used</w:t>
      </w:r>
      <w:r>
        <w:rPr>
          <w:color w:val="231F20"/>
          <w:spacing w:val="-9"/>
          <w:sz w:val="19"/>
        </w:rPr>
        <w:t> </w:t>
      </w:r>
      <w:r>
        <w:rPr>
          <w:color w:val="231F20"/>
          <w:spacing w:val="-2"/>
          <w:sz w:val="19"/>
        </w:rPr>
        <w:t>to</w:t>
      </w:r>
      <w:r>
        <w:rPr>
          <w:color w:val="231F20"/>
          <w:spacing w:val="-8"/>
          <w:sz w:val="19"/>
        </w:rPr>
        <w:t> </w:t>
      </w:r>
      <w:r>
        <w:rPr>
          <w:color w:val="231F20"/>
          <w:spacing w:val="-2"/>
          <w:sz w:val="19"/>
        </w:rPr>
        <w:t>compensate</w:t>
      </w:r>
      <w:r>
        <w:rPr>
          <w:color w:val="231F20"/>
          <w:spacing w:val="-8"/>
          <w:sz w:val="19"/>
        </w:rPr>
        <w:t> </w:t>
      </w:r>
      <w:r>
        <w:rPr>
          <w:color w:val="231F20"/>
          <w:spacing w:val="-2"/>
          <w:sz w:val="19"/>
        </w:rPr>
        <w:t>the</w:t>
      </w:r>
      <w:r>
        <w:rPr>
          <w:color w:val="231F20"/>
          <w:spacing w:val="-8"/>
          <w:sz w:val="19"/>
        </w:rPr>
        <w:t> </w:t>
      </w:r>
      <w:r>
        <w:rPr>
          <w:color w:val="231F20"/>
          <w:spacing w:val="-2"/>
          <w:sz w:val="19"/>
        </w:rPr>
        <w:t>business</w:t>
      </w:r>
      <w:r>
        <w:rPr>
          <w:color w:val="231F20"/>
          <w:spacing w:val="-8"/>
          <w:sz w:val="19"/>
        </w:rPr>
        <w:t> </w:t>
      </w:r>
      <w:r>
        <w:rPr>
          <w:color w:val="231F20"/>
          <w:spacing w:val="-2"/>
          <w:sz w:val="19"/>
        </w:rPr>
        <w:t>beyond</w:t>
      </w:r>
      <w:r>
        <w:rPr>
          <w:color w:val="231F20"/>
          <w:spacing w:val="-10"/>
          <w:sz w:val="19"/>
        </w:rPr>
        <w:t> </w:t>
      </w:r>
      <w:r>
        <w:rPr>
          <w:color w:val="231F20"/>
          <w:spacing w:val="-2"/>
          <w:sz w:val="19"/>
        </w:rPr>
        <w:t>the</w:t>
      </w:r>
      <w:r>
        <w:rPr>
          <w:color w:val="231F20"/>
          <w:spacing w:val="-8"/>
          <w:sz w:val="19"/>
        </w:rPr>
        <w:t> </w:t>
      </w:r>
      <w:r>
        <w:rPr>
          <w:color w:val="231F20"/>
          <w:spacing w:val="-2"/>
          <w:sz w:val="19"/>
        </w:rPr>
        <w:t>(untainted)</w:t>
      </w:r>
      <w:r>
        <w:rPr>
          <w:color w:val="231F20"/>
          <w:spacing w:val="-8"/>
          <w:sz w:val="19"/>
        </w:rPr>
        <w:t> </w:t>
      </w:r>
      <w:r>
        <w:rPr>
          <w:color w:val="231F20"/>
          <w:spacing w:val="-2"/>
          <w:sz w:val="19"/>
        </w:rPr>
        <w:t>remuneration</w:t>
      </w:r>
      <w:r>
        <w:rPr>
          <w:color w:val="231F20"/>
          <w:spacing w:val="-9"/>
          <w:sz w:val="19"/>
        </w:rPr>
        <w:t> </w:t>
      </w:r>
      <w:r>
        <w:rPr>
          <w:color w:val="231F20"/>
          <w:spacing w:val="-2"/>
          <w:sz w:val="19"/>
        </w:rPr>
        <w:t>of </w:t>
      </w:r>
      <w:r>
        <w:rPr>
          <w:color w:val="231F20"/>
          <w:sz w:val="19"/>
        </w:rPr>
        <w:t>the contract.</w:t>
      </w:r>
    </w:p>
    <w:p>
      <w:pPr>
        <w:pStyle w:val="ListParagraph"/>
        <w:numPr>
          <w:ilvl w:val="0"/>
          <w:numId w:val="4"/>
        </w:numPr>
        <w:tabs>
          <w:tab w:pos="1428" w:val="left" w:leader="none"/>
        </w:tabs>
        <w:spacing w:line="288" w:lineRule="auto" w:before="119" w:after="0"/>
        <w:ind w:left="871" w:right="868" w:firstLine="0"/>
        <w:jc w:val="both"/>
        <w:rPr>
          <w:sz w:val="19"/>
        </w:rPr>
      </w:pPr>
      <w:r>
        <w:rPr>
          <w:color w:val="231F20"/>
          <w:sz w:val="19"/>
        </w:rPr>
        <w:t>Overall, the ECJ has advanced the interpretation of Article 6(1) UCTD to create a remedy for unfair terms of EU characteristics. The combination of con- </w:t>
      </w:r>
      <w:r>
        <w:rPr>
          <w:color w:val="231F20"/>
          <w:spacing w:val="-2"/>
          <w:sz w:val="19"/>
        </w:rPr>
        <w:t>tractual</w:t>
      </w:r>
      <w:r>
        <w:rPr>
          <w:color w:val="231F20"/>
          <w:spacing w:val="-8"/>
          <w:sz w:val="19"/>
        </w:rPr>
        <w:t> </w:t>
      </w:r>
      <w:r>
        <w:rPr>
          <w:color w:val="231F20"/>
          <w:spacing w:val="-2"/>
          <w:sz w:val="19"/>
        </w:rPr>
        <w:t>and</w:t>
      </w:r>
      <w:r>
        <w:rPr>
          <w:color w:val="231F20"/>
          <w:spacing w:val="-9"/>
          <w:sz w:val="19"/>
        </w:rPr>
        <w:t> </w:t>
      </w:r>
      <w:r>
        <w:rPr>
          <w:color w:val="231F20"/>
          <w:spacing w:val="-2"/>
          <w:sz w:val="19"/>
        </w:rPr>
        <w:t>regulatory</w:t>
      </w:r>
      <w:r>
        <w:rPr>
          <w:color w:val="231F20"/>
          <w:spacing w:val="-8"/>
          <w:sz w:val="19"/>
        </w:rPr>
        <w:t> </w:t>
      </w:r>
      <w:r>
        <w:rPr>
          <w:color w:val="231F20"/>
          <w:spacing w:val="-2"/>
          <w:sz w:val="19"/>
        </w:rPr>
        <w:t>aims</w:t>
      </w:r>
      <w:r>
        <w:rPr>
          <w:color w:val="231F20"/>
          <w:spacing w:val="-8"/>
          <w:sz w:val="19"/>
        </w:rPr>
        <w:t> </w:t>
      </w:r>
      <w:r>
        <w:rPr>
          <w:color w:val="231F20"/>
          <w:spacing w:val="-2"/>
          <w:sz w:val="19"/>
        </w:rPr>
        <w:t>in</w:t>
      </w:r>
      <w:r>
        <w:rPr>
          <w:color w:val="231F20"/>
          <w:spacing w:val="-7"/>
          <w:sz w:val="19"/>
        </w:rPr>
        <w:t> </w:t>
      </w:r>
      <w:r>
        <w:rPr>
          <w:color w:val="231F20"/>
          <w:spacing w:val="-2"/>
          <w:sz w:val="19"/>
        </w:rPr>
        <w:t>the</w:t>
      </w:r>
      <w:r>
        <w:rPr>
          <w:color w:val="231F20"/>
          <w:spacing w:val="-9"/>
          <w:sz w:val="19"/>
        </w:rPr>
        <w:t> </w:t>
      </w:r>
      <w:r>
        <w:rPr>
          <w:color w:val="231F20"/>
          <w:spacing w:val="-2"/>
          <w:sz w:val="19"/>
        </w:rPr>
        <w:t>definition</w:t>
      </w:r>
      <w:r>
        <w:rPr>
          <w:color w:val="231F20"/>
          <w:spacing w:val="-9"/>
          <w:sz w:val="19"/>
        </w:rPr>
        <w:t> </w:t>
      </w:r>
      <w:r>
        <w:rPr>
          <w:color w:val="231F20"/>
          <w:spacing w:val="-2"/>
          <w:sz w:val="19"/>
        </w:rPr>
        <w:t>of</w:t>
      </w:r>
      <w:r>
        <w:rPr>
          <w:color w:val="231F20"/>
          <w:spacing w:val="-5"/>
          <w:sz w:val="19"/>
        </w:rPr>
        <w:t> </w:t>
      </w:r>
      <w:r>
        <w:rPr>
          <w:color w:val="231F20"/>
          <w:spacing w:val="-2"/>
          <w:sz w:val="19"/>
        </w:rPr>
        <w:t>the</w:t>
      </w:r>
      <w:r>
        <w:rPr>
          <w:color w:val="231F20"/>
          <w:spacing w:val="-8"/>
          <w:sz w:val="19"/>
        </w:rPr>
        <w:t> </w:t>
      </w:r>
      <w:r>
        <w:rPr>
          <w:color w:val="231F20"/>
          <w:spacing w:val="-2"/>
          <w:sz w:val="19"/>
        </w:rPr>
        <w:t>remedy</w:t>
      </w:r>
      <w:r>
        <w:rPr>
          <w:color w:val="231F20"/>
          <w:spacing w:val="-10"/>
          <w:sz w:val="19"/>
        </w:rPr>
        <w:t> </w:t>
      </w:r>
      <w:r>
        <w:rPr>
          <w:color w:val="231F20"/>
          <w:spacing w:val="-2"/>
          <w:sz w:val="19"/>
        </w:rPr>
        <w:t>explains</w:t>
      </w:r>
      <w:r>
        <w:rPr>
          <w:color w:val="231F20"/>
          <w:spacing w:val="-7"/>
          <w:sz w:val="19"/>
        </w:rPr>
        <w:t> </w:t>
      </w:r>
      <w:r>
        <w:rPr>
          <w:color w:val="231F20"/>
          <w:spacing w:val="-2"/>
          <w:sz w:val="19"/>
        </w:rPr>
        <w:t>why</w:t>
      </w:r>
      <w:r>
        <w:rPr>
          <w:color w:val="231F20"/>
          <w:spacing w:val="-9"/>
          <w:sz w:val="19"/>
        </w:rPr>
        <w:t> </w:t>
      </w:r>
      <w:r>
        <w:rPr>
          <w:color w:val="231F20"/>
          <w:spacing w:val="-2"/>
          <w:sz w:val="19"/>
        </w:rPr>
        <w:t>it</w:t>
      </w:r>
      <w:r>
        <w:rPr>
          <w:color w:val="231F20"/>
          <w:spacing w:val="-7"/>
          <w:sz w:val="19"/>
        </w:rPr>
        <w:t> </w:t>
      </w:r>
      <w:r>
        <w:rPr>
          <w:color w:val="231F20"/>
          <w:spacing w:val="-2"/>
          <w:sz w:val="19"/>
        </w:rPr>
        <w:t>can</w:t>
      </w:r>
      <w:r>
        <w:rPr>
          <w:color w:val="231F20"/>
          <w:spacing w:val="-8"/>
          <w:sz w:val="19"/>
        </w:rPr>
        <w:t> </w:t>
      </w:r>
      <w:r>
        <w:rPr>
          <w:color w:val="231F20"/>
          <w:spacing w:val="-2"/>
          <w:sz w:val="19"/>
        </w:rPr>
        <w:t>only </w:t>
      </w:r>
      <w:r>
        <w:rPr>
          <w:color w:val="231F20"/>
          <w:sz w:val="19"/>
        </w:rPr>
        <w:t>be fully grasped considering the general principles of EU law. It would be an improvement to legal certainty if the ECJ were to make these principles more explicit in its judgments.</w:t>
      </w:r>
    </w:p>
    <w:p>
      <w:pPr>
        <w:pStyle w:val="ListParagraph"/>
        <w:numPr>
          <w:ilvl w:val="0"/>
          <w:numId w:val="4"/>
        </w:numPr>
        <w:tabs>
          <w:tab w:pos="1428" w:val="left" w:leader="none"/>
        </w:tabs>
        <w:spacing w:line="288" w:lineRule="auto" w:before="119" w:after="0"/>
        <w:ind w:left="871" w:right="869" w:firstLine="0"/>
        <w:jc w:val="both"/>
        <w:rPr>
          <w:sz w:val="19"/>
        </w:rPr>
      </w:pPr>
      <w:r>
        <w:rPr>
          <w:color w:val="231F20"/>
          <w:sz w:val="19"/>
        </w:rPr>
        <w:t>Finally, it would be regrettable if the Court were to continue the line of </w:t>
      </w:r>
      <w:r>
        <w:rPr>
          <w:color w:val="231F20"/>
          <w:spacing w:val="-2"/>
          <w:sz w:val="19"/>
        </w:rPr>
        <w:t>some</w:t>
      </w:r>
      <w:r>
        <w:rPr>
          <w:color w:val="231F20"/>
          <w:spacing w:val="-10"/>
          <w:sz w:val="19"/>
        </w:rPr>
        <w:t> </w:t>
      </w:r>
      <w:r>
        <w:rPr>
          <w:color w:val="231F20"/>
          <w:spacing w:val="-2"/>
          <w:sz w:val="19"/>
        </w:rPr>
        <w:t>more</w:t>
      </w:r>
      <w:r>
        <w:rPr>
          <w:color w:val="231F20"/>
          <w:spacing w:val="-9"/>
          <w:sz w:val="19"/>
        </w:rPr>
        <w:t> </w:t>
      </w:r>
      <w:r>
        <w:rPr>
          <w:color w:val="231F20"/>
          <w:spacing w:val="-2"/>
          <w:sz w:val="19"/>
        </w:rPr>
        <w:t>recent</w:t>
      </w:r>
      <w:r>
        <w:rPr>
          <w:color w:val="231F20"/>
          <w:spacing w:val="-9"/>
          <w:sz w:val="19"/>
        </w:rPr>
        <w:t> </w:t>
      </w:r>
      <w:r>
        <w:rPr>
          <w:color w:val="231F20"/>
          <w:spacing w:val="-2"/>
          <w:sz w:val="19"/>
        </w:rPr>
        <w:t>rulings</w:t>
      </w:r>
      <w:r>
        <w:rPr>
          <w:color w:val="231F20"/>
          <w:spacing w:val="-9"/>
          <w:sz w:val="19"/>
        </w:rPr>
        <w:t> </w:t>
      </w:r>
      <w:r>
        <w:rPr>
          <w:color w:val="231F20"/>
          <w:spacing w:val="-2"/>
          <w:sz w:val="19"/>
        </w:rPr>
        <w:t>that</w:t>
      </w:r>
      <w:r>
        <w:rPr>
          <w:color w:val="231F20"/>
          <w:spacing w:val="-10"/>
          <w:sz w:val="19"/>
        </w:rPr>
        <w:t> </w:t>
      </w:r>
      <w:r>
        <w:rPr>
          <w:color w:val="231F20"/>
          <w:spacing w:val="-2"/>
          <w:sz w:val="19"/>
        </w:rPr>
        <w:t>de-harmonize</w:t>
      </w:r>
      <w:r>
        <w:rPr>
          <w:color w:val="231F20"/>
          <w:spacing w:val="-9"/>
          <w:sz w:val="19"/>
        </w:rPr>
        <w:t> </w:t>
      </w:r>
      <w:r>
        <w:rPr>
          <w:color w:val="231F20"/>
          <w:spacing w:val="-2"/>
          <w:sz w:val="19"/>
        </w:rPr>
        <w:t>key</w:t>
      </w:r>
      <w:r>
        <w:rPr>
          <w:color w:val="231F20"/>
          <w:spacing w:val="-10"/>
          <w:sz w:val="19"/>
        </w:rPr>
        <w:t> </w:t>
      </w:r>
      <w:r>
        <w:rPr>
          <w:color w:val="231F20"/>
          <w:spacing w:val="-2"/>
          <w:sz w:val="19"/>
        </w:rPr>
        <w:t>achievements</w:t>
      </w:r>
      <w:r>
        <w:rPr>
          <w:color w:val="231F20"/>
          <w:spacing w:val="-8"/>
          <w:sz w:val="19"/>
        </w:rPr>
        <w:t> </w:t>
      </w:r>
      <w:r>
        <w:rPr>
          <w:color w:val="231F20"/>
          <w:spacing w:val="-2"/>
          <w:sz w:val="19"/>
        </w:rPr>
        <w:t>in</w:t>
      </w:r>
      <w:r>
        <w:rPr>
          <w:color w:val="231F20"/>
          <w:spacing w:val="-9"/>
          <w:sz w:val="19"/>
        </w:rPr>
        <w:t> </w:t>
      </w:r>
      <w:r>
        <w:rPr>
          <w:color w:val="231F20"/>
          <w:spacing w:val="-2"/>
          <w:sz w:val="19"/>
        </w:rPr>
        <w:t>consumer</w:t>
      </w:r>
      <w:r>
        <w:rPr>
          <w:color w:val="231F20"/>
          <w:spacing w:val="-9"/>
          <w:sz w:val="19"/>
        </w:rPr>
        <w:t> </w:t>
      </w:r>
      <w:r>
        <w:rPr>
          <w:color w:val="231F20"/>
          <w:spacing w:val="-2"/>
          <w:sz w:val="19"/>
        </w:rPr>
        <w:t>protec- </w:t>
      </w:r>
      <w:r>
        <w:rPr>
          <w:color w:val="231F20"/>
          <w:sz w:val="19"/>
        </w:rPr>
        <w:t>tion under the UCTD. This could lead to the diminished effectiveness of the </w:t>
      </w:r>
      <w:r>
        <w:rPr>
          <w:color w:val="231F20"/>
          <w:spacing w:val="-2"/>
          <w:sz w:val="19"/>
        </w:rPr>
        <w:t>directive.</w:t>
      </w:r>
    </w:p>
    <w:sectPr>
      <w:pgSz w:w="11910" w:h="16840"/>
      <w:pgMar w:header="0" w:footer="2585" w:top="1920" w:bottom="2780" w:left="168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Georgia">
    <w:altName w:val="Georgia"/>
    <w:charset w:val="0"/>
    <w:family w:val="roman"/>
    <w:pitch w:val="variable"/>
  </w:font>
  <w:font w:name="Arial">
    <w:altName w:val="Arial"/>
    <w:charset w:val="0"/>
    <w:family w:val="swiss"/>
    <w:pitch w:val="variable"/>
  </w:font>
  <w:font w:name="Trebuchet MS">
    <w:altName w:val="Trebuchet MS"/>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179776">
              <wp:simplePos x="0" y="0"/>
              <wp:positionH relativeFrom="page">
                <wp:posOffset>5355412</wp:posOffset>
              </wp:positionH>
              <wp:positionV relativeFrom="page">
                <wp:posOffset>8911066</wp:posOffset>
              </wp:positionV>
              <wp:extent cx="257175" cy="14795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57175" cy="147955"/>
                      </a:xfrm>
                      <a:prstGeom prst="rect">
                        <a:avLst/>
                      </a:prstGeom>
                    </wps:spPr>
                    <wps:txbx>
                      <w:txbxContent>
                        <w:p>
                          <w:pPr>
                            <w:spacing w:before="21"/>
                            <w:ind w:left="60" w:right="0" w:firstLine="0"/>
                            <w:jc w:val="left"/>
                            <w:rPr>
                              <w:sz w:val="16"/>
                            </w:rPr>
                          </w:pPr>
                          <w:r>
                            <w:rPr>
                              <w:color w:val="231F20"/>
                              <w:spacing w:val="-5"/>
                              <w:w w:val="105"/>
                              <w:sz w:val="16"/>
                            </w:rPr>
                            <w:fldChar w:fldCharType="begin"/>
                          </w:r>
                          <w:r>
                            <w:rPr>
                              <w:color w:val="231F20"/>
                              <w:spacing w:val="-5"/>
                              <w:w w:val="105"/>
                              <w:sz w:val="16"/>
                            </w:rPr>
                            <w:instrText> PAGE </w:instrText>
                          </w:r>
                          <w:r>
                            <w:rPr>
                              <w:color w:val="231F20"/>
                              <w:spacing w:val="-5"/>
                              <w:w w:val="105"/>
                              <w:sz w:val="16"/>
                            </w:rPr>
                            <w:fldChar w:fldCharType="separate"/>
                          </w:r>
                          <w:r>
                            <w:rPr>
                              <w:color w:val="231F20"/>
                              <w:spacing w:val="-5"/>
                              <w:w w:val="105"/>
                              <w:sz w:val="16"/>
                            </w:rPr>
                            <w:t>461</w:t>
                          </w:r>
                          <w:r>
                            <w:rPr>
                              <w:color w:val="231F20"/>
                              <w:spacing w:val="-5"/>
                              <w:w w:val="105"/>
                              <w:sz w:val="16"/>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21.686005pt;margin-top:701.658752pt;width:20.25pt;height:11.65pt;mso-position-horizontal-relative:page;mso-position-vertical-relative:page;z-index:-16136704" type="#_x0000_t202" id="docshape1" filled="false" stroked="false">
              <v:textbox inset="0,0,0,0">
                <w:txbxContent>
                  <w:p>
                    <w:pPr>
                      <w:spacing w:before="21"/>
                      <w:ind w:left="60" w:right="0" w:firstLine="0"/>
                      <w:jc w:val="left"/>
                      <w:rPr>
                        <w:sz w:val="16"/>
                      </w:rPr>
                    </w:pPr>
                    <w:r>
                      <w:rPr>
                        <w:color w:val="231F20"/>
                        <w:spacing w:val="-5"/>
                        <w:w w:val="105"/>
                        <w:sz w:val="16"/>
                      </w:rPr>
                      <w:fldChar w:fldCharType="begin"/>
                    </w:r>
                    <w:r>
                      <w:rPr>
                        <w:color w:val="231F20"/>
                        <w:spacing w:val="-5"/>
                        <w:w w:val="105"/>
                        <w:sz w:val="16"/>
                      </w:rPr>
                      <w:instrText> PAGE </w:instrText>
                    </w:r>
                    <w:r>
                      <w:rPr>
                        <w:color w:val="231F20"/>
                        <w:spacing w:val="-5"/>
                        <w:w w:val="105"/>
                        <w:sz w:val="16"/>
                      </w:rPr>
                      <w:fldChar w:fldCharType="separate"/>
                    </w:r>
                    <w:r>
                      <w:rPr>
                        <w:color w:val="231F20"/>
                        <w:spacing w:val="-5"/>
                        <w:w w:val="105"/>
                        <w:sz w:val="16"/>
                      </w:rPr>
                      <w:t>461</w:t>
                    </w:r>
                    <w:r>
                      <w:rPr>
                        <w:color w:val="231F20"/>
                        <w:spacing w:val="-5"/>
                        <w:w w:val="105"/>
                        <w:sz w:val="16"/>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180288">
              <wp:simplePos x="0" y="0"/>
              <wp:positionH relativeFrom="page">
                <wp:posOffset>1961337</wp:posOffset>
              </wp:positionH>
              <wp:positionV relativeFrom="page">
                <wp:posOffset>8911066</wp:posOffset>
              </wp:positionV>
              <wp:extent cx="257175" cy="14795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57175" cy="147955"/>
                      </a:xfrm>
                      <a:prstGeom prst="rect">
                        <a:avLst/>
                      </a:prstGeom>
                    </wps:spPr>
                    <wps:txbx>
                      <w:txbxContent>
                        <w:p>
                          <w:pPr>
                            <w:spacing w:before="21"/>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462</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154.436005pt;margin-top:701.658752pt;width:20.25pt;height:11.65pt;mso-position-horizontal-relative:page;mso-position-vertical-relative:page;z-index:-16136192" type="#_x0000_t202" id="docshape2" filled="false" stroked="false">
              <v:textbox inset="0,0,0,0">
                <w:txbxContent>
                  <w:p>
                    <w:pPr>
                      <w:spacing w:before="21"/>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462</w:t>
                    </w:r>
                    <w:r>
                      <w:rPr>
                        <w:color w:val="231F20"/>
                        <w:spacing w:val="-5"/>
                        <w:sz w:val="16"/>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871" w:hanging="349"/>
        <w:jc w:val="left"/>
      </w:pPr>
      <w:rPr>
        <w:rFonts w:hint="default" w:ascii="Georgia" w:hAnsi="Georgia" w:eastAsia="Georgia" w:cs="Georgia"/>
        <w:b w:val="0"/>
        <w:bCs w:val="0"/>
        <w:i w:val="0"/>
        <w:iCs w:val="0"/>
        <w:color w:val="231F20"/>
        <w:spacing w:val="0"/>
        <w:w w:val="119"/>
        <w:sz w:val="19"/>
        <w:szCs w:val="19"/>
        <w:lang w:val="en-US" w:eastAsia="en-US" w:bidi="ar-SA"/>
      </w:rPr>
    </w:lvl>
    <w:lvl w:ilvl="1">
      <w:start w:val="0"/>
      <w:numFmt w:val="bullet"/>
      <w:lvlText w:val="•"/>
      <w:lvlJc w:val="left"/>
      <w:pPr>
        <w:ind w:left="1646" w:hanging="349"/>
      </w:pPr>
      <w:rPr>
        <w:rFonts w:hint="default"/>
        <w:lang w:val="en-US" w:eastAsia="en-US" w:bidi="ar-SA"/>
      </w:rPr>
    </w:lvl>
    <w:lvl w:ilvl="2">
      <w:start w:val="0"/>
      <w:numFmt w:val="bullet"/>
      <w:lvlText w:val="•"/>
      <w:lvlJc w:val="left"/>
      <w:pPr>
        <w:ind w:left="2413" w:hanging="349"/>
      </w:pPr>
      <w:rPr>
        <w:rFonts w:hint="default"/>
        <w:lang w:val="en-US" w:eastAsia="en-US" w:bidi="ar-SA"/>
      </w:rPr>
    </w:lvl>
    <w:lvl w:ilvl="3">
      <w:start w:val="0"/>
      <w:numFmt w:val="bullet"/>
      <w:lvlText w:val="•"/>
      <w:lvlJc w:val="left"/>
      <w:pPr>
        <w:ind w:left="3179" w:hanging="349"/>
      </w:pPr>
      <w:rPr>
        <w:rFonts w:hint="default"/>
        <w:lang w:val="en-US" w:eastAsia="en-US" w:bidi="ar-SA"/>
      </w:rPr>
    </w:lvl>
    <w:lvl w:ilvl="4">
      <w:start w:val="0"/>
      <w:numFmt w:val="bullet"/>
      <w:lvlText w:val="•"/>
      <w:lvlJc w:val="left"/>
      <w:pPr>
        <w:ind w:left="3946" w:hanging="349"/>
      </w:pPr>
      <w:rPr>
        <w:rFonts w:hint="default"/>
        <w:lang w:val="en-US" w:eastAsia="en-US" w:bidi="ar-SA"/>
      </w:rPr>
    </w:lvl>
    <w:lvl w:ilvl="5">
      <w:start w:val="0"/>
      <w:numFmt w:val="bullet"/>
      <w:lvlText w:val="•"/>
      <w:lvlJc w:val="left"/>
      <w:pPr>
        <w:ind w:left="4712" w:hanging="349"/>
      </w:pPr>
      <w:rPr>
        <w:rFonts w:hint="default"/>
        <w:lang w:val="en-US" w:eastAsia="en-US" w:bidi="ar-SA"/>
      </w:rPr>
    </w:lvl>
    <w:lvl w:ilvl="6">
      <w:start w:val="0"/>
      <w:numFmt w:val="bullet"/>
      <w:lvlText w:val="•"/>
      <w:lvlJc w:val="left"/>
      <w:pPr>
        <w:ind w:left="5479" w:hanging="349"/>
      </w:pPr>
      <w:rPr>
        <w:rFonts w:hint="default"/>
        <w:lang w:val="en-US" w:eastAsia="en-US" w:bidi="ar-SA"/>
      </w:rPr>
    </w:lvl>
    <w:lvl w:ilvl="7">
      <w:start w:val="0"/>
      <w:numFmt w:val="bullet"/>
      <w:lvlText w:val="•"/>
      <w:lvlJc w:val="left"/>
      <w:pPr>
        <w:ind w:left="6245" w:hanging="349"/>
      </w:pPr>
      <w:rPr>
        <w:rFonts w:hint="default"/>
        <w:lang w:val="en-US" w:eastAsia="en-US" w:bidi="ar-SA"/>
      </w:rPr>
    </w:lvl>
    <w:lvl w:ilvl="8">
      <w:start w:val="0"/>
      <w:numFmt w:val="bullet"/>
      <w:lvlText w:val="•"/>
      <w:lvlJc w:val="left"/>
      <w:pPr>
        <w:ind w:left="7012" w:hanging="349"/>
      </w:pPr>
      <w:rPr>
        <w:rFonts w:hint="default"/>
        <w:lang w:val="en-US" w:eastAsia="en-US" w:bidi="ar-SA"/>
      </w:rPr>
    </w:lvl>
  </w:abstractNum>
  <w:abstractNum w:abstractNumId="4">
    <w:multiLevelType w:val="hybridMultilevel"/>
    <w:lvl w:ilvl="0">
      <w:start w:val="1"/>
      <w:numFmt w:val="decimal"/>
      <w:lvlText w:val="(%1)"/>
      <w:lvlJc w:val="left"/>
      <w:pPr>
        <w:ind w:left="1164" w:hanging="294"/>
        <w:jc w:val="left"/>
      </w:pPr>
      <w:rPr>
        <w:rFonts w:hint="default" w:ascii="Georgia" w:hAnsi="Georgia" w:eastAsia="Georgia" w:cs="Georgia"/>
        <w:b w:val="0"/>
        <w:bCs w:val="0"/>
        <w:i w:val="0"/>
        <w:iCs w:val="0"/>
        <w:color w:val="231F20"/>
        <w:spacing w:val="0"/>
        <w:w w:val="105"/>
        <w:sz w:val="19"/>
        <w:szCs w:val="19"/>
        <w:lang w:val="en-US" w:eastAsia="en-US" w:bidi="ar-SA"/>
      </w:rPr>
    </w:lvl>
    <w:lvl w:ilvl="1">
      <w:start w:val="0"/>
      <w:numFmt w:val="bullet"/>
      <w:lvlText w:val="•"/>
      <w:lvlJc w:val="left"/>
      <w:pPr>
        <w:ind w:left="1898" w:hanging="294"/>
      </w:pPr>
      <w:rPr>
        <w:rFonts w:hint="default"/>
        <w:lang w:val="en-US" w:eastAsia="en-US" w:bidi="ar-SA"/>
      </w:rPr>
    </w:lvl>
    <w:lvl w:ilvl="2">
      <w:start w:val="0"/>
      <w:numFmt w:val="bullet"/>
      <w:lvlText w:val="•"/>
      <w:lvlJc w:val="left"/>
      <w:pPr>
        <w:ind w:left="2637" w:hanging="294"/>
      </w:pPr>
      <w:rPr>
        <w:rFonts w:hint="default"/>
        <w:lang w:val="en-US" w:eastAsia="en-US" w:bidi="ar-SA"/>
      </w:rPr>
    </w:lvl>
    <w:lvl w:ilvl="3">
      <w:start w:val="0"/>
      <w:numFmt w:val="bullet"/>
      <w:lvlText w:val="•"/>
      <w:lvlJc w:val="left"/>
      <w:pPr>
        <w:ind w:left="3375" w:hanging="294"/>
      </w:pPr>
      <w:rPr>
        <w:rFonts w:hint="default"/>
        <w:lang w:val="en-US" w:eastAsia="en-US" w:bidi="ar-SA"/>
      </w:rPr>
    </w:lvl>
    <w:lvl w:ilvl="4">
      <w:start w:val="0"/>
      <w:numFmt w:val="bullet"/>
      <w:lvlText w:val="•"/>
      <w:lvlJc w:val="left"/>
      <w:pPr>
        <w:ind w:left="4114" w:hanging="294"/>
      </w:pPr>
      <w:rPr>
        <w:rFonts w:hint="default"/>
        <w:lang w:val="en-US" w:eastAsia="en-US" w:bidi="ar-SA"/>
      </w:rPr>
    </w:lvl>
    <w:lvl w:ilvl="5">
      <w:start w:val="0"/>
      <w:numFmt w:val="bullet"/>
      <w:lvlText w:val="•"/>
      <w:lvlJc w:val="left"/>
      <w:pPr>
        <w:ind w:left="4852" w:hanging="294"/>
      </w:pPr>
      <w:rPr>
        <w:rFonts w:hint="default"/>
        <w:lang w:val="en-US" w:eastAsia="en-US" w:bidi="ar-SA"/>
      </w:rPr>
    </w:lvl>
    <w:lvl w:ilvl="6">
      <w:start w:val="0"/>
      <w:numFmt w:val="bullet"/>
      <w:lvlText w:val="•"/>
      <w:lvlJc w:val="left"/>
      <w:pPr>
        <w:ind w:left="5591" w:hanging="294"/>
      </w:pPr>
      <w:rPr>
        <w:rFonts w:hint="default"/>
        <w:lang w:val="en-US" w:eastAsia="en-US" w:bidi="ar-SA"/>
      </w:rPr>
    </w:lvl>
    <w:lvl w:ilvl="7">
      <w:start w:val="0"/>
      <w:numFmt w:val="bullet"/>
      <w:lvlText w:val="•"/>
      <w:lvlJc w:val="left"/>
      <w:pPr>
        <w:ind w:left="6329" w:hanging="294"/>
      </w:pPr>
      <w:rPr>
        <w:rFonts w:hint="default"/>
        <w:lang w:val="en-US" w:eastAsia="en-US" w:bidi="ar-SA"/>
      </w:rPr>
    </w:lvl>
    <w:lvl w:ilvl="8">
      <w:start w:val="0"/>
      <w:numFmt w:val="bullet"/>
      <w:lvlText w:val="•"/>
      <w:lvlJc w:val="left"/>
      <w:pPr>
        <w:ind w:left="7068" w:hanging="294"/>
      </w:pPr>
      <w:rPr>
        <w:rFonts w:hint="default"/>
        <w:lang w:val="en-US" w:eastAsia="en-US" w:bidi="ar-SA"/>
      </w:rPr>
    </w:lvl>
  </w:abstractNum>
  <w:abstractNum w:abstractNumId="3">
    <w:multiLevelType w:val="hybridMultilevel"/>
    <w:lvl w:ilvl="0">
      <w:start w:val="10"/>
      <w:numFmt w:val="decimal"/>
      <w:lvlText w:val="%1."/>
      <w:lvlJc w:val="left"/>
      <w:pPr>
        <w:ind w:left="871" w:hanging="454"/>
        <w:jc w:val="left"/>
      </w:pPr>
      <w:rPr>
        <w:rFonts w:hint="default" w:ascii="Georgia" w:hAnsi="Georgia" w:eastAsia="Georgia" w:cs="Georgia"/>
        <w:b w:val="0"/>
        <w:bCs w:val="0"/>
        <w:i w:val="0"/>
        <w:iCs w:val="0"/>
        <w:color w:val="231F20"/>
        <w:spacing w:val="0"/>
        <w:w w:val="105"/>
        <w:sz w:val="19"/>
        <w:szCs w:val="19"/>
        <w:lang w:val="en-US" w:eastAsia="en-US" w:bidi="ar-SA"/>
      </w:rPr>
    </w:lvl>
    <w:lvl w:ilvl="1">
      <w:start w:val="0"/>
      <w:numFmt w:val="bullet"/>
      <w:lvlText w:val="•"/>
      <w:lvlJc w:val="left"/>
      <w:pPr>
        <w:ind w:left="1646" w:hanging="454"/>
      </w:pPr>
      <w:rPr>
        <w:rFonts w:hint="default"/>
        <w:lang w:val="en-US" w:eastAsia="en-US" w:bidi="ar-SA"/>
      </w:rPr>
    </w:lvl>
    <w:lvl w:ilvl="2">
      <w:start w:val="0"/>
      <w:numFmt w:val="bullet"/>
      <w:lvlText w:val="•"/>
      <w:lvlJc w:val="left"/>
      <w:pPr>
        <w:ind w:left="2413" w:hanging="454"/>
      </w:pPr>
      <w:rPr>
        <w:rFonts w:hint="default"/>
        <w:lang w:val="en-US" w:eastAsia="en-US" w:bidi="ar-SA"/>
      </w:rPr>
    </w:lvl>
    <w:lvl w:ilvl="3">
      <w:start w:val="0"/>
      <w:numFmt w:val="bullet"/>
      <w:lvlText w:val="•"/>
      <w:lvlJc w:val="left"/>
      <w:pPr>
        <w:ind w:left="3179" w:hanging="454"/>
      </w:pPr>
      <w:rPr>
        <w:rFonts w:hint="default"/>
        <w:lang w:val="en-US" w:eastAsia="en-US" w:bidi="ar-SA"/>
      </w:rPr>
    </w:lvl>
    <w:lvl w:ilvl="4">
      <w:start w:val="0"/>
      <w:numFmt w:val="bullet"/>
      <w:lvlText w:val="•"/>
      <w:lvlJc w:val="left"/>
      <w:pPr>
        <w:ind w:left="3946" w:hanging="454"/>
      </w:pPr>
      <w:rPr>
        <w:rFonts w:hint="default"/>
        <w:lang w:val="en-US" w:eastAsia="en-US" w:bidi="ar-SA"/>
      </w:rPr>
    </w:lvl>
    <w:lvl w:ilvl="5">
      <w:start w:val="0"/>
      <w:numFmt w:val="bullet"/>
      <w:lvlText w:val="•"/>
      <w:lvlJc w:val="left"/>
      <w:pPr>
        <w:ind w:left="4712" w:hanging="454"/>
      </w:pPr>
      <w:rPr>
        <w:rFonts w:hint="default"/>
        <w:lang w:val="en-US" w:eastAsia="en-US" w:bidi="ar-SA"/>
      </w:rPr>
    </w:lvl>
    <w:lvl w:ilvl="6">
      <w:start w:val="0"/>
      <w:numFmt w:val="bullet"/>
      <w:lvlText w:val="•"/>
      <w:lvlJc w:val="left"/>
      <w:pPr>
        <w:ind w:left="5479" w:hanging="454"/>
      </w:pPr>
      <w:rPr>
        <w:rFonts w:hint="default"/>
        <w:lang w:val="en-US" w:eastAsia="en-US" w:bidi="ar-SA"/>
      </w:rPr>
    </w:lvl>
    <w:lvl w:ilvl="7">
      <w:start w:val="0"/>
      <w:numFmt w:val="bullet"/>
      <w:lvlText w:val="•"/>
      <w:lvlJc w:val="left"/>
      <w:pPr>
        <w:ind w:left="6245" w:hanging="454"/>
      </w:pPr>
      <w:rPr>
        <w:rFonts w:hint="default"/>
        <w:lang w:val="en-US" w:eastAsia="en-US" w:bidi="ar-SA"/>
      </w:rPr>
    </w:lvl>
    <w:lvl w:ilvl="8">
      <w:start w:val="0"/>
      <w:numFmt w:val="bullet"/>
      <w:lvlText w:val="•"/>
      <w:lvlJc w:val="left"/>
      <w:pPr>
        <w:ind w:left="7012" w:hanging="454"/>
      </w:pPr>
      <w:rPr>
        <w:rFonts w:hint="default"/>
        <w:lang w:val="en-US" w:eastAsia="en-US" w:bidi="ar-SA"/>
      </w:rPr>
    </w:lvl>
  </w:abstractNum>
  <w:abstractNum w:abstractNumId="2">
    <w:multiLevelType w:val="hybridMultilevel"/>
    <w:lvl w:ilvl="0">
      <w:start w:val="1"/>
      <w:numFmt w:val="decimal"/>
      <w:lvlText w:val="%1"/>
      <w:lvlJc w:val="left"/>
      <w:pPr>
        <w:ind w:left="866" w:hanging="354"/>
        <w:jc w:val="left"/>
      </w:pPr>
      <w:rPr>
        <w:rFonts w:hint="default" w:ascii="Georgia" w:hAnsi="Georgia" w:eastAsia="Georgia" w:cs="Georgia"/>
        <w:b w:val="0"/>
        <w:bCs w:val="0"/>
        <w:i w:val="0"/>
        <w:iCs w:val="0"/>
        <w:color w:val="231F20"/>
        <w:spacing w:val="0"/>
        <w:w w:val="116"/>
        <w:sz w:val="16"/>
        <w:szCs w:val="16"/>
        <w:lang w:val="en-US" w:eastAsia="en-US" w:bidi="ar-SA"/>
      </w:rPr>
    </w:lvl>
    <w:lvl w:ilvl="1">
      <w:start w:val="5"/>
      <w:numFmt w:val="lowerRoman"/>
      <w:lvlText w:val="%2."/>
      <w:lvlJc w:val="left"/>
      <w:pPr>
        <w:ind w:left="1033" w:hanging="167"/>
        <w:jc w:val="left"/>
      </w:pPr>
      <w:rPr>
        <w:rFonts w:hint="default" w:ascii="Georgia" w:hAnsi="Georgia" w:eastAsia="Georgia" w:cs="Georgia"/>
        <w:b w:val="0"/>
        <w:bCs w:val="0"/>
        <w:i w:val="0"/>
        <w:iCs w:val="0"/>
        <w:color w:val="231F20"/>
        <w:spacing w:val="-7"/>
        <w:w w:val="98"/>
        <w:sz w:val="16"/>
        <w:szCs w:val="16"/>
        <w:lang w:val="en-US" w:eastAsia="en-US" w:bidi="ar-SA"/>
      </w:rPr>
    </w:lvl>
    <w:lvl w:ilvl="2">
      <w:start w:val="0"/>
      <w:numFmt w:val="bullet"/>
      <w:lvlText w:val="•"/>
      <w:lvlJc w:val="left"/>
      <w:pPr>
        <w:ind w:left="1873" w:hanging="167"/>
      </w:pPr>
      <w:rPr>
        <w:rFonts w:hint="default"/>
        <w:lang w:val="en-US" w:eastAsia="en-US" w:bidi="ar-SA"/>
      </w:rPr>
    </w:lvl>
    <w:lvl w:ilvl="3">
      <w:start w:val="0"/>
      <w:numFmt w:val="bullet"/>
      <w:lvlText w:val="•"/>
      <w:lvlJc w:val="left"/>
      <w:pPr>
        <w:ind w:left="2707" w:hanging="167"/>
      </w:pPr>
      <w:rPr>
        <w:rFonts w:hint="default"/>
        <w:lang w:val="en-US" w:eastAsia="en-US" w:bidi="ar-SA"/>
      </w:rPr>
    </w:lvl>
    <w:lvl w:ilvl="4">
      <w:start w:val="0"/>
      <w:numFmt w:val="bullet"/>
      <w:lvlText w:val="•"/>
      <w:lvlJc w:val="left"/>
      <w:pPr>
        <w:ind w:left="3541" w:hanging="167"/>
      </w:pPr>
      <w:rPr>
        <w:rFonts w:hint="default"/>
        <w:lang w:val="en-US" w:eastAsia="en-US" w:bidi="ar-SA"/>
      </w:rPr>
    </w:lvl>
    <w:lvl w:ilvl="5">
      <w:start w:val="0"/>
      <w:numFmt w:val="bullet"/>
      <w:lvlText w:val="•"/>
      <w:lvlJc w:val="left"/>
      <w:pPr>
        <w:ind w:left="4375" w:hanging="167"/>
      </w:pPr>
      <w:rPr>
        <w:rFonts w:hint="default"/>
        <w:lang w:val="en-US" w:eastAsia="en-US" w:bidi="ar-SA"/>
      </w:rPr>
    </w:lvl>
    <w:lvl w:ilvl="6">
      <w:start w:val="0"/>
      <w:numFmt w:val="bullet"/>
      <w:lvlText w:val="•"/>
      <w:lvlJc w:val="left"/>
      <w:pPr>
        <w:ind w:left="5209" w:hanging="167"/>
      </w:pPr>
      <w:rPr>
        <w:rFonts w:hint="default"/>
        <w:lang w:val="en-US" w:eastAsia="en-US" w:bidi="ar-SA"/>
      </w:rPr>
    </w:lvl>
    <w:lvl w:ilvl="7">
      <w:start w:val="0"/>
      <w:numFmt w:val="bullet"/>
      <w:lvlText w:val="•"/>
      <w:lvlJc w:val="left"/>
      <w:pPr>
        <w:ind w:left="6043" w:hanging="167"/>
      </w:pPr>
      <w:rPr>
        <w:rFonts w:hint="default"/>
        <w:lang w:val="en-US" w:eastAsia="en-US" w:bidi="ar-SA"/>
      </w:rPr>
    </w:lvl>
    <w:lvl w:ilvl="8">
      <w:start w:val="0"/>
      <w:numFmt w:val="bullet"/>
      <w:lvlText w:val="•"/>
      <w:lvlJc w:val="left"/>
      <w:pPr>
        <w:ind w:left="6877" w:hanging="167"/>
      </w:pPr>
      <w:rPr>
        <w:rFonts w:hint="default"/>
        <w:lang w:val="en-US" w:eastAsia="en-US" w:bidi="ar-SA"/>
      </w:rPr>
    </w:lvl>
  </w:abstractNum>
  <w:abstractNum w:abstractNumId="0">
    <w:multiLevelType w:val="hybridMultilevel"/>
    <w:lvl w:ilvl="0">
      <w:start w:val="1"/>
      <w:numFmt w:val="decimal"/>
      <w:lvlText w:val="%1."/>
      <w:lvlJc w:val="left"/>
      <w:pPr>
        <w:ind w:left="866" w:hanging="354"/>
        <w:jc w:val="left"/>
      </w:pPr>
      <w:rPr>
        <w:rFonts w:hint="default" w:ascii="Georgia" w:hAnsi="Georgia" w:eastAsia="Georgia" w:cs="Georgia"/>
        <w:b w:val="0"/>
        <w:bCs w:val="0"/>
        <w:i w:val="0"/>
        <w:iCs w:val="0"/>
        <w:color w:val="231F20"/>
        <w:spacing w:val="-12"/>
        <w:w w:val="127"/>
        <w:sz w:val="22"/>
        <w:szCs w:val="22"/>
        <w:lang w:val="en-US" w:eastAsia="en-US" w:bidi="ar-SA"/>
      </w:rPr>
    </w:lvl>
    <w:lvl w:ilvl="1">
      <w:start w:val="1"/>
      <w:numFmt w:val="decimal"/>
      <w:lvlText w:val="%1.%2."/>
      <w:lvlJc w:val="left"/>
      <w:pPr>
        <w:ind w:left="848" w:hanging="546"/>
        <w:jc w:val="left"/>
      </w:pPr>
      <w:rPr>
        <w:rFonts w:hint="default" w:ascii="Georgia" w:hAnsi="Georgia" w:eastAsia="Georgia" w:cs="Georgia"/>
        <w:b w:val="0"/>
        <w:bCs w:val="0"/>
        <w:i/>
        <w:iCs/>
        <w:color w:val="231F20"/>
        <w:spacing w:val="-19"/>
        <w:w w:val="114"/>
        <w:sz w:val="22"/>
        <w:szCs w:val="22"/>
        <w:lang w:val="en-US" w:eastAsia="en-US" w:bidi="ar-SA"/>
      </w:rPr>
    </w:lvl>
    <w:lvl w:ilvl="2">
      <w:start w:val="1"/>
      <w:numFmt w:val="decimal"/>
      <w:lvlText w:val="%1.%2.%3."/>
      <w:lvlJc w:val="left"/>
      <w:pPr>
        <w:ind w:left="899" w:hanging="681"/>
        <w:jc w:val="left"/>
      </w:pPr>
      <w:rPr>
        <w:rFonts w:hint="default" w:ascii="Georgia" w:hAnsi="Georgia" w:eastAsia="Georgia" w:cs="Georgia"/>
        <w:b w:val="0"/>
        <w:bCs w:val="0"/>
        <w:i/>
        <w:iCs/>
        <w:color w:val="231F20"/>
        <w:spacing w:val="0"/>
        <w:w w:val="107"/>
        <w:sz w:val="22"/>
        <w:szCs w:val="22"/>
        <w:lang w:val="en-US" w:eastAsia="en-US" w:bidi="ar-SA"/>
      </w:rPr>
    </w:lvl>
    <w:lvl w:ilvl="3">
      <w:start w:val="0"/>
      <w:numFmt w:val="bullet"/>
      <w:lvlText w:val="•"/>
      <w:lvlJc w:val="left"/>
      <w:pPr>
        <w:ind w:left="1855" w:hanging="681"/>
      </w:pPr>
      <w:rPr>
        <w:rFonts w:hint="default"/>
        <w:lang w:val="en-US" w:eastAsia="en-US" w:bidi="ar-SA"/>
      </w:rPr>
    </w:lvl>
    <w:lvl w:ilvl="4">
      <w:start w:val="0"/>
      <w:numFmt w:val="bullet"/>
      <w:lvlText w:val="•"/>
      <w:lvlJc w:val="left"/>
      <w:pPr>
        <w:ind w:left="2811" w:hanging="681"/>
      </w:pPr>
      <w:rPr>
        <w:rFonts w:hint="default"/>
        <w:lang w:val="en-US" w:eastAsia="en-US" w:bidi="ar-SA"/>
      </w:rPr>
    </w:lvl>
    <w:lvl w:ilvl="5">
      <w:start w:val="0"/>
      <w:numFmt w:val="bullet"/>
      <w:lvlText w:val="•"/>
      <w:lvlJc w:val="left"/>
      <w:pPr>
        <w:ind w:left="3767" w:hanging="681"/>
      </w:pPr>
      <w:rPr>
        <w:rFonts w:hint="default"/>
        <w:lang w:val="en-US" w:eastAsia="en-US" w:bidi="ar-SA"/>
      </w:rPr>
    </w:lvl>
    <w:lvl w:ilvl="6">
      <w:start w:val="0"/>
      <w:numFmt w:val="bullet"/>
      <w:lvlText w:val="•"/>
      <w:lvlJc w:val="left"/>
      <w:pPr>
        <w:ind w:left="4722" w:hanging="681"/>
      </w:pPr>
      <w:rPr>
        <w:rFonts w:hint="default"/>
        <w:lang w:val="en-US" w:eastAsia="en-US" w:bidi="ar-SA"/>
      </w:rPr>
    </w:lvl>
    <w:lvl w:ilvl="7">
      <w:start w:val="0"/>
      <w:numFmt w:val="bullet"/>
      <w:lvlText w:val="•"/>
      <w:lvlJc w:val="left"/>
      <w:pPr>
        <w:ind w:left="5678" w:hanging="681"/>
      </w:pPr>
      <w:rPr>
        <w:rFonts w:hint="default"/>
        <w:lang w:val="en-US" w:eastAsia="en-US" w:bidi="ar-SA"/>
      </w:rPr>
    </w:lvl>
    <w:lvl w:ilvl="8">
      <w:start w:val="0"/>
      <w:numFmt w:val="bullet"/>
      <w:lvlText w:val="•"/>
      <w:lvlJc w:val="left"/>
      <w:pPr>
        <w:ind w:left="6634" w:hanging="681"/>
      </w:pPr>
      <w:rPr>
        <w:rFonts w:hint="default"/>
        <w:lang w:val="en-US" w:eastAsia="en-US" w:bidi="ar-SA"/>
      </w:rPr>
    </w:lvl>
  </w:abstractNum>
  <w:num w:numId="2">
    <w:abstractNumId w:val="1"/>
  </w:num>
  <w:num w:numId="5">
    <w:abstractNumId w:val="4"/>
  </w:num>
  <w:num w:numId="4">
    <w:abstractNumId w:val="3"/>
  </w:num>
  <w:num w:numId="3">
    <w:abstractNumId w:val="2"/>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Georgia" w:hAnsi="Georgia" w:eastAsia="Georgia" w:cs="Georgia"/>
      <w:lang w:val="en-US" w:eastAsia="en-US" w:bidi="ar-SA"/>
    </w:rPr>
  </w:style>
  <w:style w:styleId="BodyText" w:type="paragraph">
    <w:name w:val="Body Text"/>
    <w:basedOn w:val="Normal"/>
    <w:uiPriority w:val="1"/>
    <w:qFormat/>
    <w:pPr/>
    <w:rPr>
      <w:rFonts w:ascii="Georgia" w:hAnsi="Georgia" w:eastAsia="Georgia" w:cs="Georgia"/>
      <w:sz w:val="19"/>
      <w:szCs w:val="19"/>
      <w:lang w:val="en-US" w:eastAsia="en-US" w:bidi="ar-SA"/>
    </w:rPr>
  </w:style>
  <w:style w:styleId="Heading1" w:type="paragraph">
    <w:name w:val="Heading 1"/>
    <w:basedOn w:val="Normal"/>
    <w:uiPriority w:val="1"/>
    <w:qFormat/>
    <w:pPr>
      <w:ind w:left="865" w:hanging="353"/>
      <w:outlineLvl w:val="1"/>
    </w:pPr>
    <w:rPr>
      <w:rFonts w:ascii="Georgia" w:hAnsi="Georgia" w:eastAsia="Georgia" w:cs="Georgia"/>
      <w:sz w:val="22"/>
      <w:szCs w:val="22"/>
      <w:lang w:val="en-US" w:eastAsia="en-US" w:bidi="ar-SA"/>
    </w:rPr>
  </w:style>
  <w:style w:styleId="Heading2" w:type="paragraph">
    <w:name w:val="Heading 2"/>
    <w:basedOn w:val="Normal"/>
    <w:uiPriority w:val="1"/>
    <w:qFormat/>
    <w:pPr>
      <w:spacing w:before="1"/>
      <w:ind w:left="848" w:hanging="545"/>
      <w:outlineLvl w:val="2"/>
    </w:pPr>
    <w:rPr>
      <w:rFonts w:ascii="Georgia" w:hAnsi="Georgia" w:eastAsia="Georgia" w:cs="Georgia"/>
      <w:i/>
      <w:iCs/>
      <w:sz w:val="22"/>
      <w:szCs w:val="22"/>
      <w:lang w:val="en-US" w:eastAsia="en-US" w:bidi="ar-SA"/>
    </w:rPr>
  </w:style>
  <w:style w:styleId="Title" w:type="paragraph">
    <w:name w:val="Title"/>
    <w:basedOn w:val="Normal"/>
    <w:uiPriority w:val="1"/>
    <w:qFormat/>
    <w:pPr>
      <w:ind w:left="871" w:right="986"/>
    </w:pPr>
    <w:rPr>
      <w:rFonts w:ascii="Georgia" w:hAnsi="Georgia" w:eastAsia="Georgia" w:cs="Georgia"/>
      <w:sz w:val="24"/>
      <w:szCs w:val="24"/>
      <w:lang w:val="en-US" w:eastAsia="en-US" w:bidi="ar-SA"/>
    </w:rPr>
  </w:style>
  <w:style w:styleId="ListParagraph" w:type="paragraph">
    <w:name w:val="List Paragraph"/>
    <w:basedOn w:val="Normal"/>
    <w:uiPriority w:val="1"/>
    <w:qFormat/>
    <w:pPr>
      <w:spacing w:before="37"/>
      <w:ind w:left="865" w:hanging="353"/>
      <w:jc w:val="both"/>
    </w:pPr>
    <w:rPr>
      <w:rFonts w:ascii="Georgia" w:hAnsi="Georgia" w:eastAsia="Georgia" w:cs="Georgia"/>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yperlink" Target="mailto:francisco.deelizalde@ie.edu"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ERPL_32_0306 461..496</dc:title>
  <dcterms:created xsi:type="dcterms:W3CDTF">2024-10-06T22:28:04Z</dcterms:created>
  <dcterms:modified xsi:type="dcterms:W3CDTF">2024-10-06T22:28:04Z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2024-07-12T00:00:00Z</vt:filetime>
  </property>
  <property fmtid="{D5CDD505-2E9C-101B-9397-08002B2CF9AE}" pid="3" name="Creator">
    <vt:lpwstr>Arbortext Advanced Print Publisher 11.0.3433/W Unicode</vt:lpwstr>
  </property>
  <property fmtid="{D5CDD505-2E9C-101B-9397-08002B2CF9AE}" pid="4" name="LastSaved">
    <vt:filetime>2024-10-06T00:00:00Z</vt:filetime>
  </property>
  <property fmtid="{D5CDD505-2E9C-101B-9397-08002B2CF9AE}" pid="5" name="Producer">
    <vt:lpwstr>3-Heights(TM) PDF Security Shell 4.8.25.2 (http://www.pdf-tools.com)</vt:lpwstr>
  </property>
</Properties>
</file>