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7123D" w:rsidRPr="000B4951" w:rsidRDefault="00C7123D" w:rsidP="000B4951">
      <w:pPr>
        <w:spacing w:line="360" w:lineRule="auto"/>
        <w:jc w:val="center"/>
        <w:rPr>
          <w:rFonts w:ascii="Arial" w:hAnsi="Arial" w:cs="Arial"/>
          <w:b/>
          <w:sz w:val="24"/>
          <w:szCs w:val="24"/>
          <w:lang w:val="en-US"/>
        </w:rPr>
      </w:pPr>
      <w:r w:rsidRPr="000B4951">
        <w:rPr>
          <w:rFonts w:ascii="Arial" w:hAnsi="Arial" w:cs="Arial"/>
          <w:b/>
          <w:sz w:val="24"/>
          <w:szCs w:val="24"/>
          <w:lang w:val="en-US"/>
        </w:rPr>
        <w:t>Consumer Protection in the Digital Environment in Argentina: Regulatory Experience, Challenges, and Comparison with the European Union.</w:t>
      </w:r>
    </w:p>
    <w:p w:rsidR="00C7123D" w:rsidRPr="000B4951" w:rsidRDefault="00C7123D" w:rsidP="000B4951">
      <w:pPr>
        <w:spacing w:line="360" w:lineRule="auto"/>
        <w:rPr>
          <w:rFonts w:ascii="Arial" w:hAnsi="Arial" w:cs="Arial"/>
          <w:sz w:val="24"/>
          <w:szCs w:val="24"/>
          <w:lang w:val="en-US"/>
        </w:rPr>
      </w:pPr>
    </w:p>
    <w:p w:rsidR="00C7123D" w:rsidRPr="000B4951" w:rsidRDefault="00C7123D" w:rsidP="000B4951">
      <w:pPr>
        <w:spacing w:line="360" w:lineRule="auto"/>
        <w:jc w:val="right"/>
        <w:rPr>
          <w:rFonts w:ascii="Arial" w:hAnsi="Arial" w:cs="Arial"/>
          <w:b/>
          <w:sz w:val="24"/>
          <w:szCs w:val="24"/>
          <w:lang w:val="en-US"/>
        </w:rPr>
      </w:pPr>
      <w:r w:rsidRPr="000B4951">
        <w:rPr>
          <w:rFonts w:ascii="Arial" w:hAnsi="Arial" w:cs="Arial"/>
          <w:b/>
          <w:sz w:val="24"/>
          <w:szCs w:val="24"/>
          <w:lang w:val="en-US"/>
        </w:rPr>
        <w:t xml:space="preserve">Sergio </w:t>
      </w:r>
      <w:proofErr w:type="spellStart"/>
      <w:r w:rsidRPr="000B4951">
        <w:rPr>
          <w:rFonts w:ascii="Arial" w:hAnsi="Arial" w:cs="Arial"/>
          <w:b/>
          <w:sz w:val="24"/>
          <w:szCs w:val="24"/>
          <w:lang w:val="en-US"/>
        </w:rPr>
        <w:t>Sebastián</w:t>
      </w:r>
      <w:proofErr w:type="spellEnd"/>
      <w:r w:rsidRPr="000B4951">
        <w:rPr>
          <w:rFonts w:ascii="Arial" w:hAnsi="Arial" w:cs="Arial"/>
          <w:b/>
          <w:sz w:val="24"/>
          <w:szCs w:val="24"/>
          <w:lang w:val="en-US"/>
        </w:rPr>
        <w:t xml:space="preserve"> </w:t>
      </w:r>
      <w:proofErr w:type="spellStart"/>
      <w:r w:rsidRPr="000B4951">
        <w:rPr>
          <w:rFonts w:ascii="Arial" w:hAnsi="Arial" w:cs="Arial"/>
          <w:b/>
          <w:sz w:val="24"/>
          <w:szCs w:val="24"/>
          <w:lang w:val="en-US"/>
        </w:rPr>
        <w:t>Barocelli</w:t>
      </w:r>
      <w:proofErr w:type="spellEnd"/>
      <w:r w:rsidR="000B4951" w:rsidRPr="000B4951">
        <w:rPr>
          <w:rFonts w:ascii="Times New Roman" w:eastAsia="Times New Roman" w:hAnsi="Times New Roman" w:cs="Times New Roman"/>
          <w:sz w:val="24"/>
          <w:szCs w:val="24"/>
          <w:vertAlign w:val="superscript"/>
          <w:lang w:val="es-ES"/>
        </w:rPr>
        <w:footnoteReference w:id="1"/>
      </w:r>
      <w:r w:rsidR="000B4951" w:rsidRPr="000B4951">
        <w:rPr>
          <w:rFonts w:ascii="Times New Roman" w:eastAsia="Times New Roman" w:hAnsi="Times New Roman" w:cs="Times New Roman"/>
          <w:sz w:val="24"/>
          <w:szCs w:val="24"/>
          <w:lang w:val="es-ES"/>
        </w:rPr>
        <w:t>.</w:t>
      </w:r>
    </w:p>
    <w:p w:rsidR="000B4951" w:rsidRPr="000B4951" w:rsidRDefault="000B4951" w:rsidP="000B4951">
      <w:pPr>
        <w:spacing w:line="360" w:lineRule="auto"/>
        <w:rPr>
          <w:rFonts w:ascii="Arial" w:hAnsi="Arial" w:cs="Arial"/>
          <w:sz w:val="24"/>
          <w:szCs w:val="24"/>
          <w:lang w:val="en-US"/>
        </w:rPr>
      </w:pPr>
      <w:r w:rsidRPr="000B4951">
        <w:rPr>
          <w:rFonts w:ascii="Arial" w:hAnsi="Arial" w:cs="Arial"/>
          <w:sz w:val="24"/>
          <w:szCs w:val="24"/>
          <w:lang w:val="en-US"/>
        </w:rPr>
        <w:t>Abstract</w:t>
      </w:r>
    </w:p>
    <w:p w:rsidR="00C7123D" w:rsidRPr="000B4951" w:rsidRDefault="000B4951" w:rsidP="000B4951">
      <w:pPr>
        <w:spacing w:line="360" w:lineRule="auto"/>
        <w:jc w:val="both"/>
        <w:rPr>
          <w:rFonts w:ascii="Arial" w:hAnsi="Arial" w:cs="Arial"/>
          <w:i/>
          <w:sz w:val="24"/>
          <w:szCs w:val="24"/>
          <w:lang w:val="en-US"/>
        </w:rPr>
      </w:pPr>
      <w:r w:rsidRPr="000B4951">
        <w:rPr>
          <w:rFonts w:ascii="Arial" w:hAnsi="Arial" w:cs="Arial"/>
          <w:i/>
          <w:sz w:val="24"/>
          <w:szCs w:val="24"/>
          <w:lang w:val="en-US"/>
        </w:rPr>
        <w:t xml:space="preserve">Digital environments present unique challenges for legal practitioners, particularly in the realm of consumer protection. This paper explores the necessity for legislation that ensures consumer protections in digital transactions are at least equal to those afforded in traditional face-to-face interactions. We define the "digital consumer" as anyone whose contractual engagements involve information and communication technology (ICT) at any stage. We argue that objective liability in digital platform interactions </w:t>
      </w:r>
      <w:proofErr w:type="gramStart"/>
      <w:r w:rsidRPr="000B4951">
        <w:rPr>
          <w:rFonts w:ascii="Arial" w:hAnsi="Arial" w:cs="Arial"/>
          <w:i/>
          <w:sz w:val="24"/>
          <w:szCs w:val="24"/>
          <w:lang w:val="en-US"/>
        </w:rPr>
        <w:t>should be founded</w:t>
      </w:r>
      <w:proofErr w:type="gramEnd"/>
      <w:r w:rsidRPr="000B4951">
        <w:rPr>
          <w:rFonts w:ascii="Arial" w:hAnsi="Arial" w:cs="Arial"/>
          <w:i/>
          <w:sz w:val="24"/>
          <w:szCs w:val="24"/>
          <w:lang w:val="en-US"/>
        </w:rPr>
        <w:t xml:space="preserve"> on activity risk, trust protection, and contractual connectivity. Additionally, we identify the platform owner as a crucial organizer, responsible for the design, functionality, user registration, terms and conditions, and other operational aspects of the digital environment. The </w:t>
      </w:r>
      <w:proofErr w:type="spellStart"/>
      <w:r w:rsidRPr="000B4951">
        <w:rPr>
          <w:rFonts w:ascii="Arial" w:hAnsi="Arial" w:cs="Arial"/>
          <w:i/>
          <w:sz w:val="24"/>
          <w:szCs w:val="24"/>
          <w:lang w:val="en-US"/>
        </w:rPr>
        <w:t>hypervulnerability</w:t>
      </w:r>
      <w:proofErr w:type="spellEnd"/>
      <w:r w:rsidRPr="000B4951">
        <w:rPr>
          <w:rFonts w:ascii="Arial" w:hAnsi="Arial" w:cs="Arial"/>
          <w:i/>
          <w:sz w:val="24"/>
          <w:szCs w:val="24"/>
          <w:lang w:val="en-US"/>
        </w:rPr>
        <w:t xml:space="preserve"> of consumers in these contexts </w:t>
      </w:r>
      <w:proofErr w:type="gramStart"/>
      <w:r w:rsidRPr="000B4951">
        <w:rPr>
          <w:rFonts w:ascii="Arial" w:hAnsi="Arial" w:cs="Arial"/>
          <w:i/>
          <w:sz w:val="24"/>
          <w:szCs w:val="24"/>
          <w:lang w:val="en-US"/>
        </w:rPr>
        <w:t>is highlighted</w:t>
      </w:r>
      <w:proofErr w:type="gramEnd"/>
      <w:r w:rsidRPr="000B4951">
        <w:rPr>
          <w:rFonts w:ascii="Arial" w:hAnsi="Arial" w:cs="Arial"/>
          <w:i/>
          <w:sz w:val="24"/>
          <w:szCs w:val="24"/>
          <w:lang w:val="en-US"/>
        </w:rPr>
        <w:t>, stemming from the unnaturalness of technology, provider control, and heightened risks. We conclude that public authorities must play a vital role in regulating and controlling digital spaces to safeguard consumer information, maintain trust, and provide effective dispute resolution mechanisms.</w:t>
      </w:r>
    </w:p>
    <w:p w:rsidR="000B4951" w:rsidRPr="000B4951" w:rsidRDefault="000B4951" w:rsidP="000B4951">
      <w:pPr>
        <w:spacing w:line="360" w:lineRule="auto"/>
        <w:rPr>
          <w:rFonts w:ascii="Arial" w:hAnsi="Arial" w:cs="Arial"/>
          <w:b/>
          <w:sz w:val="24"/>
          <w:szCs w:val="24"/>
          <w:lang w:val="en-US"/>
        </w:rPr>
      </w:pPr>
    </w:p>
    <w:p w:rsidR="000B4951" w:rsidRPr="000B4951" w:rsidRDefault="000B4951" w:rsidP="000B4951">
      <w:pPr>
        <w:spacing w:line="360" w:lineRule="auto"/>
        <w:rPr>
          <w:rFonts w:ascii="Arial" w:hAnsi="Arial" w:cs="Arial"/>
          <w:sz w:val="24"/>
          <w:szCs w:val="24"/>
          <w:lang w:val="en-US"/>
        </w:rPr>
      </w:pPr>
      <w:r w:rsidRPr="000B4951">
        <w:rPr>
          <w:rFonts w:ascii="Arial" w:hAnsi="Arial" w:cs="Arial"/>
          <w:sz w:val="24"/>
          <w:szCs w:val="24"/>
          <w:lang w:val="en-US"/>
        </w:rPr>
        <w:t>Key words:</w:t>
      </w:r>
    </w:p>
    <w:p w:rsidR="000B4951" w:rsidRPr="000B4951" w:rsidRDefault="000B4951" w:rsidP="000B4951">
      <w:pPr>
        <w:spacing w:line="360" w:lineRule="auto"/>
        <w:rPr>
          <w:rFonts w:ascii="Arial" w:hAnsi="Arial" w:cs="Arial"/>
          <w:sz w:val="24"/>
          <w:szCs w:val="24"/>
          <w:lang w:val="en-US"/>
        </w:rPr>
      </w:pPr>
      <w:r w:rsidRPr="000B4951">
        <w:rPr>
          <w:rFonts w:ascii="Arial" w:hAnsi="Arial" w:cs="Arial"/>
          <w:sz w:val="24"/>
          <w:szCs w:val="24"/>
          <w:lang w:val="en-US"/>
        </w:rPr>
        <w:t>D</w:t>
      </w:r>
      <w:r w:rsidRPr="000B4951">
        <w:rPr>
          <w:rFonts w:ascii="Arial" w:hAnsi="Arial" w:cs="Arial"/>
          <w:sz w:val="24"/>
          <w:szCs w:val="24"/>
          <w:lang w:val="en-US"/>
        </w:rPr>
        <w:t>igital environments</w:t>
      </w:r>
      <w:r w:rsidRPr="000B4951">
        <w:rPr>
          <w:rFonts w:ascii="Arial" w:hAnsi="Arial" w:cs="Arial"/>
          <w:sz w:val="24"/>
          <w:szCs w:val="24"/>
          <w:lang w:val="en-US"/>
        </w:rPr>
        <w:t xml:space="preserve">- </w:t>
      </w:r>
      <w:r w:rsidRPr="000B4951">
        <w:rPr>
          <w:rFonts w:ascii="Arial" w:hAnsi="Arial" w:cs="Arial"/>
          <w:sz w:val="24"/>
          <w:szCs w:val="24"/>
          <w:lang w:val="en-US"/>
        </w:rPr>
        <w:t>Consumer protection</w:t>
      </w:r>
      <w:r w:rsidRPr="000B4951">
        <w:rPr>
          <w:rFonts w:ascii="Arial" w:hAnsi="Arial" w:cs="Arial"/>
          <w:sz w:val="24"/>
          <w:szCs w:val="24"/>
          <w:lang w:val="en-US"/>
        </w:rPr>
        <w:t>-Platforms-</w:t>
      </w:r>
      <w:proofErr w:type="spellStart"/>
      <w:r w:rsidRPr="000B4951">
        <w:rPr>
          <w:rFonts w:ascii="Arial" w:hAnsi="Arial" w:cs="Arial"/>
          <w:sz w:val="24"/>
          <w:szCs w:val="24"/>
          <w:lang w:val="en-US"/>
        </w:rPr>
        <w:t>Hypervulnerability</w:t>
      </w:r>
      <w:proofErr w:type="spellEnd"/>
    </w:p>
    <w:p w:rsidR="000B4951" w:rsidRPr="000B4951" w:rsidRDefault="000B4951" w:rsidP="000B4951">
      <w:pPr>
        <w:spacing w:line="360" w:lineRule="auto"/>
        <w:rPr>
          <w:rFonts w:ascii="Arial" w:hAnsi="Arial" w:cs="Arial"/>
          <w:b/>
          <w:sz w:val="24"/>
          <w:szCs w:val="24"/>
          <w:lang w:val="en-US"/>
        </w:rPr>
      </w:pPr>
    </w:p>
    <w:p w:rsidR="00C7123D" w:rsidRPr="000B4951" w:rsidRDefault="00C7123D" w:rsidP="000B4951">
      <w:pPr>
        <w:pStyle w:val="Prrafodelista"/>
        <w:numPr>
          <w:ilvl w:val="0"/>
          <w:numId w:val="1"/>
        </w:numPr>
        <w:spacing w:line="360" w:lineRule="auto"/>
        <w:jc w:val="both"/>
        <w:rPr>
          <w:rFonts w:ascii="Arial" w:hAnsi="Arial" w:cs="Arial"/>
          <w:b/>
          <w:sz w:val="24"/>
          <w:szCs w:val="24"/>
        </w:rPr>
      </w:pPr>
      <w:proofErr w:type="spellStart"/>
      <w:r w:rsidRPr="000B4951">
        <w:rPr>
          <w:rFonts w:ascii="Arial" w:hAnsi="Arial" w:cs="Arial"/>
          <w:b/>
          <w:sz w:val="24"/>
          <w:szCs w:val="24"/>
        </w:rPr>
        <w:t>Introduction</w:t>
      </w:r>
      <w:proofErr w:type="spellEnd"/>
      <w:r w:rsidRPr="000B4951">
        <w:rPr>
          <w:rFonts w:ascii="Arial" w:hAnsi="Arial" w:cs="Arial"/>
          <w:b/>
          <w:sz w:val="24"/>
          <w:szCs w:val="24"/>
        </w:rPr>
        <w:t>.</w:t>
      </w:r>
    </w:p>
    <w:p w:rsidR="00C7123D" w:rsidRPr="000B4951" w:rsidRDefault="00C7123D" w:rsidP="000B4951">
      <w:pPr>
        <w:pStyle w:val="Prrafodelista"/>
        <w:spacing w:line="360" w:lineRule="auto"/>
        <w:ind w:left="1080"/>
        <w:jc w:val="both"/>
        <w:rPr>
          <w:rFonts w:ascii="Arial" w:hAnsi="Arial" w:cs="Arial"/>
          <w:b/>
          <w:sz w:val="24"/>
          <w:szCs w:val="24"/>
        </w:rPr>
      </w:pP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legal protection of consumers finds its foundation in the social sphere, particularly in the challenges posed by the so-called "consumer society," and in the economic sphere through the identification of "market failures." The law recognizes the structural vulnerability of consumers in the market in their relationships with providers of goods and services, establishing a series of rules, principles, and institutions to protect them. This structural vulnerability </w:t>
      </w:r>
      <w:proofErr w:type="gramStart"/>
      <w:r w:rsidRPr="000B4951">
        <w:rPr>
          <w:rFonts w:ascii="Arial" w:hAnsi="Arial" w:cs="Arial"/>
          <w:sz w:val="24"/>
          <w:szCs w:val="24"/>
          <w:lang w:val="en-US"/>
        </w:rPr>
        <w:t>is particularly exacerbated</w:t>
      </w:r>
      <w:proofErr w:type="gramEnd"/>
      <w:r w:rsidRPr="000B4951">
        <w:rPr>
          <w:rFonts w:ascii="Arial" w:hAnsi="Arial" w:cs="Arial"/>
          <w:sz w:val="24"/>
          <w:szCs w:val="24"/>
          <w:lang w:val="en-US"/>
        </w:rPr>
        <w:t xml:space="preserve"> by the impact of information and communication technologies (ICTs) on the market, especially through the development of the internet.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In this paper, we aim to outline some reflections on the legal protection of consumers in the digital environment from the perspective of Argentine law.</w:t>
      </w:r>
    </w:p>
    <w:p w:rsidR="00C7123D" w:rsidRPr="000B4951" w:rsidRDefault="00C7123D" w:rsidP="000B4951">
      <w:pPr>
        <w:spacing w:line="360" w:lineRule="auto"/>
        <w:jc w:val="both"/>
        <w:rPr>
          <w:rFonts w:ascii="Arial" w:hAnsi="Arial" w:cs="Arial"/>
          <w:b/>
          <w:sz w:val="24"/>
          <w:szCs w:val="24"/>
          <w:lang w:val="en-US"/>
        </w:rPr>
      </w:pPr>
      <w:r w:rsidRPr="000B4951">
        <w:rPr>
          <w:rFonts w:ascii="Arial" w:hAnsi="Arial" w:cs="Arial"/>
          <w:b/>
          <w:sz w:val="24"/>
          <w:szCs w:val="24"/>
          <w:lang w:val="en-US"/>
        </w:rPr>
        <w:t>II. The Impact of the Internet on Contemporary Societies.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its origins, during the post-World War II period, the internet </w:t>
      </w:r>
      <w:proofErr w:type="gramStart"/>
      <w:r w:rsidRPr="000B4951">
        <w:rPr>
          <w:rFonts w:ascii="Arial" w:hAnsi="Arial" w:cs="Arial"/>
          <w:sz w:val="24"/>
          <w:szCs w:val="24"/>
          <w:lang w:val="en-US"/>
        </w:rPr>
        <w:t>was developed</w:t>
      </w:r>
      <w:proofErr w:type="gramEnd"/>
      <w:r w:rsidRPr="000B4951">
        <w:rPr>
          <w:rFonts w:ascii="Arial" w:hAnsi="Arial" w:cs="Arial"/>
          <w:sz w:val="24"/>
          <w:szCs w:val="24"/>
          <w:lang w:val="en-US"/>
        </w:rPr>
        <w:t xml:space="preserve"> for military and academic purposes. In 1993, the U.S. government ceased to administer the network, lifting the prohibition on the commercial use of the internet. That same year, the public domain of the network allowed for the exponential growth of its users year after year. Initially, the internet had a clear purpose: it </w:t>
      </w:r>
      <w:proofErr w:type="gramStart"/>
      <w:r w:rsidRPr="000B4951">
        <w:rPr>
          <w:rFonts w:ascii="Arial" w:hAnsi="Arial" w:cs="Arial"/>
          <w:sz w:val="24"/>
          <w:szCs w:val="24"/>
          <w:lang w:val="en-US"/>
        </w:rPr>
        <w:t>was used</w:t>
      </w:r>
      <w:proofErr w:type="gramEnd"/>
      <w:r w:rsidRPr="000B4951">
        <w:rPr>
          <w:rFonts w:ascii="Arial" w:hAnsi="Arial" w:cs="Arial"/>
          <w:sz w:val="24"/>
          <w:szCs w:val="24"/>
          <w:lang w:val="en-US"/>
        </w:rPr>
        <w:t xml:space="preserve"> for information searches, as well as for email and electronic messaging services. Over time, technological developments have diversified its uses in all areas: governmental, labor, political, commercial, health, academic, productive, educational, scientific, religious, journalistic, philanthropic, and entertainment.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This diversification </w:t>
      </w:r>
      <w:proofErr w:type="gramStart"/>
      <w:r w:rsidRPr="000B4951">
        <w:rPr>
          <w:rFonts w:ascii="Arial" w:hAnsi="Arial" w:cs="Arial"/>
          <w:sz w:val="24"/>
          <w:szCs w:val="24"/>
          <w:lang w:val="en-US"/>
        </w:rPr>
        <w:t>has been further enhanced</w:t>
      </w:r>
      <w:proofErr w:type="gramEnd"/>
      <w:r w:rsidRPr="000B4951">
        <w:rPr>
          <w:rFonts w:ascii="Arial" w:hAnsi="Arial" w:cs="Arial"/>
          <w:sz w:val="24"/>
          <w:szCs w:val="24"/>
          <w:lang w:val="en-US"/>
        </w:rPr>
        <w:t xml:space="preserve"> by the development of technologies such as mobile telephony, robotics, big data, smart contracts, </w:t>
      </w:r>
      <w:proofErr w:type="spellStart"/>
      <w:r w:rsidRPr="000B4951">
        <w:rPr>
          <w:rFonts w:ascii="Arial" w:hAnsi="Arial" w:cs="Arial"/>
          <w:sz w:val="24"/>
          <w:szCs w:val="24"/>
          <w:lang w:val="en-US"/>
        </w:rPr>
        <w:t>blockchain</w:t>
      </w:r>
      <w:proofErr w:type="spellEnd"/>
      <w:r w:rsidRPr="000B4951">
        <w:rPr>
          <w:rFonts w:ascii="Arial" w:hAnsi="Arial" w:cs="Arial"/>
          <w:sz w:val="24"/>
          <w:szCs w:val="24"/>
          <w:lang w:val="en-US"/>
        </w:rPr>
        <w:t>, the Internet of Things (</w:t>
      </w:r>
      <w:proofErr w:type="spellStart"/>
      <w:r w:rsidRPr="000B4951">
        <w:rPr>
          <w:rFonts w:ascii="Arial" w:hAnsi="Arial" w:cs="Arial"/>
          <w:sz w:val="24"/>
          <w:szCs w:val="24"/>
          <w:lang w:val="en-US"/>
        </w:rPr>
        <w:t>IoT</w:t>
      </w:r>
      <w:proofErr w:type="spellEnd"/>
      <w:r w:rsidRPr="000B4951">
        <w:rPr>
          <w:rFonts w:ascii="Arial" w:hAnsi="Arial" w:cs="Arial"/>
          <w:sz w:val="24"/>
          <w:szCs w:val="24"/>
          <w:lang w:val="en-US"/>
        </w:rPr>
        <w:t xml:space="preserve">), and artificial intelligence (AI). According to 2024 reports, 57% of the world's population has access to the internet, 52% use mobile phones with internet access, 46% use social media, and 37% have made e-commerce transactions. Furthermore, among internet users, 93% watch videos online, 70% use </w:t>
      </w:r>
      <w:r w:rsidRPr="000B4951">
        <w:rPr>
          <w:rFonts w:ascii="Arial" w:hAnsi="Arial" w:cs="Arial"/>
          <w:sz w:val="24"/>
          <w:szCs w:val="24"/>
          <w:lang w:val="en-US"/>
        </w:rPr>
        <w:lastRenderedPageBreak/>
        <w:t>music streaming services, 58% consume television content via streaming, and 30% play online games.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In Argentina, according to data from the National Institute of Statistics and Censuses (INDEC), 22.3% of the Argentine population does not use the internet, a percentage that rises to 35.7% in the Greater San Juan region, 48.8% nationwide among those with only primary education, and 58.5% among those aged 65 and older. According to the 2018 Annual E-commerce Study by the Argentine Chamber of Electronic Commerce, 90% of connected Argentine adults have shopped online, representing 18.3 million people, with 92% of total sales conducted through credit cards.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E-commerce, compared to its traditional physical counterpart, has a set of intrinsic characteristics that make it highly attractive to consumers. E-commerce transcends geographical and temporal barriers, has a broad reach, allows for standardization and the exploitation of economies of scale, and offers richer communication, interactivity with consumers, and a corresponding reduction in information costs with an increase in the quality of available information. It also permits greater personalization and adaptation of goods and services, presents novel models of social interaction, and can generate a higher quality experience for consumers </w:t>
      </w:r>
      <w:proofErr w:type="gramStart"/>
      <w:r w:rsidRPr="000B4951">
        <w:rPr>
          <w:rFonts w:ascii="Arial" w:hAnsi="Arial" w:cs="Arial"/>
          <w:sz w:val="24"/>
          <w:szCs w:val="24"/>
          <w:lang w:val="en-US"/>
        </w:rPr>
        <w:t>through the use of</w:t>
      </w:r>
      <w:proofErr w:type="gramEnd"/>
      <w:r w:rsidRPr="000B4951">
        <w:rPr>
          <w:rFonts w:ascii="Arial" w:hAnsi="Arial" w:cs="Arial"/>
          <w:sz w:val="24"/>
          <w:szCs w:val="24"/>
          <w:lang w:val="en-US"/>
        </w:rPr>
        <w:t xml:space="preserve"> data processing technologies that optimize consumer satisfaction.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However, e-commerce also has its disadvantages. Many consumers have well-founded fears and uncertainties about conducting transactions through this medium, related to the inherent risks of its use. When technologies are used, they </w:t>
      </w:r>
      <w:proofErr w:type="gramStart"/>
      <w:r w:rsidRPr="000B4951">
        <w:rPr>
          <w:rFonts w:ascii="Arial" w:hAnsi="Arial" w:cs="Arial"/>
          <w:sz w:val="24"/>
          <w:szCs w:val="24"/>
          <w:lang w:val="en-US"/>
        </w:rPr>
        <w:t>must be used</w:t>
      </w:r>
      <w:proofErr w:type="gramEnd"/>
      <w:r w:rsidRPr="000B4951">
        <w:rPr>
          <w:rFonts w:ascii="Arial" w:hAnsi="Arial" w:cs="Arial"/>
          <w:sz w:val="24"/>
          <w:szCs w:val="24"/>
          <w:lang w:val="en-US"/>
        </w:rPr>
        <w:t xml:space="preserve"> safely, so that consumers are fully aware of the normal conditions for their use, know how to use them correctly, understand the risks to their safety, and know the preventive measures they should take.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Moreover, consumers may feel that their trust </w:t>
      </w:r>
      <w:proofErr w:type="gramStart"/>
      <w:r w:rsidRPr="000B4951">
        <w:rPr>
          <w:rFonts w:ascii="Arial" w:hAnsi="Arial" w:cs="Arial"/>
          <w:sz w:val="24"/>
          <w:szCs w:val="24"/>
          <w:lang w:val="en-US"/>
        </w:rPr>
        <w:t>is compromised</w:t>
      </w:r>
      <w:proofErr w:type="gramEnd"/>
      <w:r w:rsidRPr="000B4951">
        <w:rPr>
          <w:rFonts w:ascii="Arial" w:hAnsi="Arial" w:cs="Arial"/>
          <w:sz w:val="24"/>
          <w:szCs w:val="24"/>
          <w:lang w:val="en-US"/>
        </w:rPr>
        <w:t>. On one hand, e-commerce allows for a certain degree of anonymity; on the other hand, there are concerns about the protection, privacy, and security of their data, and the possible processing of that data by providers, which requires adequate compliance by providers with their duty of information and security.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 xml:space="preserve">In </w:t>
      </w:r>
      <w:proofErr w:type="gramStart"/>
      <w:r w:rsidRPr="000B4951">
        <w:rPr>
          <w:rFonts w:ascii="Arial" w:hAnsi="Arial" w:cs="Arial"/>
          <w:sz w:val="24"/>
          <w:szCs w:val="24"/>
          <w:lang w:val="en-US"/>
        </w:rPr>
        <w:t>general</w:t>
      </w:r>
      <w:proofErr w:type="gramEnd"/>
      <w:r w:rsidRPr="000B4951">
        <w:rPr>
          <w:rFonts w:ascii="Arial" w:hAnsi="Arial" w:cs="Arial"/>
          <w:sz w:val="24"/>
          <w:szCs w:val="24"/>
          <w:lang w:val="en-US"/>
        </w:rPr>
        <w:t xml:space="preserve"> terms, consumers perceive a degree of </w:t>
      </w:r>
      <w:proofErr w:type="spellStart"/>
      <w:r w:rsidRPr="000B4951">
        <w:rPr>
          <w:rFonts w:ascii="Arial" w:hAnsi="Arial" w:cs="Arial"/>
          <w:sz w:val="24"/>
          <w:szCs w:val="24"/>
          <w:lang w:val="en-US"/>
        </w:rPr>
        <w:t>unprotection</w:t>
      </w:r>
      <w:proofErr w:type="spellEnd"/>
      <w:r w:rsidRPr="000B4951">
        <w:rPr>
          <w:rFonts w:ascii="Arial" w:hAnsi="Arial" w:cs="Arial"/>
          <w:sz w:val="24"/>
          <w:szCs w:val="24"/>
          <w:lang w:val="en-US"/>
        </w:rPr>
        <w:t xml:space="preserve"> that traditional physical commerce does not inspire. This perception, combined with the normative conflicts that the internet faces, the entrenchment of commercial customs, the fallacy of the anomie or self-regulation of this area, and the multiplicity of doctrinal opinions on the responsibility and efficient protection of consumers, places consumers in a legally insecure and risky environment.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As can be observed, these impacts are highly significant, which is why we believe that specific protection in the context of consumer relations </w:t>
      </w:r>
      <w:proofErr w:type="gramStart"/>
      <w:r w:rsidRPr="000B4951">
        <w:rPr>
          <w:rFonts w:ascii="Arial" w:hAnsi="Arial" w:cs="Arial"/>
          <w:sz w:val="24"/>
          <w:szCs w:val="24"/>
          <w:lang w:val="en-US"/>
        </w:rPr>
        <w:t>is warranted</w:t>
      </w:r>
      <w:proofErr w:type="gramEnd"/>
      <w:r w:rsidRPr="000B4951">
        <w:rPr>
          <w:rFonts w:ascii="Arial" w:hAnsi="Arial" w:cs="Arial"/>
          <w:sz w:val="24"/>
          <w:szCs w:val="24"/>
          <w:lang w:val="en-US"/>
        </w:rPr>
        <w:t>.</w:t>
      </w:r>
    </w:p>
    <w:p w:rsidR="00C7123D" w:rsidRPr="000B4951" w:rsidRDefault="00C7123D" w:rsidP="000B4951">
      <w:pPr>
        <w:spacing w:line="360" w:lineRule="auto"/>
        <w:jc w:val="both"/>
        <w:rPr>
          <w:rFonts w:ascii="Arial" w:hAnsi="Arial" w:cs="Arial"/>
          <w:sz w:val="24"/>
          <w:szCs w:val="24"/>
          <w:lang w:val="en-US"/>
        </w:rPr>
      </w:pPr>
    </w:p>
    <w:p w:rsidR="00C7123D" w:rsidRPr="000B4951" w:rsidRDefault="00C7123D" w:rsidP="000B4951">
      <w:pPr>
        <w:spacing w:line="360" w:lineRule="auto"/>
        <w:jc w:val="both"/>
        <w:rPr>
          <w:rFonts w:ascii="Arial" w:hAnsi="Arial" w:cs="Arial"/>
          <w:b/>
          <w:sz w:val="24"/>
          <w:szCs w:val="24"/>
          <w:lang w:val="en-US"/>
        </w:rPr>
      </w:pPr>
      <w:r w:rsidRPr="000B4951">
        <w:rPr>
          <w:rFonts w:ascii="Arial" w:hAnsi="Arial" w:cs="Arial"/>
          <w:b/>
          <w:sz w:val="24"/>
          <w:szCs w:val="24"/>
          <w:lang w:val="en-US"/>
        </w:rPr>
        <w:t>III. Digital Consumer Relationships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It is now necessary to define what we understand by consumer relationships in the digital environment. At the national level, there are no normative definitions in this regard. </w:t>
      </w:r>
      <w:r w:rsidR="000B4951">
        <w:rPr>
          <w:rFonts w:ascii="Arial" w:hAnsi="Arial" w:cs="Arial"/>
          <w:sz w:val="24"/>
          <w:szCs w:val="24"/>
          <w:lang w:val="en-US"/>
        </w:rPr>
        <w:t>Act N</w:t>
      </w:r>
      <w:r w:rsidRPr="000B4951">
        <w:rPr>
          <w:rFonts w:ascii="Arial" w:hAnsi="Arial" w:cs="Arial"/>
          <w:sz w:val="24"/>
          <w:szCs w:val="24"/>
          <w:lang w:val="en-US"/>
        </w:rPr>
        <w:t>o. 25.326 on the Protection of Personal Data, in its Paragraph 27, only refers to profiles for commercial or advertising purposes (profiling).</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In the Autonomous City of Buenos Aires, Act No. 6.072 for the dissemination and utilization of digital tools defines the digital environment as "the set of digital tools in which individuals develop communication, manage, and exchange information, content, and activities," and digital tools as "the channels, devices, platforms, and integrated </w:t>
      </w:r>
      <w:proofErr w:type="spellStart"/>
      <w:r w:rsidRPr="000B4951">
        <w:rPr>
          <w:rFonts w:ascii="Arial" w:hAnsi="Arial" w:cs="Arial"/>
          <w:sz w:val="24"/>
          <w:szCs w:val="24"/>
          <w:lang w:val="en-US"/>
        </w:rPr>
        <w:t>telematic</w:t>
      </w:r>
      <w:proofErr w:type="spellEnd"/>
      <w:r w:rsidRPr="000B4951">
        <w:rPr>
          <w:rFonts w:ascii="Arial" w:hAnsi="Arial" w:cs="Arial"/>
          <w:sz w:val="24"/>
          <w:szCs w:val="24"/>
          <w:lang w:val="en-US"/>
        </w:rPr>
        <w:t xml:space="preserve"> tools that individuals and organizations can use to communicate, manage, and exchange information, content, and activities."</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Doctrine holds that the term "e-commerce" refers to the vast array of activities with commercial purposes carried out </w:t>
      </w:r>
      <w:proofErr w:type="gramStart"/>
      <w:r w:rsidRPr="000B4951">
        <w:rPr>
          <w:rFonts w:ascii="Arial" w:hAnsi="Arial" w:cs="Arial"/>
          <w:sz w:val="24"/>
          <w:szCs w:val="24"/>
          <w:lang w:val="en-US"/>
        </w:rPr>
        <w:t>through the use of</w:t>
      </w:r>
      <w:proofErr w:type="gramEnd"/>
      <w:r w:rsidRPr="000B4951">
        <w:rPr>
          <w:rFonts w:ascii="Arial" w:hAnsi="Arial" w:cs="Arial"/>
          <w:sz w:val="24"/>
          <w:szCs w:val="24"/>
          <w:lang w:val="en-US"/>
        </w:rPr>
        <w:t xml:space="preserve"> data processing and communication systems without direct physical contact between the provider of a good or service and the consumer. This term covers not only direct commercial transactions, such as sales or rentals, but also preparatory or related actions such as advertising or marketing.</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Comparative Law, the European Community Directive No. 1998/34 defines in paragraph 2 of Paragraph 1 services of the information society as "any service normally provided for remuneration, at a distance, by electronic means, and at the </w:t>
      </w:r>
      <w:r w:rsidRPr="000B4951">
        <w:rPr>
          <w:rFonts w:ascii="Arial" w:hAnsi="Arial" w:cs="Arial"/>
          <w:sz w:val="24"/>
          <w:szCs w:val="24"/>
          <w:lang w:val="en-US"/>
        </w:rPr>
        <w:lastRenderedPageBreak/>
        <w:t xml:space="preserve">individual request of a recipient of services." </w:t>
      </w:r>
      <w:proofErr w:type="gramStart"/>
      <w:r w:rsidRPr="000B4951">
        <w:rPr>
          <w:rFonts w:ascii="Arial" w:hAnsi="Arial" w:cs="Arial"/>
          <w:sz w:val="24"/>
          <w:szCs w:val="24"/>
          <w:lang w:val="en-US"/>
        </w:rPr>
        <w:t>Directive EU No. 2019/770, concerning certain aspects of contracts for the supply of digital content and services, defines in Paragraph 2 "digital content" as "data produced and supplied in digital form"; "digital service" as "a service that allows the consumer to create, process, store, or consult data in digital form, or a service that allows sharing data in digital form uploaded or created by the consumer or other users of that service, or interact in any other way with such data"; "goods with digital elements" as "any tangible movable item that incorporates digital content or services or is interconnected with them in such a way that the absence of such content or services would prevent the goods from performing their functions"; and "digital environment" as "the hardware, software, and any network connection that the consumer uses to access or use the digital content or services."</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Paragraph L. 111-7 of the French Consumer Code states: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"An online platform operator is any natural or legal person who offers, in a professional manner, for remuneration or not, a public online communication service based 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The classification or reference, using computer algorithms, of content, goods, or services offered or posted online by third parties</w:t>
      </w:r>
      <w:proofErr w:type="gramStart"/>
      <w:r w:rsidRPr="000B4951">
        <w:rPr>
          <w:rFonts w:ascii="Arial" w:hAnsi="Arial" w:cs="Arial"/>
          <w:sz w:val="24"/>
          <w:szCs w:val="24"/>
          <w:lang w:val="en-US"/>
        </w:rPr>
        <w:t>;</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Bringing together several parties for the sale of a property, the provision of a service, or the exchange of content, goods, or services.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Any online platform operator must provide the consumer with fair, clear, and transparent information regarding:</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The terms and general conditions of use of the intermediation service offered and the procedures for referencing, classifying, and dereferencing the content, goods, or services to which this service provides access;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The existence of a contractual relationship, a capital link, or remuneration for its benefit, whenever they influence the classification or referencing of the contents, goods, or services offered or posted online;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The quality of the advertiser and the rights and obligations of the parties in civil and tax matters when consumers contact professionals or non-professionals.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 decree will specify the conditions for the application of this Paragraph, taking into account the nature of the online platform operators' activity. </w:t>
      </w:r>
      <w:proofErr w:type="gramStart"/>
      <w:r w:rsidRPr="000B4951">
        <w:rPr>
          <w:rFonts w:ascii="Arial" w:hAnsi="Arial" w:cs="Arial"/>
          <w:sz w:val="24"/>
          <w:szCs w:val="24"/>
          <w:lang w:val="en-US"/>
        </w:rPr>
        <w:t>Additionally, this decree will specify for any online platform operator whose activity consists of providing information that allows for the comparison of prices and characteristics of goods and services offered by professionals, the information communicated to consumers regarding the elements of this comparison and what constitutes advertising as defined in Paragraph 20 of Act No. 2004-575, of June 21, 2004, on confidence in the digital economy.</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This decree will also establish the conditions under which, when professionals, sellers, or service providers contact consumers, the online platform operator provides them with a space allowing them to communicate the information provided in Paragraphs L. 221-5 and L. 221-6."</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Digital environments, therefore, are the set of channels, platforms, and tools that providers of goods and services use to have an online presence and carry out their activities, whether these are their own (websites, emails, applications, online stores, blogs, landing pages, etc.) or third-party (social media, digital advertising, influencers, viral content, search engine marketing, etc.).</w:t>
      </w:r>
    </w:p>
    <w:p w:rsidR="00295C33"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Such digital consumer relationships, like all consumer relationships, will have two poles: consumers and providers.</w:t>
      </w:r>
    </w:p>
    <w:p w:rsidR="00C7123D" w:rsidRPr="000B4951" w:rsidRDefault="00C7123D" w:rsidP="000B4951">
      <w:pPr>
        <w:spacing w:line="360" w:lineRule="auto"/>
        <w:jc w:val="both"/>
        <w:rPr>
          <w:rFonts w:ascii="Arial" w:hAnsi="Arial" w:cs="Arial"/>
          <w:b/>
          <w:sz w:val="24"/>
          <w:szCs w:val="24"/>
          <w:lang w:val="en-US"/>
        </w:rPr>
      </w:pPr>
      <w:r w:rsidRPr="000B4951">
        <w:rPr>
          <w:rFonts w:ascii="Arial" w:hAnsi="Arial" w:cs="Arial"/>
          <w:b/>
          <w:sz w:val="24"/>
          <w:szCs w:val="24"/>
          <w:lang w:val="en-US"/>
        </w:rPr>
        <w:t xml:space="preserve">IV. </w:t>
      </w:r>
      <w:proofErr w:type="gramStart"/>
      <w:r w:rsidRPr="000B4951">
        <w:rPr>
          <w:rFonts w:ascii="Arial" w:hAnsi="Arial" w:cs="Arial"/>
          <w:b/>
          <w:sz w:val="24"/>
          <w:szCs w:val="24"/>
          <w:lang w:val="en-US"/>
        </w:rPr>
        <w:t>Towards</w:t>
      </w:r>
      <w:proofErr w:type="gramEnd"/>
      <w:r w:rsidRPr="000B4951">
        <w:rPr>
          <w:rFonts w:ascii="Arial" w:hAnsi="Arial" w:cs="Arial"/>
          <w:b/>
          <w:sz w:val="24"/>
          <w:szCs w:val="24"/>
          <w:lang w:val="en-US"/>
        </w:rPr>
        <w:t xml:space="preserve"> the Characterization of the Digital Consumer</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term "digital consumer," "electronic consumer," "cyber-consumer," or "e-consumer" refers to a consumer who acquires or uses goods or services via the internet, whether the provision is digital or not, or who is the target of commercial practices conducted online. It is important to clarify, even if it seems obvious, that for an individual to </w:t>
      </w:r>
      <w:proofErr w:type="gramStart"/>
      <w:r w:rsidRPr="000B4951">
        <w:rPr>
          <w:rFonts w:ascii="Arial" w:hAnsi="Arial" w:cs="Arial"/>
          <w:sz w:val="24"/>
          <w:szCs w:val="24"/>
          <w:lang w:val="en-US"/>
        </w:rPr>
        <w:t>be classified</w:t>
      </w:r>
      <w:proofErr w:type="gramEnd"/>
      <w:r w:rsidRPr="000B4951">
        <w:rPr>
          <w:rFonts w:ascii="Arial" w:hAnsi="Arial" w:cs="Arial"/>
          <w:sz w:val="24"/>
          <w:szCs w:val="24"/>
          <w:lang w:val="en-US"/>
        </w:rPr>
        <w:t xml:space="preserve"> as a digital consumer, they must meet the legal criteria established for a consumer, in accordance with Paragraph 1 of </w:t>
      </w:r>
      <w:r w:rsidR="000B4951">
        <w:rPr>
          <w:rFonts w:ascii="Arial" w:hAnsi="Arial" w:cs="Arial"/>
          <w:sz w:val="24"/>
          <w:szCs w:val="24"/>
          <w:lang w:val="en-US"/>
        </w:rPr>
        <w:t>Act N</w:t>
      </w:r>
      <w:r w:rsidRPr="000B4951">
        <w:rPr>
          <w:rFonts w:ascii="Arial" w:hAnsi="Arial" w:cs="Arial"/>
          <w:sz w:val="24"/>
          <w:szCs w:val="24"/>
          <w:lang w:val="en-US"/>
        </w:rPr>
        <w:t xml:space="preserve">o. 24.240 on Consumer Protection (LDC) and Paragraphs 1092, 1093, and 1096 of the Civil and </w:t>
      </w:r>
      <w:r w:rsidRPr="000B4951">
        <w:rPr>
          <w:rFonts w:ascii="Arial" w:hAnsi="Arial" w:cs="Arial"/>
          <w:sz w:val="24"/>
          <w:szCs w:val="24"/>
          <w:lang w:val="en-US"/>
        </w:rPr>
        <w:lastRenderedPageBreak/>
        <w:t xml:space="preserve">Commercial Code (CCCN). This means that the goods or services they acquire, use, or enjoy, </w:t>
      </w:r>
      <w:proofErr w:type="gramStart"/>
      <w:r w:rsidRPr="000B4951">
        <w:rPr>
          <w:rFonts w:ascii="Arial" w:hAnsi="Arial" w:cs="Arial"/>
          <w:sz w:val="24"/>
          <w:szCs w:val="24"/>
          <w:lang w:val="en-US"/>
        </w:rPr>
        <w:t>either directly</w:t>
      </w:r>
      <w:proofErr w:type="gramEnd"/>
      <w:r w:rsidRPr="000B4951">
        <w:rPr>
          <w:rFonts w:ascii="Arial" w:hAnsi="Arial" w:cs="Arial"/>
          <w:sz w:val="24"/>
          <w:szCs w:val="24"/>
          <w:lang w:val="en-US"/>
        </w:rPr>
        <w:t xml:space="preserve"> or indirectly, must be for private use and as the final recipient. </w:t>
      </w:r>
      <w:proofErr w:type="gramStart"/>
      <w:r w:rsidRPr="000B4951">
        <w:rPr>
          <w:rFonts w:ascii="Arial" w:hAnsi="Arial" w:cs="Arial"/>
          <w:sz w:val="24"/>
          <w:szCs w:val="24"/>
          <w:lang w:val="en-US"/>
        </w:rPr>
        <w:t>It is important to remember that the concept of final recipient has a dual meaning: factual final destination (removal from the production chain) and economic final destination (not acquiring it for resale or professional use); therefore, if the item is a tool of production, its price would be included in the final price of the supplier who acquired it, and hence, there would be no "final destination."</w:t>
      </w:r>
      <w:proofErr w:type="gramEnd"/>
      <w:r w:rsidRPr="000B4951">
        <w:rPr>
          <w:rFonts w:ascii="Arial" w:hAnsi="Arial" w:cs="Arial"/>
          <w:sz w:val="24"/>
          <w:szCs w:val="24"/>
          <w:lang w:val="en-US"/>
        </w:rPr>
        <w:t xml:space="preserve"> The concept may also extend to individuals exposed to commercial practices in the digital environment.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Here we include transactions that are classified in the realm of e-commerce as B2C (business-to-consumer), but we will also consider C2C (consumer-to-consumer) operations, excluding B2B (business-to-business) operations.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In line with the above, we can understand the notion of a digital consumer to encompass various situations, which may occur simultaneously or not: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Pre-contractual Phase Online: Situations where the "pre-contractual" phase occurs online, whether or not the consumer relationship </w:t>
      </w:r>
      <w:proofErr w:type="gramStart"/>
      <w:r w:rsidRPr="000B4951">
        <w:rPr>
          <w:rFonts w:ascii="Arial" w:hAnsi="Arial" w:cs="Arial"/>
          <w:sz w:val="24"/>
          <w:szCs w:val="24"/>
          <w:lang w:val="en-US"/>
        </w:rPr>
        <w:t>is ultimately finalized</w:t>
      </w:r>
      <w:proofErr w:type="gramEnd"/>
      <w:r w:rsidRPr="000B4951">
        <w:rPr>
          <w:rFonts w:ascii="Arial" w:hAnsi="Arial" w:cs="Arial"/>
          <w:sz w:val="24"/>
          <w:szCs w:val="24"/>
          <w:lang w:val="en-US"/>
        </w:rPr>
        <w:t xml:space="preserve"> online. This includes various online commercial practices, such as information on websites and applications, mass or personalized email offers (spamming), electronic coupon systems, digital advertising via social media, reviews or the use of influencers, and pop-up windows, among others.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Online Contractual Consent: Situations where contractual consent is given online, usually through a platform or application, regardless of whether the goods or services are digital.</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Digital Goods or Services: Transactions where the provisions are digital goods or services, such as search engines (Google, Yahoo), email services (Gmail, Yahoo, Outlook), antivirus software, file downloads, video calls (Skype), instant messaging (WhatsApp), social networks (Facebook, Twitter, Instagram, Snapchat, LinkedIn), online dating applications (Tinder, </w:t>
      </w:r>
      <w:proofErr w:type="spellStart"/>
      <w:r w:rsidRPr="000B4951">
        <w:rPr>
          <w:rFonts w:ascii="Arial" w:hAnsi="Arial" w:cs="Arial"/>
          <w:sz w:val="24"/>
          <w:szCs w:val="24"/>
          <w:lang w:val="en-US"/>
        </w:rPr>
        <w:t>Happn</w:t>
      </w:r>
      <w:proofErr w:type="spellEnd"/>
      <w:r w:rsidRPr="000B4951">
        <w:rPr>
          <w:rFonts w:ascii="Arial" w:hAnsi="Arial" w:cs="Arial"/>
          <w:sz w:val="24"/>
          <w:szCs w:val="24"/>
          <w:lang w:val="en-US"/>
        </w:rPr>
        <w:t xml:space="preserve">, Grindr, </w:t>
      </w:r>
      <w:proofErr w:type="spellStart"/>
      <w:r w:rsidRPr="000B4951">
        <w:rPr>
          <w:rFonts w:ascii="Arial" w:hAnsi="Arial" w:cs="Arial"/>
          <w:sz w:val="24"/>
          <w:szCs w:val="24"/>
          <w:lang w:val="en-US"/>
        </w:rPr>
        <w:t>Badoo</w:t>
      </w:r>
      <w:proofErr w:type="spellEnd"/>
      <w:r w:rsidRPr="000B4951">
        <w:rPr>
          <w:rFonts w:ascii="Arial" w:hAnsi="Arial" w:cs="Arial"/>
          <w:sz w:val="24"/>
          <w:szCs w:val="24"/>
          <w:lang w:val="en-US"/>
        </w:rPr>
        <w:t xml:space="preserve">), online games, e-sports, cloud services, and file storage and transfer services (iTunes, Dropbox, Google Drive), electronic payment services or "e-wallets" (Mercado Pago), maps and GPS </w:t>
      </w:r>
      <w:r w:rsidRPr="000B4951">
        <w:rPr>
          <w:rFonts w:ascii="Arial" w:hAnsi="Arial" w:cs="Arial"/>
          <w:sz w:val="24"/>
          <w:szCs w:val="24"/>
          <w:lang w:val="en-US"/>
        </w:rPr>
        <w:lastRenderedPageBreak/>
        <w:t>systems, home banking, cryptocurrencies, audiovisual content (YouTube), streaming music (Spotify), or audiovisual content (Netflix), and more.</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Goods with Digital Content: Transactions where the provisions are goods with digital content, such as hardware (computers, mobile phones, tablets, etc.), the "Internet of Things" (smartwatches, refrigerators, TVs, etc.), or software.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Contract Circumstances Online: Situations where aspects of the contract, other than the main provision, </w:t>
      </w:r>
      <w:proofErr w:type="gramStart"/>
      <w:r w:rsidRPr="000B4951">
        <w:rPr>
          <w:rFonts w:ascii="Arial" w:hAnsi="Arial" w:cs="Arial"/>
          <w:sz w:val="24"/>
          <w:szCs w:val="24"/>
          <w:lang w:val="en-US"/>
        </w:rPr>
        <w:t>are handled</w:t>
      </w:r>
      <w:proofErr w:type="gramEnd"/>
      <w:r w:rsidRPr="000B4951">
        <w:rPr>
          <w:rFonts w:ascii="Arial" w:hAnsi="Arial" w:cs="Arial"/>
          <w:sz w:val="24"/>
          <w:szCs w:val="24"/>
          <w:lang w:val="en-US"/>
        </w:rPr>
        <w:t xml:space="preserve"> online, such as online information queries, online customer service, digital invoices and summaries, or Wi-Fi provision in commercial establishments.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Internet or Communication Services: Contracts that provide internet access or communication services with internet access (cable, internet, landline or mobile phone providers, Wi-Fi networks, etc.).</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Post-Contractual Phase Online: Situations where the "post-contractual" phase occurs online, such as warranty services, after-sales service, online debt collection practices, or data management and databases.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Exposure to Illicit Online Practices: Situations where an individual is exposed to illicit commercial practices online without having a contractual relationship with the provider; for example, violations of personal rights or copyright on social networks.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These consumer relationships can be either "onerous" or "gratuitous" in appearance. </w:t>
      </w:r>
      <w:proofErr w:type="gramStart"/>
      <w:r w:rsidRPr="000B4951">
        <w:rPr>
          <w:rFonts w:ascii="Arial" w:hAnsi="Arial" w:cs="Arial"/>
          <w:sz w:val="24"/>
          <w:szCs w:val="24"/>
          <w:lang w:val="en-US"/>
        </w:rPr>
        <w:t xml:space="preserve">Onerousness is present not only when the consumer must pay the provider for the goods or services through a one-time payment or regular financial payments but also when the consumer must perform an act or refrain from doing something to obtain a good or service: for example, submitting coupons, completing forms or surveys, participating in a competition, contest, or event, refraining from making claims or disclosing information, and, most importantly, providing or allowing access to personal data, a highly </w:t>
      </w:r>
      <w:proofErr w:type="spellStart"/>
      <w:r w:rsidRPr="000B4951">
        <w:rPr>
          <w:rFonts w:ascii="Arial" w:hAnsi="Arial" w:cs="Arial"/>
          <w:sz w:val="24"/>
          <w:szCs w:val="24"/>
          <w:lang w:val="en-US"/>
        </w:rPr>
        <w:t>monetizable</w:t>
      </w:r>
      <w:proofErr w:type="spellEnd"/>
      <w:r w:rsidRPr="000B4951">
        <w:rPr>
          <w:rFonts w:ascii="Arial" w:hAnsi="Arial" w:cs="Arial"/>
          <w:sz w:val="24"/>
          <w:szCs w:val="24"/>
          <w:lang w:val="en-US"/>
        </w:rPr>
        <w:t xml:space="preserve"> asset in the market.</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Gratuitous acts can also be included as the subject of consumer relationships, albeit with certain characteristics, as detailed below. Classically, gratuitousness was associated with an act of beneficence, i.e., favoring, supporting, helping, assisting, </w:t>
      </w:r>
      <w:r w:rsidRPr="000B4951">
        <w:rPr>
          <w:rFonts w:ascii="Arial" w:hAnsi="Arial" w:cs="Arial"/>
          <w:sz w:val="24"/>
          <w:szCs w:val="24"/>
          <w:lang w:val="en-US"/>
        </w:rPr>
        <w:lastRenderedPageBreak/>
        <w:t xml:space="preserve">or granting something to the other party to the act without any cost. These situations </w:t>
      </w:r>
      <w:proofErr w:type="gramStart"/>
      <w:r w:rsidRPr="000B4951">
        <w:rPr>
          <w:rFonts w:ascii="Arial" w:hAnsi="Arial" w:cs="Arial"/>
          <w:sz w:val="24"/>
          <w:szCs w:val="24"/>
          <w:lang w:val="en-US"/>
        </w:rPr>
        <w:t>are excluded</w:t>
      </w:r>
      <w:proofErr w:type="gramEnd"/>
      <w:r w:rsidRPr="000B4951">
        <w:rPr>
          <w:rFonts w:ascii="Arial" w:hAnsi="Arial" w:cs="Arial"/>
          <w:sz w:val="24"/>
          <w:szCs w:val="24"/>
          <w:lang w:val="en-US"/>
        </w:rPr>
        <w:t xml:space="preserve"> from the scope of consumer relationships and constitute "beneficence relationships." </w:t>
      </w:r>
      <w:proofErr w:type="gramStart"/>
      <w:r w:rsidRPr="000B4951">
        <w:rPr>
          <w:rFonts w:ascii="Arial" w:hAnsi="Arial" w:cs="Arial"/>
          <w:sz w:val="24"/>
          <w:szCs w:val="24"/>
          <w:lang w:val="en-US"/>
        </w:rPr>
        <w:t>In the "consumer society," gratuitous acts by providers do not essentially have this purpose; instead, they constitute commercial practices aimed at promoting or advertising a good or service or the provider, offering advantages or facilitating onerous consumption, "</w:t>
      </w:r>
      <w:proofErr w:type="spellStart"/>
      <w:r w:rsidRPr="000B4951">
        <w:rPr>
          <w:rFonts w:ascii="Arial" w:hAnsi="Arial" w:cs="Arial"/>
          <w:sz w:val="24"/>
          <w:szCs w:val="24"/>
          <w:lang w:val="en-US"/>
        </w:rPr>
        <w:t>fidelizing</w:t>
      </w:r>
      <w:proofErr w:type="spellEnd"/>
      <w:r w:rsidRPr="000B4951">
        <w:rPr>
          <w:rFonts w:ascii="Arial" w:hAnsi="Arial" w:cs="Arial"/>
          <w:sz w:val="24"/>
          <w:szCs w:val="24"/>
          <w:lang w:val="en-US"/>
        </w:rPr>
        <w:t>" consumers, improving the provider's corporate image, or any other act aimed at fostering, attracting, increasing, retaining, or maintaining consumer demand for goods or services in the market.</w:t>
      </w:r>
      <w:proofErr w:type="gramEnd"/>
      <w:r w:rsidRPr="000B4951">
        <w:rPr>
          <w:rFonts w:ascii="Arial" w:hAnsi="Arial" w:cs="Arial"/>
          <w:sz w:val="24"/>
          <w:szCs w:val="24"/>
          <w:lang w:val="en-US"/>
        </w:rPr>
        <w:t xml:space="preserve"> Thus, there is indirect onerousness behind the apparent gratuity, distancing itself from the classic idea of gratuitousness. This indirect onerousness is also evident when the consumer does not have to pay for the service, but the provider benefits from a third party (state subsidies, commercialization of advertising spaces, etc.). This </w:t>
      </w:r>
      <w:proofErr w:type="gramStart"/>
      <w:r w:rsidRPr="000B4951">
        <w:rPr>
          <w:rFonts w:ascii="Arial" w:hAnsi="Arial" w:cs="Arial"/>
          <w:sz w:val="24"/>
          <w:szCs w:val="24"/>
          <w:lang w:val="en-US"/>
        </w:rPr>
        <w:t>can be observed</w:t>
      </w:r>
      <w:proofErr w:type="gramEnd"/>
      <w:r w:rsidRPr="000B4951">
        <w:rPr>
          <w:rFonts w:ascii="Arial" w:hAnsi="Arial" w:cs="Arial"/>
          <w:sz w:val="24"/>
          <w:szCs w:val="24"/>
          <w:lang w:val="en-US"/>
        </w:rPr>
        <w:t xml:space="preserve"> in social networks and some e-commerce platforms.</w:t>
      </w:r>
    </w:p>
    <w:p w:rsidR="00C7123D" w:rsidRPr="000B4951" w:rsidRDefault="00C7123D" w:rsidP="000B4951">
      <w:pPr>
        <w:spacing w:line="360" w:lineRule="auto"/>
        <w:jc w:val="both"/>
        <w:rPr>
          <w:rFonts w:ascii="Arial" w:hAnsi="Arial" w:cs="Arial"/>
          <w:b/>
          <w:sz w:val="24"/>
          <w:szCs w:val="24"/>
          <w:lang w:val="en-US"/>
        </w:rPr>
      </w:pPr>
      <w:r w:rsidRPr="000B4951">
        <w:rPr>
          <w:rFonts w:ascii="Arial" w:hAnsi="Arial" w:cs="Arial"/>
          <w:b/>
          <w:sz w:val="24"/>
          <w:szCs w:val="24"/>
          <w:lang w:val="en-US"/>
        </w:rPr>
        <w:t>V. In Search of the Provider</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From the provider's perspective, we must consider the guidelines of Paragraphs 2 of the LDC and 1093 of the CCCN, so all individuals involved in the value chain are included in this category.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Sometimes, identifying who or what entities are behind platforms or applications and what role they play in operations can be confusing or unclear; in many cases, consumers face what can be called "</w:t>
      </w:r>
      <w:proofErr w:type="spellStart"/>
      <w:r w:rsidRPr="000B4951">
        <w:rPr>
          <w:rFonts w:ascii="Arial" w:hAnsi="Arial" w:cs="Arial"/>
          <w:sz w:val="24"/>
          <w:szCs w:val="24"/>
          <w:lang w:val="en-US"/>
        </w:rPr>
        <w:t>ciber</w:t>
      </w:r>
      <w:proofErr w:type="spellEnd"/>
      <w:r w:rsidRPr="000B4951">
        <w:rPr>
          <w:rFonts w:ascii="Arial" w:hAnsi="Arial" w:cs="Arial"/>
          <w:sz w:val="24"/>
          <w:szCs w:val="24"/>
          <w:lang w:val="en-US"/>
        </w:rPr>
        <w:t>- hawker" which appear on the virtual scene and quickly disappear or are difficult to locate or identify.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the digital environment, different business models </w:t>
      </w:r>
      <w:proofErr w:type="gramStart"/>
      <w:r w:rsidRPr="000B4951">
        <w:rPr>
          <w:rFonts w:ascii="Arial" w:hAnsi="Arial" w:cs="Arial"/>
          <w:sz w:val="24"/>
          <w:szCs w:val="24"/>
          <w:lang w:val="en-US"/>
        </w:rPr>
        <w:t>can be observed</w:t>
      </w:r>
      <w:proofErr w:type="gramEnd"/>
      <w:r w:rsidRPr="000B4951">
        <w:rPr>
          <w:rFonts w:ascii="Arial" w:hAnsi="Arial" w:cs="Arial"/>
          <w:sz w:val="24"/>
          <w:szCs w:val="24"/>
          <w:lang w:val="en-US"/>
        </w:rPr>
        <w:t>. In the case of actual e-commerce operations, we can distinguish:</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Providers with Self-Managed Platforms or Mobile Applications: Providers who manage their own platforms or mobile applications where their goods or services can be purchased (supermarkets, airlines, bookstores, travel agencies, cinemas, theaters, ticketing companies for events and shows, etc.) or with the form of "online auctions" (in Argentina, for example, to obtain a cabin upgrade on certain airlines), </w:t>
      </w:r>
      <w:r w:rsidRPr="000B4951">
        <w:rPr>
          <w:rFonts w:ascii="Arial" w:hAnsi="Arial" w:cs="Arial"/>
          <w:sz w:val="24"/>
          <w:szCs w:val="24"/>
          <w:lang w:val="en-US"/>
        </w:rPr>
        <w:lastRenderedPageBreak/>
        <w:t xml:space="preserve">which also have a physical commercial establishment or operate exclusively as an "online store" (e.g., Amazon in its early days; </w:t>
      </w:r>
      <w:proofErr w:type="spellStart"/>
      <w:r w:rsidRPr="000B4951">
        <w:rPr>
          <w:rFonts w:ascii="Arial" w:hAnsi="Arial" w:cs="Arial"/>
          <w:sz w:val="24"/>
          <w:szCs w:val="24"/>
          <w:lang w:val="en-US"/>
        </w:rPr>
        <w:t>Despegar</w:t>
      </w:r>
      <w:proofErr w:type="spellEnd"/>
      <w:r w:rsidRPr="000B4951">
        <w:rPr>
          <w:rFonts w:ascii="Arial" w:hAnsi="Arial" w:cs="Arial"/>
          <w:sz w:val="24"/>
          <w:szCs w:val="24"/>
          <w:lang w:val="en-US"/>
        </w:rPr>
        <w:t>, etc.).</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Providers of Digital Services Managed by Other Providers: Providers who offer </w:t>
      </w:r>
      <w:proofErr w:type="gramStart"/>
      <w:r w:rsidRPr="000B4951">
        <w:rPr>
          <w:rFonts w:ascii="Arial" w:hAnsi="Arial" w:cs="Arial"/>
          <w:sz w:val="24"/>
          <w:szCs w:val="24"/>
          <w:lang w:val="en-US"/>
        </w:rPr>
        <w:t>digital services managed by other providers, either</w:t>
      </w:r>
      <w:proofErr w:type="gramEnd"/>
      <w:r w:rsidRPr="000B4951">
        <w:rPr>
          <w:rFonts w:ascii="Arial" w:hAnsi="Arial" w:cs="Arial"/>
          <w:sz w:val="24"/>
          <w:szCs w:val="24"/>
          <w:lang w:val="en-US"/>
        </w:rPr>
        <w:t xml:space="preserve"> because they are part of the same corporate group or through outsourcing or "brand alliances," for example, regarding customer service or home banking or electronic wallet services.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Providers with Platforms or Mobile Applications: Providers who manage platforms or mobile applications where various individuals can offer and demand different goods or services, with different business models, such as eBay or Mercado </w:t>
      </w:r>
      <w:proofErr w:type="spellStart"/>
      <w:r w:rsidRPr="000B4951">
        <w:rPr>
          <w:rFonts w:ascii="Arial" w:hAnsi="Arial" w:cs="Arial"/>
          <w:sz w:val="24"/>
          <w:szCs w:val="24"/>
          <w:lang w:val="en-US"/>
        </w:rPr>
        <w:t>Libre</w:t>
      </w:r>
      <w:proofErr w:type="spellEnd"/>
      <w:r w:rsidRPr="000B4951">
        <w:rPr>
          <w:rFonts w:ascii="Arial" w:hAnsi="Arial" w:cs="Arial"/>
          <w:sz w:val="24"/>
          <w:szCs w:val="24"/>
          <w:lang w:val="en-US"/>
        </w:rPr>
        <w:t xml:space="preserve"> or so-called "collaborative economies" in sectors like transportation (Uber and </w:t>
      </w:r>
      <w:proofErr w:type="spellStart"/>
      <w:r w:rsidRPr="000B4951">
        <w:rPr>
          <w:rFonts w:ascii="Arial" w:hAnsi="Arial" w:cs="Arial"/>
          <w:sz w:val="24"/>
          <w:szCs w:val="24"/>
          <w:lang w:val="en-US"/>
        </w:rPr>
        <w:t>Cabify</w:t>
      </w:r>
      <w:proofErr w:type="spellEnd"/>
      <w:r w:rsidRPr="000B4951">
        <w:rPr>
          <w:rFonts w:ascii="Arial" w:hAnsi="Arial" w:cs="Arial"/>
          <w:sz w:val="24"/>
          <w:szCs w:val="24"/>
          <w:lang w:val="en-US"/>
        </w:rPr>
        <w:t>), tourism (Airbnb, Couchsurfing), or food delivery, shopping, or errands (</w:t>
      </w:r>
      <w:proofErr w:type="spellStart"/>
      <w:r w:rsidRPr="000B4951">
        <w:rPr>
          <w:rFonts w:ascii="Arial" w:hAnsi="Arial" w:cs="Arial"/>
          <w:sz w:val="24"/>
          <w:szCs w:val="24"/>
          <w:lang w:val="en-US"/>
        </w:rPr>
        <w:t>Rappi</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Glovo</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PedidosYa</w:t>
      </w:r>
      <w:proofErr w:type="spellEnd"/>
      <w:r w:rsidRPr="000B4951">
        <w:rPr>
          <w:rFonts w:ascii="Arial" w:hAnsi="Arial" w:cs="Arial"/>
          <w:sz w:val="24"/>
          <w:szCs w:val="24"/>
          <w:lang w:val="en-US"/>
        </w:rPr>
        <w:t>, Uber Eats).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the latter case, a relationship with at least three parties, if not more, </w:t>
      </w:r>
      <w:proofErr w:type="gramStart"/>
      <w:r w:rsidRPr="000B4951">
        <w:rPr>
          <w:rFonts w:ascii="Arial" w:hAnsi="Arial" w:cs="Arial"/>
          <w:sz w:val="24"/>
          <w:szCs w:val="24"/>
          <w:lang w:val="en-US"/>
        </w:rPr>
        <w:t>is outlined</w:t>
      </w:r>
      <w:proofErr w:type="gramEnd"/>
      <w:r w:rsidRPr="000B4951">
        <w:rPr>
          <w:rFonts w:ascii="Arial" w:hAnsi="Arial" w:cs="Arial"/>
          <w:sz w:val="24"/>
          <w:szCs w:val="24"/>
          <w:lang w:val="en-US"/>
        </w:rPr>
        <w:t xml:space="preserve"> for consumers:</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a</w:t>
      </w:r>
      <w:proofErr w:type="gramEnd"/>
      <w:r w:rsidRPr="000B4951">
        <w:rPr>
          <w:rFonts w:ascii="Arial" w:hAnsi="Arial" w:cs="Arial"/>
          <w:sz w:val="24"/>
          <w:szCs w:val="24"/>
          <w:lang w:val="en-US"/>
        </w:rPr>
        <w:t>. Legal Relationship with the Organizing Platform: A legal relationship with the organizing platform.</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b</w:t>
      </w:r>
      <w:proofErr w:type="gramEnd"/>
      <w:r w:rsidRPr="000B4951">
        <w:rPr>
          <w:rFonts w:ascii="Arial" w:hAnsi="Arial" w:cs="Arial"/>
          <w:sz w:val="24"/>
          <w:szCs w:val="24"/>
          <w:lang w:val="en-US"/>
        </w:rPr>
        <w:t>. Legal Relationship with the Provider of the Goods or Services: A legal relationship with the provider of the goods or services in material terms.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w:t>
      </w:r>
      <w:proofErr w:type="gramStart"/>
      <w:r w:rsidRPr="000B4951">
        <w:rPr>
          <w:rFonts w:ascii="Arial" w:hAnsi="Arial" w:cs="Arial"/>
          <w:sz w:val="24"/>
          <w:szCs w:val="24"/>
          <w:lang w:val="en-US"/>
        </w:rPr>
        <w:t>active role of the platform owner can be characterized by the following features</w:t>
      </w:r>
      <w:proofErr w:type="gramEnd"/>
      <w:r w:rsidRPr="000B4951">
        <w:rPr>
          <w:rFonts w:ascii="Arial" w:hAnsi="Arial" w:cs="Arial"/>
          <w:sz w:val="24"/>
          <w:szCs w:val="24"/>
          <w:lang w:val="en-US"/>
        </w:rPr>
        <w: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 Design of the Digital Environment: The platform owner designs the digital environment where operations </w:t>
      </w:r>
      <w:proofErr w:type="gramStart"/>
      <w:r w:rsidRPr="000B4951">
        <w:rPr>
          <w:rFonts w:ascii="Arial" w:hAnsi="Arial" w:cs="Arial"/>
          <w:sz w:val="24"/>
          <w:szCs w:val="24"/>
          <w:lang w:val="en-US"/>
        </w:rPr>
        <w:t>are conducted</w:t>
      </w:r>
      <w:proofErr w:type="gramEnd"/>
      <w:r w:rsidRPr="000B4951">
        <w:rPr>
          <w:rFonts w:ascii="Arial" w:hAnsi="Arial" w:cs="Arial"/>
          <w:sz w:val="24"/>
          <w:szCs w:val="24"/>
          <w:lang w:val="en-US"/>
        </w:rPr>
        <w: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b. Technical Control: The platform owner has technical control over the platform's operation.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c. User Registration: The platform requires user registration.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d. Terms and Conditions: The platform owner establishes the platform's usage rules through "terms and conditions."</w:t>
      </w:r>
    </w:p>
    <w:p w:rsidR="00C7123D" w:rsidRPr="000B4951" w:rsidRDefault="00C7123D" w:rsidP="000B4951">
      <w:pPr>
        <w:spacing w:line="360" w:lineRule="auto"/>
        <w:jc w:val="both"/>
        <w:rPr>
          <w:rFonts w:ascii="Arial" w:hAnsi="Arial" w:cs="Arial"/>
          <w:sz w:val="24"/>
          <w:szCs w:val="24"/>
          <w:lang w:val="en-US"/>
        </w:rPr>
      </w:pP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e. Payment Methods: The platform owner determines payment methods, in the case of offering goods and services, sometimes having proprietary electronic payment systems, those of their corporate group, or through "brand alliances."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f. Delivery System: The platform owner establishes the system for delivering contracted goods.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g. Commission Fees: The platform owner sets and collects usage commissions and, in some cases, such as in the transportation sector, usage fees for the service.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h. User Rating Systems: The platform owner designs and manages user or establishment rating systems.</w:t>
      </w:r>
    </w:p>
    <w:p w:rsidR="00C7123D" w:rsidRPr="000B4951" w:rsidRDefault="00C7123D" w:rsidP="000B4951">
      <w:pPr>
        <w:spacing w:line="360" w:lineRule="auto"/>
        <w:jc w:val="both"/>
        <w:rPr>
          <w:rFonts w:ascii="Arial" w:hAnsi="Arial" w:cs="Arial"/>
          <w:sz w:val="24"/>
          <w:szCs w:val="24"/>
          <w:lang w:val="en-US"/>
        </w:rPr>
      </w:pPr>
      <w:proofErr w:type="spellStart"/>
      <w:r w:rsidRPr="000B4951">
        <w:rPr>
          <w:rFonts w:ascii="Arial" w:hAnsi="Arial" w:cs="Arial"/>
          <w:sz w:val="24"/>
          <w:szCs w:val="24"/>
          <w:lang w:val="en-US"/>
        </w:rPr>
        <w:t>i</w:t>
      </w:r>
      <w:proofErr w:type="spellEnd"/>
      <w:r w:rsidRPr="000B4951">
        <w:rPr>
          <w:rFonts w:ascii="Arial" w:hAnsi="Arial" w:cs="Arial"/>
          <w:sz w:val="24"/>
          <w:szCs w:val="24"/>
          <w:lang w:val="en-US"/>
        </w:rPr>
        <w:t>. User Sanctions: The platform owner may impose sanctions on users, including suspending their accounts temporarily or permanently.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From the described aspects, we can infer that these organizers are indeed providers in terms of Paragraphs 2 of the LDC and 1093 of the CCCN. Moreover, in many cases, compared to other entities involved in the commercialization chain, the organizer holds a dominant position, placing them in a situation of vertical concentration.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Regarding the entities that provide goods and services through digital platforms controlled by an organizer, they are undoubtedly providers concerning the consumers of those goods and services, whether they perform this activity professionally or occasionally.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Traditionally, the Concept of a Provider is Associated with the Idea of Professional Activity in the Market.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Regarding the requirement of professionalism, the following elements </w:t>
      </w:r>
      <w:proofErr w:type="gramStart"/>
      <w:r w:rsidRPr="000B4951">
        <w:rPr>
          <w:rFonts w:ascii="Arial" w:hAnsi="Arial" w:cs="Arial"/>
          <w:sz w:val="24"/>
          <w:szCs w:val="24"/>
          <w:lang w:val="en-US"/>
        </w:rPr>
        <w:t>are typically considered</w:t>
      </w:r>
      <w:proofErr w:type="gramEnd"/>
      <w:r w:rsidRPr="000B4951">
        <w:rPr>
          <w:rFonts w:ascii="Arial" w:hAnsi="Arial" w:cs="Arial"/>
          <w:sz w:val="24"/>
          <w:szCs w:val="24"/>
          <w:lang w:val="en-US"/>
        </w:rPr>
        <w:t xml:space="preserve"> determining factors: the habitual development of an activity, the need for authorization to carry out the activity, the presumption of profitability, and the existence of certain scientific, technical, and/or practical expertise, among others. We understand that some of its distinctive features are as follows: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a) Indeterminate Offer to the Public: There must be a willingness to offer goods or services to an indeterminate person, i.e., a perspective of "clientele" aimed at attracting and retaining several buyers of a class or segment, no matter how small or select it may be.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b) Economic Benefit or Profit: There must be an aim to obtain a profit, benefit, or utility (direct or indirect) in the development of market activities. The economic nature of the activity </w:t>
      </w:r>
      <w:proofErr w:type="gramStart"/>
      <w:r w:rsidRPr="000B4951">
        <w:rPr>
          <w:rFonts w:ascii="Arial" w:hAnsi="Arial" w:cs="Arial"/>
          <w:sz w:val="24"/>
          <w:szCs w:val="24"/>
          <w:lang w:val="en-US"/>
        </w:rPr>
        <w:t>is evidenced</w:t>
      </w:r>
      <w:proofErr w:type="gramEnd"/>
      <w:r w:rsidRPr="000B4951">
        <w:rPr>
          <w:rFonts w:ascii="Arial" w:hAnsi="Arial" w:cs="Arial"/>
          <w:sz w:val="24"/>
          <w:szCs w:val="24"/>
          <w:lang w:val="en-US"/>
        </w:rPr>
        <w:t xml:space="preserve"> by the fact that the provider operates seeking an economic advantage, generally a pecuniary consideration or remuneration. The "market act" should contribute to the livelihood or support of the provider, which does not necessarily imply the pursuit of profit in the sense of earning a return or positive results from the production process.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c) Organizational Aspect: Attention </w:t>
      </w:r>
      <w:proofErr w:type="gramStart"/>
      <w:r w:rsidRPr="000B4951">
        <w:rPr>
          <w:rFonts w:ascii="Arial" w:hAnsi="Arial" w:cs="Arial"/>
          <w:sz w:val="24"/>
          <w:szCs w:val="24"/>
          <w:lang w:val="en-US"/>
        </w:rPr>
        <w:t>should also be paid</w:t>
      </w:r>
      <w:proofErr w:type="gramEnd"/>
      <w:r w:rsidRPr="000B4951">
        <w:rPr>
          <w:rFonts w:ascii="Arial" w:hAnsi="Arial" w:cs="Arial"/>
          <w:sz w:val="24"/>
          <w:szCs w:val="24"/>
          <w:lang w:val="en-US"/>
        </w:rPr>
        <w:t xml:space="preserve"> to the organizational aspect of the provider of goods and services, involving the organized production, distribution, and/or marketing of goods and services, in the form of a "business" or "establishment," in accordance with the provisions of Paragraph 320 of the Civil and Commercial Code (CCCN).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 Value Addition to Satisfy Consumer Needs: Professionalism </w:t>
      </w:r>
      <w:proofErr w:type="gramStart"/>
      <w:r w:rsidRPr="000B4951">
        <w:rPr>
          <w:rFonts w:ascii="Arial" w:hAnsi="Arial" w:cs="Arial"/>
          <w:sz w:val="24"/>
          <w:szCs w:val="24"/>
          <w:lang w:val="en-US"/>
        </w:rPr>
        <w:t>is distinguished</w:t>
      </w:r>
      <w:proofErr w:type="gramEnd"/>
      <w:r w:rsidRPr="000B4951">
        <w:rPr>
          <w:rFonts w:ascii="Arial" w:hAnsi="Arial" w:cs="Arial"/>
          <w:sz w:val="24"/>
          <w:szCs w:val="24"/>
          <w:lang w:val="en-US"/>
        </w:rPr>
        <w:t xml:space="preserve"> by the addition of value aimed at satisfying a consumer need, in the sense of adding some intrinsic quality (design, utility, etc.) to the good or service or participating in the commercialization chain. Thus, in transactions between professionals, what </w:t>
      </w:r>
      <w:proofErr w:type="gramStart"/>
      <w:r w:rsidRPr="000B4951">
        <w:rPr>
          <w:rFonts w:ascii="Arial" w:hAnsi="Arial" w:cs="Arial"/>
          <w:sz w:val="24"/>
          <w:szCs w:val="24"/>
          <w:lang w:val="en-US"/>
        </w:rPr>
        <w:t>is offered</w:t>
      </w:r>
      <w:proofErr w:type="gramEnd"/>
      <w:r w:rsidRPr="000B4951">
        <w:rPr>
          <w:rFonts w:ascii="Arial" w:hAnsi="Arial" w:cs="Arial"/>
          <w:sz w:val="24"/>
          <w:szCs w:val="24"/>
          <w:lang w:val="en-US"/>
        </w:rPr>
        <w:t xml:space="preserve"> takes on the character of a good for exchange or input. In line with these generalizations, the acquisition by the final consumer </w:t>
      </w:r>
      <w:proofErr w:type="gramStart"/>
      <w:r w:rsidRPr="000B4951">
        <w:rPr>
          <w:rFonts w:ascii="Arial" w:hAnsi="Arial" w:cs="Arial"/>
          <w:sz w:val="24"/>
          <w:szCs w:val="24"/>
          <w:lang w:val="en-US"/>
        </w:rPr>
        <w:t>is characterized</w:t>
      </w:r>
      <w:proofErr w:type="gramEnd"/>
      <w:r w:rsidRPr="000B4951">
        <w:rPr>
          <w:rFonts w:ascii="Arial" w:hAnsi="Arial" w:cs="Arial"/>
          <w:sz w:val="24"/>
          <w:szCs w:val="24"/>
          <w:lang w:val="en-US"/>
        </w:rPr>
        <w:t xml:space="preserve"> as a good for use.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e) Business Knowledge: This refers to the characteristics that </w:t>
      </w:r>
      <w:proofErr w:type="gramStart"/>
      <w:r w:rsidRPr="000B4951">
        <w:rPr>
          <w:rFonts w:ascii="Arial" w:hAnsi="Arial" w:cs="Arial"/>
          <w:sz w:val="24"/>
          <w:szCs w:val="24"/>
          <w:lang w:val="en-US"/>
        </w:rPr>
        <w:t>are essentially mastered</w:t>
      </w:r>
      <w:proofErr w:type="gramEnd"/>
      <w:r w:rsidRPr="000B4951">
        <w:rPr>
          <w:rFonts w:ascii="Arial" w:hAnsi="Arial" w:cs="Arial"/>
          <w:sz w:val="24"/>
          <w:szCs w:val="24"/>
          <w:lang w:val="en-US"/>
        </w:rPr>
        <w:t xml:space="preserve">, using that knowledge as a means of livelihood, a relevant capacity, and application to achieve optimal results. It also involves a degree of knowledge or expertise that constitutes superiority over the other party when forming the contract; that is, someone who specializes in the execution or exercise of a particular activity, which </w:t>
      </w:r>
      <w:proofErr w:type="gramStart"/>
      <w:r w:rsidRPr="000B4951">
        <w:rPr>
          <w:rFonts w:ascii="Arial" w:hAnsi="Arial" w:cs="Arial"/>
          <w:sz w:val="24"/>
          <w:szCs w:val="24"/>
          <w:lang w:val="en-US"/>
        </w:rPr>
        <w:t>is then introduced</w:t>
      </w:r>
      <w:proofErr w:type="gramEnd"/>
      <w:r w:rsidRPr="000B4951">
        <w:rPr>
          <w:rFonts w:ascii="Arial" w:hAnsi="Arial" w:cs="Arial"/>
          <w:sz w:val="24"/>
          <w:szCs w:val="24"/>
          <w:lang w:val="en-US"/>
        </w:rPr>
        <w:t xml:space="preserve"> into the consumer market.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Every company, therefore, qualifies as a provider, whether it is a micro-enterprise, a small or medium-sized enterprise, a large company, national or transnational, an emerging company (startup), or one with years of experience in the market, whether it is an individual entrepreneur or established as a legal entity.</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However, even an individual who provides goods or services on an occasional basis </w:t>
      </w:r>
      <w:proofErr w:type="gramStart"/>
      <w:r w:rsidRPr="000B4951">
        <w:rPr>
          <w:rFonts w:ascii="Arial" w:hAnsi="Arial" w:cs="Arial"/>
          <w:sz w:val="24"/>
          <w:szCs w:val="24"/>
          <w:lang w:val="en-US"/>
        </w:rPr>
        <w:t>can be considered</w:t>
      </w:r>
      <w:proofErr w:type="gramEnd"/>
      <w:r w:rsidRPr="000B4951">
        <w:rPr>
          <w:rFonts w:ascii="Arial" w:hAnsi="Arial" w:cs="Arial"/>
          <w:sz w:val="24"/>
          <w:szCs w:val="24"/>
          <w:lang w:val="en-US"/>
        </w:rPr>
        <w:t xml:space="preserve"> a provider. This is an increasingly common reality in the digital environment, where </w:t>
      </w:r>
      <w:proofErr w:type="gramStart"/>
      <w:r w:rsidRPr="000B4951">
        <w:rPr>
          <w:rFonts w:ascii="Arial" w:hAnsi="Arial" w:cs="Arial"/>
          <w:sz w:val="24"/>
          <w:szCs w:val="24"/>
          <w:lang w:val="en-US"/>
        </w:rPr>
        <w:t>goods or services are offered on social networks or platforms by individuals who do not meet the characteristics of a professional provider</w:t>
      </w:r>
      <w:proofErr w:type="gramEnd"/>
      <w:r w:rsidRPr="000B4951">
        <w:rPr>
          <w:rFonts w:ascii="Arial" w:hAnsi="Arial" w:cs="Arial"/>
          <w:sz w:val="24"/>
          <w:szCs w:val="24"/>
          <w:lang w:val="en-US"/>
        </w:rPr>
        <w:t>.</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Paragraph 1903 of the CCCN, in defining a consumer contract, characterizes it as "one concluded between a consumer </w:t>
      </w:r>
      <w:proofErr w:type="gramStart"/>
      <w:r w:rsidRPr="000B4951">
        <w:rPr>
          <w:rFonts w:ascii="Arial" w:hAnsi="Arial" w:cs="Arial"/>
          <w:sz w:val="24"/>
          <w:szCs w:val="24"/>
          <w:lang w:val="en-US"/>
        </w:rPr>
        <w:t>or</w:t>
      </w:r>
      <w:proofErr w:type="gramEnd"/>
      <w:r w:rsidRPr="000B4951">
        <w:rPr>
          <w:rFonts w:ascii="Arial" w:hAnsi="Arial" w:cs="Arial"/>
          <w:sz w:val="24"/>
          <w:szCs w:val="24"/>
          <w:lang w:val="en-US"/>
        </w:rPr>
        <w:t xml:space="preserve"> final user with a human or legal person acting professionally or occasionally." The inclusion within the concept of provider of individuals who engage in market activities occasionally is a distinctive feature of Argentine law, also shared by the legislation of the Dominican Republic. By contrast, most </w:t>
      </w:r>
      <w:proofErr w:type="spellStart"/>
      <w:r w:rsidRPr="000B4951">
        <w:rPr>
          <w:rFonts w:ascii="Arial" w:hAnsi="Arial" w:cs="Arial"/>
          <w:sz w:val="24"/>
          <w:szCs w:val="24"/>
          <w:lang w:val="en-US"/>
        </w:rPr>
        <w:t>Ibero</w:t>
      </w:r>
      <w:proofErr w:type="spellEnd"/>
      <w:r w:rsidRPr="000B4951">
        <w:rPr>
          <w:rFonts w:ascii="Arial" w:hAnsi="Arial" w:cs="Arial"/>
          <w:sz w:val="24"/>
          <w:szCs w:val="24"/>
          <w:lang w:val="en-US"/>
        </w:rPr>
        <w:t>-American legislations, and those in comparative law, generally explicitly require the criterion of "professionalism," "periodicity," or "</w:t>
      </w:r>
      <w:proofErr w:type="spellStart"/>
      <w:r w:rsidRPr="000B4951">
        <w:rPr>
          <w:rFonts w:ascii="Arial" w:hAnsi="Arial" w:cs="Arial"/>
          <w:sz w:val="24"/>
          <w:szCs w:val="24"/>
          <w:lang w:val="en-US"/>
        </w:rPr>
        <w:t>habituality</w:t>
      </w:r>
      <w:proofErr w:type="spellEnd"/>
      <w:r w:rsidRPr="000B4951">
        <w:rPr>
          <w:rFonts w:ascii="Arial" w:hAnsi="Arial" w:cs="Arial"/>
          <w:sz w:val="24"/>
          <w:szCs w:val="24"/>
          <w:lang w:val="en-US"/>
        </w:rPr>
        <w:t>" in the activity carried out by the provider.</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We understand an occasional provider as someone who does not meet the previously mentioned requirements to </w:t>
      </w:r>
      <w:proofErr w:type="gramStart"/>
      <w:r w:rsidRPr="000B4951">
        <w:rPr>
          <w:rFonts w:ascii="Arial" w:hAnsi="Arial" w:cs="Arial"/>
          <w:sz w:val="24"/>
          <w:szCs w:val="24"/>
          <w:lang w:val="en-US"/>
        </w:rPr>
        <w:t>be considered</w:t>
      </w:r>
      <w:proofErr w:type="gramEnd"/>
      <w:r w:rsidRPr="000B4951">
        <w:rPr>
          <w:rFonts w:ascii="Arial" w:hAnsi="Arial" w:cs="Arial"/>
          <w:sz w:val="24"/>
          <w:szCs w:val="24"/>
          <w:lang w:val="en-US"/>
        </w:rPr>
        <w:t xml:space="preserve"> a professional consumer. These situations involve:</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a</w:t>
      </w:r>
      <w:proofErr w:type="gramEnd"/>
      <w:r w:rsidRPr="000B4951">
        <w:rPr>
          <w:rFonts w:ascii="Arial" w:hAnsi="Arial" w:cs="Arial"/>
          <w:sz w:val="24"/>
          <w:szCs w:val="24"/>
          <w:lang w:val="en-US"/>
        </w:rPr>
        <w:t>) Sporadic, Eventual, or Contingent Activity: Developing the activity as something sporadic, eventual, circumstantial, or due to contingency, even if only once.</w:t>
      </w:r>
    </w:p>
    <w:p w:rsidR="00C7123D" w:rsidRPr="000B4951" w:rsidRDefault="00C7123D" w:rsidP="000B4951">
      <w:pPr>
        <w:spacing w:line="360" w:lineRule="auto"/>
        <w:jc w:val="both"/>
        <w:rPr>
          <w:rFonts w:ascii="Arial" w:hAnsi="Arial" w:cs="Arial"/>
          <w:sz w:val="24"/>
          <w:szCs w:val="24"/>
          <w:lang w:val="en-US"/>
        </w:rPr>
      </w:pP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b) Lack of Business Organization: Lacking a business organization, encompassing what some doctrines call a "quasi-entrepreneur," i.e., a human person who engages in an economic activity without being an entrepreneur or establishing a business or making it their habitual profession.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c) Lack of Business Knowledge: The absence of business knowledge.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 xml:space="preserve">d) Equal Bargaining Power: Negotiation with the recipient of the good or service occurs without unequal bargaining power; that is, it </w:t>
      </w:r>
      <w:proofErr w:type="gramStart"/>
      <w:r w:rsidRPr="000B4951">
        <w:rPr>
          <w:rFonts w:ascii="Arial" w:hAnsi="Arial" w:cs="Arial"/>
          <w:sz w:val="24"/>
          <w:szCs w:val="24"/>
          <w:lang w:val="en-US"/>
        </w:rPr>
        <w:t>is configured</w:t>
      </w:r>
      <w:proofErr w:type="gramEnd"/>
      <w:r w:rsidRPr="000B4951">
        <w:rPr>
          <w:rFonts w:ascii="Arial" w:hAnsi="Arial" w:cs="Arial"/>
          <w:sz w:val="24"/>
          <w:szCs w:val="24"/>
          <w:lang w:val="en-US"/>
        </w:rPr>
        <w:t xml:space="preserve"> as a parity contract.</w:t>
      </w:r>
    </w:p>
    <w:p w:rsidR="00C7123D" w:rsidRPr="000B4951" w:rsidRDefault="00C7123D" w:rsidP="000B4951">
      <w:pPr>
        <w:spacing w:line="360" w:lineRule="auto"/>
        <w:jc w:val="both"/>
        <w:rPr>
          <w:rFonts w:ascii="Arial" w:hAnsi="Arial" w:cs="Arial"/>
          <w:sz w:val="24"/>
          <w:szCs w:val="24"/>
          <w:lang w:val="en-US"/>
        </w:rPr>
      </w:pP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e) No Offer to Indeterminate Persons: There is no offer to an indeterminate person.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It does not seem fair or the most protective solution to burden the consumer with the costs or risks of dealing with a specialized provider or an adventurer or improvised individual. We do not believe in the existence, at least in Argentine law, of such "consumer-to-consumer" contracts (C2C, consumers to consumers, in Anglo-Saxon terminology). This issue particularly </w:t>
      </w:r>
      <w:proofErr w:type="gramStart"/>
      <w:r w:rsidRPr="000B4951">
        <w:rPr>
          <w:rFonts w:ascii="Arial" w:hAnsi="Arial" w:cs="Arial"/>
          <w:sz w:val="24"/>
          <w:szCs w:val="24"/>
          <w:lang w:val="en-US"/>
        </w:rPr>
        <w:t>impacts</w:t>
      </w:r>
      <w:proofErr w:type="gramEnd"/>
      <w:r w:rsidRPr="000B4951">
        <w:rPr>
          <w:rFonts w:ascii="Arial" w:hAnsi="Arial" w:cs="Arial"/>
          <w:sz w:val="24"/>
          <w:szCs w:val="24"/>
          <w:lang w:val="en-US"/>
        </w:rPr>
        <w:t xml:space="preserve"> matters related to e-commerce, with the emergence of the so-called "sharing economy" or "collaborative consumption."</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It </w:t>
      </w:r>
      <w:proofErr w:type="gramStart"/>
      <w:r w:rsidRPr="000B4951">
        <w:rPr>
          <w:rFonts w:ascii="Arial" w:hAnsi="Arial" w:cs="Arial"/>
          <w:sz w:val="24"/>
          <w:szCs w:val="24"/>
          <w:lang w:val="en-US"/>
        </w:rPr>
        <w:t>can also be argued</w:t>
      </w:r>
      <w:proofErr w:type="gramEnd"/>
      <w:r w:rsidRPr="000B4951">
        <w:rPr>
          <w:rFonts w:ascii="Arial" w:hAnsi="Arial" w:cs="Arial"/>
          <w:sz w:val="24"/>
          <w:szCs w:val="24"/>
          <w:lang w:val="en-US"/>
        </w:rPr>
        <w:t xml:space="preserve"> that many occasional providers rely on intermediaries, such as professional providers: brokers, e-commerce platforms, among others, which colors the transaction as a typical and professional consumer act, making it absurd for the consumer to differentiate within the commercialization chain between professional and non-professional individuals.</w:t>
      </w:r>
    </w:p>
    <w:p w:rsidR="00C7123D" w:rsidRPr="000B4951" w:rsidRDefault="00C7123D" w:rsidP="000B4951">
      <w:pPr>
        <w:spacing w:line="360" w:lineRule="auto"/>
        <w:jc w:val="both"/>
        <w:rPr>
          <w:rFonts w:ascii="Arial" w:hAnsi="Arial" w:cs="Arial"/>
          <w:sz w:val="24"/>
          <w:szCs w:val="24"/>
          <w:lang w:val="en-US"/>
        </w:rPr>
      </w:pPr>
    </w:p>
    <w:p w:rsidR="00C7123D" w:rsidRPr="000B4951" w:rsidRDefault="00C7123D" w:rsidP="000B4951">
      <w:pPr>
        <w:spacing w:line="360" w:lineRule="auto"/>
        <w:jc w:val="both"/>
        <w:rPr>
          <w:rFonts w:ascii="Arial" w:hAnsi="Arial" w:cs="Arial"/>
          <w:b/>
          <w:sz w:val="24"/>
          <w:szCs w:val="24"/>
          <w:lang w:val="en-US"/>
        </w:rPr>
      </w:pPr>
      <w:r w:rsidRPr="000B4951">
        <w:rPr>
          <w:rFonts w:ascii="Arial" w:hAnsi="Arial" w:cs="Arial"/>
          <w:b/>
          <w:sz w:val="24"/>
          <w:szCs w:val="24"/>
          <w:lang w:val="en-US"/>
        </w:rPr>
        <w:t xml:space="preserve">VI. </w:t>
      </w:r>
      <w:proofErr w:type="gramStart"/>
      <w:r w:rsidRPr="000B4951">
        <w:rPr>
          <w:rFonts w:ascii="Arial" w:hAnsi="Arial" w:cs="Arial"/>
          <w:b/>
          <w:sz w:val="24"/>
          <w:szCs w:val="24"/>
          <w:lang w:val="en-US"/>
        </w:rPr>
        <w:t>On</w:t>
      </w:r>
      <w:proofErr w:type="gramEnd"/>
      <w:r w:rsidRPr="000B4951">
        <w:rPr>
          <w:rFonts w:ascii="Arial" w:hAnsi="Arial" w:cs="Arial"/>
          <w:b/>
          <w:sz w:val="24"/>
          <w:szCs w:val="24"/>
          <w:lang w:val="en-US"/>
        </w:rPr>
        <w:t xml:space="preserve"> the </w:t>
      </w:r>
      <w:proofErr w:type="spellStart"/>
      <w:r w:rsidRPr="000B4951">
        <w:rPr>
          <w:rFonts w:ascii="Arial" w:hAnsi="Arial" w:cs="Arial"/>
          <w:b/>
          <w:sz w:val="24"/>
          <w:szCs w:val="24"/>
          <w:lang w:val="en-US"/>
        </w:rPr>
        <w:t>Hypervulnerability</w:t>
      </w:r>
      <w:proofErr w:type="spellEnd"/>
      <w:r w:rsidRPr="000B4951">
        <w:rPr>
          <w:rFonts w:ascii="Arial" w:hAnsi="Arial" w:cs="Arial"/>
          <w:b/>
          <w:sz w:val="24"/>
          <w:szCs w:val="24"/>
          <w:lang w:val="en-US"/>
        </w:rPr>
        <w:t xml:space="preserve"> of Digital Consumers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Consumer law starts from the premise of recognizing the structural vulnerability of all consumers in the market. However, some consumers are more vulnerable than </w:t>
      </w:r>
      <w:proofErr w:type="gramStart"/>
      <w:r w:rsidRPr="000B4951">
        <w:rPr>
          <w:rFonts w:ascii="Arial" w:hAnsi="Arial" w:cs="Arial"/>
          <w:sz w:val="24"/>
          <w:szCs w:val="24"/>
          <w:lang w:val="en-US"/>
        </w:rPr>
        <w:t>others</w:t>
      </w:r>
      <w:proofErr w:type="gramEnd"/>
      <w:r w:rsidRPr="000B4951">
        <w:rPr>
          <w:rFonts w:ascii="Arial" w:hAnsi="Arial" w:cs="Arial"/>
          <w:sz w:val="24"/>
          <w:szCs w:val="24"/>
          <w:lang w:val="en-US"/>
        </w:rPr>
        <w:t xml:space="preserve"> and suffer more acutely from the impacts of the "consumer society." These </w:t>
      </w:r>
      <w:proofErr w:type="gramStart"/>
      <w:r w:rsidRPr="000B4951">
        <w:rPr>
          <w:rFonts w:ascii="Arial" w:hAnsi="Arial" w:cs="Arial"/>
          <w:sz w:val="24"/>
          <w:szCs w:val="24"/>
          <w:lang w:val="en-US"/>
        </w:rPr>
        <w:t>are the consumers who, in addition to the abstract structural vulnerability of being consumers,</w:t>
      </w:r>
      <w:proofErr w:type="gramEnd"/>
      <w:r w:rsidRPr="000B4951">
        <w:rPr>
          <w:rFonts w:ascii="Arial" w:hAnsi="Arial" w:cs="Arial"/>
          <w:sz w:val="24"/>
          <w:szCs w:val="24"/>
          <w:lang w:val="en-US"/>
        </w:rPr>
        <w:t xml:space="preserve"> also face another vulnerability related to their age, psychophysical condition, gender, socioeconomic or cultural status, or other permanent or temporary circumstances. These are what we call "</w:t>
      </w:r>
      <w:proofErr w:type="spellStart"/>
      <w:r w:rsidRPr="000B4951">
        <w:rPr>
          <w:rFonts w:ascii="Arial" w:hAnsi="Arial" w:cs="Arial"/>
          <w:sz w:val="24"/>
          <w:szCs w:val="24"/>
          <w:lang w:val="en-US"/>
        </w:rPr>
        <w:t>hypervulnerable</w:t>
      </w:r>
      <w:proofErr w:type="spellEnd"/>
      <w:r w:rsidRPr="000B4951">
        <w:rPr>
          <w:rFonts w:ascii="Arial" w:hAnsi="Arial" w:cs="Arial"/>
          <w:sz w:val="24"/>
          <w:szCs w:val="24"/>
          <w:lang w:val="en-US"/>
        </w:rPr>
        <w:t xml:space="preserve"> consumers."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We understand that the digital consumer is, in all cases, a </w:t>
      </w:r>
      <w:proofErr w:type="spellStart"/>
      <w:r w:rsidRPr="000B4951">
        <w:rPr>
          <w:rFonts w:ascii="Arial" w:hAnsi="Arial" w:cs="Arial"/>
          <w:sz w:val="24"/>
          <w:szCs w:val="24"/>
          <w:lang w:val="en-US"/>
        </w:rPr>
        <w:t>hypervulnerable</w:t>
      </w:r>
      <w:proofErr w:type="spellEnd"/>
      <w:r w:rsidRPr="000B4951">
        <w:rPr>
          <w:rFonts w:ascii="Arial" w:hAnsi="Arial" w:cs="Arial"/>
          <w:sz w:val="24"/>
          <w:szCs w:val="24"/>
          <w:lang w:val="en-US"/>
        </w:rPr>
        <w:t xml:space="preserve"> consumer. Several authors concur in considering the electronic consumer as </w:t>
      </w:r>
      <w:proofErr w:type="spellStart"/>
      <w:r w:rsidRPr="000B4951">
        <w:rPr>
          <w:rFonts w:ascii="Arial" w:hAnsi="Arial" w:cs="Arial"/>
          <w:sz w:val="24"/>
          <w:szCs w:val="24"/>
          <w:lang w:val="en-US"/>
        </w:rPr>
        <w:t>hypervulnerable</w:t>
      </w:r>
      <w:proofErr w:type="spellEnd"/>
      <w:r w:rsidRPr="000B4951">
        <w:rPr>
          <w:rFonts w:ascii="Arial" w:hAnsi="Arial" w:cs="Arial"/>
          <w:sz w:val="24"/>
          <w:szCs w:val="24"/>
          <w:lang w:val="en-US"/>
        </w:rPr>
        <w:t xml:space="preserve"> due to the insurmountable and predetermined technical aspects controlled by the provider. This is because, in e-commerce, there is an extrinsic </w:t>
      </w:r>
      <w:r w:rsidRPr="000B4951">
        <w:rPr>
          <w:rFonts w:ascii="Arial" w:hAnsi="Arial" w:cs="Arial"/>
          <w:sz w:val="24"/>
          <w:szCs w:val="24"/>
          <w:lang w:val="en-US"/>
        </w:rPr>
        <w:lastRenderedPageBreak/>
        <w:t>vulnerability related to the consumer's technical fragility, which manifests as an unfavorable circumstance that makes consumers even more susceptible to lasting harm, deprived of the ability to decide what is best for them due to the impersonal and non-dialogic conduct that characterizes e-commerce.</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Some facets of this </w:t>
      </w:r>
      <w:proofErr w:type="spellStart"/>
      <w:r w:rsidRPr="000B4951">
        <w:rPr>
          <w:rFonts w:ascii="Arial" w:hAnsi="Arial" w:cs="Arial"/>
          <w:sz w:val="24"/>
          <w:szCs w:val="24"/>
          <w:lang w:val="en-US"/>
        </w:rPr>
        <w:t>hypervulnerability</w:t>
      </w:r>
      <w:proofErr w:type="spellEnd"/>
      <w:r w:rsidRPr="000B4951">
        <w:rPr>
          <w:rFonts w:ascii="Arial" w:hAnsi="Arial" w:cs="Arial"/>
          <w:sz w:val="24"/>
          <w:szCs w:val="24"/>
          <w:lang w:val="en-US"/>
        </w:rPr>
        <w:t xml:space="preserve"> are as follows:</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Unnaturalness of the Technological Fact: It is very different to purchase a good or service in an environment that is not intuitive to us as physical beings than to do so in person, with the possibility of direct contact—through all our senses—with the good or service and, therefore, to make a decision through a medium that is natural to us.</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Inability to Fulfill the Obligation of Information: The electronic consumer will never be able—unless it is their professional area—to effectively master the relational medium.</w:t>
      </w:r>
    </w:p>
    <w:p w:rsidR="00C7123D" w:rsidRPr="000B4951" w:rsidRDefault="00C7123D"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Potential for Irreparable Harm: As it is a highly replicable medium, harmful consequences can become uncontrollable and indefinitely reproduced: counterfeit products, websites impersonating well-known brands (cybersquatting), communication and security failures, hacker activity, identity theft, or the theft of confidential information such as usernames, passwords, and credit card details (phishing), breaches of trust, and violations of copyright, industrial, or personal rights, such as privacy, identity, or image, among others.</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We believe, therefore, that activities conducted over the internet constitute a risky activity. </w:t>
      </w:r>
      <w:proofErr w:type="gramStart"/>
      <w:r w:rsidRPr="000B4951">
        <w:rPr>
          <w:rFonts w:ascii="Arial" w:hAnsi="Arial" w:cs="Arial"/>
          <w:sz w:val="24"/>
          <w:szCs w:val="24"/>
          <w:lang w:val="en-US"/>
        </w:rPr>
        <w:t>Remember that an activity is considered risky when, by its very nature or the circumstances in which it is conducted, it generates a significant probability of risk or danger to third parties, as can be expected according to the normal and ordinary course of events, with the company being one of the risky activity domains in the sense that it organizes capital and labor as factors of production with profit motives.</w:t>
      </w:r>
      <w:proofErr w:type="gramEnd"/>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addition to the common </w:t>
      </w:r>
      <w:proofErr w:type="spellStart"/>
      <w:r w:rsidRPr="000B4951">
        <w:rPr>
          <w:rFonts w:ascii="Arial" w:hAnsi="Arial" w:cs="Arial"/>
          <w:sz w:val="24"/>
          <w:szCs w:val="24"/>
          <w:lang w:val="en-US"/>
        </w:rPr>
        <w:t>hypervulnerability</w:t>
      </w:r>
      <w:proofErr w:type="spellEnd"/>
      <w:r w:rsidRPr="000B4951">
        <w:rPr>
          <w:rFonts w:ascii="Arial" w:hAnsi="Arial" w:cs="Arial"/>
          <w:sz w:val="24"/>
          <w:szCs w:val="24"/>
          <w:lang w:val="en-US"/>
        </w:rPr>
        <w:t xml:space="preserve"> shared by all digital consumers, there are also situations of special </w:t>
      </w:r>
      <w:proofErr w:type="spellStart"/>
      <w:r w:rsidRPr="000B4951">
        <w:rPr>
          <w:rFonts w:ascii="Arial" w:hAnsi="Arial" w:cs="Arial"/>
          <w:sz w:val="24"/>
          <w:szCs w:val="24"/>
          <w:lang w:val="en-US"/>
        </w:rPr>
        <w:t>hypervulnerability</w:t>
      </w:r>
      <w:proofErr w:type="spellEnd"/>
      <w:r w:rsidRPr="000B4951">
        <w:rPr>
          <w:rFonts w:ascii="Arial" w:hAnsi="Arial" w:cs="Arial"/>
          <w:sz w:val="24"/>
          <w:szCs w:val="24"/>
          <w:lang w:val="en-US"/>
        </w:rPr>
        <w:t xml:space="preserve">. Remember that </w:t>
      </w:r>
      <w:proofErr w:type="spellStart"/>
      <w:r w:rsidRPr="000B4951">
        <w:rPr>
          <w:rFonts w:ascii="Arial" w:hAnsi="Arial" w:cs="Arial"/>
          <w:sz w:val="24"/>
          <w:szCs w:val="24"/>
          <w:lang w:val="en-US"/>
        </w:rPr>
        <w:t>hypervulnerability</w:t>
      </w:r>
      <w:proofErr w:type="spellEnd"/>
      <w:r w:rsidRPr="000B4951">
        <w:rPr>
          <w:rFonts w:ascii="Arial" w:hAnsi="Arial" w:cs="Arial"/>
          <w:sz w:val="24"/>
          <w:szCs w:val="24"/>
          <w:lang w:val="en-US"/>
        </w:rPr>
        <w:t xml:space="preserve"> </w:t>
      </w:r>
      <w:proofErr w:type="gramStart"/>
      <w:r w:rsidRPr="000B4951">
        <w:rPr>
          <w:rFonts w:ascii="Arial" w:hAnsi="Arial" w:cs="Arial"/>
          <w:sz w:val="24"/>
          <w:szCs w:val="24"/>
          <w:lang w:val="en-US"/>
        </w:rPr>
        <w:t>is characterized</w:t>
      </w:r>
      <w:proofErr w:type="gramEnd"/>
      <w:r w:rsidRPr="000B4951">
        <w:rPr>
          <w:rFonts w:ascii="Arial" w:hAnsi="Arial" w:cs="Arial"/>
          <w:sz w:val="24"/>
          <w:szCs w:val="24"/>
          <w:lang w:val="en-US"/>
        </w:rPr>
        <w:t xml:space="preserve"> by its dynamic, relational, and contextual aspects and should be </w:t>
      </w:r>
      <w:r w:rsidRPr="000B4951">
        <w:rPr>
          <w:rFonts w:ascii="Arial" w:hAnsi="Arial" w:cs="Arial"/>
          <w:sz w:val="24"/>
          <w:szCs w:val="24"/>
          <w:lang w:val="en-US"/>
        </w:rPr>
        <w:lastRenderedPageBreak/>
        <w:t xml:space="preserve">thought of in terms of layers. </w:t>
      </w:r>
      <w:proofErr w:type="gramStart"/>
      <w:r w:rsidRPr="000B4951">
        <w:rPr>
          <w:rFonts w:ascii="Arial" w:hAnsi="Arial" w:cs="Arial"/>
          <w:sz w:val="24"/>
          <w:szCs w:val="24"/>
          <w:lang w:val="en-US"/>
        </w:rPr>
        <w:t>There is no "solid and unique vulnerability" that exhausts the category</w:t>
      </w:r>
      <w:proofErr w:type="gramEnd"/>
      <w:r w:rsidRPr="000B4951">
        <w:rPr>
          <w:rFonts w:ascii="Arial" w:hAnsi="Arial" w:cs="Arial"/>
          <w:sz w:val="24"/>
          <w:szCs w:val="24"/>
          <w:lang w:val="en-US"/>
        </w:rPr>
        <w:t>; there can be different vulnerabilities, different overlapping layers.</w:t>
      </w:r>
    </w:p>
    <w:p w:rsidR="00C7123D"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the case of digital consumers, we can observe both old and new vulnerabilities that </w:t>
      </w:r>
      <w:proofErr w:type="gramStart"/>
      <w:r w:rsidRPr="000B4951">
        <w:rPr>
          <w:rFonts w:ascii="Arial" w:hAnsi="Arial" w:cs="Arial"/>
          <w:sz w:val="24"/>
          <w:szCs w:val="24"/>
          <w:lang w:val="en-US"/>
        </w:rPr>
        <w:t>are enhanced</w:t>
      </w:r>
      <w:proofErr w:type="gramEnd"/>
      <w:r w:rsidRPr="000B4951">
        <w:rPr>
          <w:rFonts w:ascii="Arial" w:hAnsi="Arial" w:cs="Arial"/>
          <w:sz w:val="24"/>
          <w:szCs w:val="24"/>
          <w:lang w:val="en-US"/>
        </w:rPr>
        <w:t xml:space="preserve"> and intersect. To the "classic" structural vulnerabilities linked to poverty and social exclusion, age, gender, ethnicity, rurality, and disability, we can add the situations specific to the "digital divide."</w:t>
      </w:r>
    </w:p>
    <w:p w:rsidR="00A873F3" w:rsidRPr="000B4951" w:rsidRDefault="00C7123D"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Here we can distinguish the so-called "digital illiterates," either total or functional; digital migrants; and digital natives. A primary criterion to delineate the boundary between each of these groups is, naturally, age. </w:t>
      </w:r>
      <w:proofErr w:type="gramStart"/>
      <w:r w:rsidRPr="000B4951">
        <w:rPr>
          <w:rFonts w:ascii="Arial" w:hAnsi="Arial" w:cs="Arial"/>
          <w:sz w:val="24"/>
          <w:szCs w:val="24"/>
          <w:lang w:val="en-US"/>
        </w:rPr>
        <w:t>Broadly</w:t>
      </w:r>
      <w:proofErr w:type="gramEnd"/>
      <w:r w:rsidRPr="000B4951">
        <w:rPr>
          <w:rFonts w:ascii="Arial" w:hAnsi="Arial" w:cs="Arial"/>
          <w:sz w:val="24"/>
          <w:szCs w:val="24"/>
          <w:lang w:val="en-US"/>
        </w:rPr>
        <w:t xml:space="preserve"> speaking, digital natives are people born from 1995 onwards. They are considered migrants because, although they have witnessed the rapid development of ICTs and their impact on daily and professional life in recent years, their education and training occurred through more "traditional" methods. Digital illiterates, broadly speaking, are individuals aged 65 or older; they rely on digital migrants or digital natives for support. Certainly, there are exceptions in the patterns of behavior towards ICTs in the age groups previously mentioned. It is also worth adding the difficulties of internet access in certain territories.</w:t>
      </w:r>
      <w:r w:rsidR="00CB6E1C" w:rsidRPr="000B4951">
        <w:rPr>
          <w:rFonts w:ascii="Arial" w:hAnsi="Arial" w:cs="Arial"/>
          <w:sz w:val="24"/>
          <w:szCs w:val="24"/>
          <w:lang w:val="en-US"/>
        </w:rPr>
        <w:t xml:space="preserve"> </w:t>
      </w:r>
    </w:p>
    <w:p w:rsidR="00CB6E1C" w:rsidRPr="000B4951" w:rsidRDefault="00CB6E1C" w:rsidP="000B4951">
      <w:pPr>
        <w:spacing w:line="360" w:lineRule="auto"/>
        <w:jc w:val="both"/>
        <w:rPr>
          <w:rFonts w:ascii="Arial" w:hAnsi="Arial" w:cs="Arial"/>
          <w:b/>
          <w:sz w:val="24"/>
          <w:szCs w:val="24"/>
          <w:lang w:val="en-US"/>
        </w:rPr>
      </w:pPr>
      <w:r w:rsidRPr="000B4951">
        <w:rPr>
          <w:rFonts w:ascii="Arial" w:hAnsi="Arial" w:cs="Arial"/>
          <w:b/>
          <w:sz w:val="24"/>
          <w:szCs w:val="24"/>
          <w:lang w:val="en-US"/>
        </w:rPr>
        <w:t>VII. The Protection of Digital Consumers in Argentine Law</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There are various direct and indirect regulations that govern this activity. Among the direct regulations, the following </w:t>
      </w:r>
      <w:proofErr w:type="gramStart"/>
      <w:r w:rsidRPr="000B4951">
        <w:rPr>
          <w:rFonts w:ascii="Arial" w:hAnsi="Arial" w:cs="Arial"/>
          <w:sz w:val="24"/>
          <w:szCs w:val="24"/>
          <w:lang w:val="en-US"/>
        </w:rPr>
        <w:t>can be mentioned</w:t>
      </w:r>
      <w:proofErr w:type="gramEnd"/>
      <w:r w:rsidRPr="000B4951">
        <w:rPr>
          <w:rFonts w:ascii="Arial" w:hAnsi="Arial" w:cs="Arial"/>
          <w:sz w:val="24"/>
          <w:szCs w:val="24"/>
          <w:lang w:val="en-US"/>
        </w:rPr>
        <w:t>:</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A. United Nations Guidelines for Consumer Protection</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United Nations Guidelines for Consumer Protection, first established in 1985 and amended in 1999 and 2015, are an internationally recognized set of basic objectives, especially prepared for governments of developing and newly independent countries to use in structuring and strengthening consumer protection policies and laws. While these Guidelines are not binding on states, they constitute a significant foundation in international customary law on the matter and form part of what </w:t>
      </w:r>
      <w:proofErr w:type="gramStart"/>
      <w:r w:rsidRPr="000B4951">
        <w:rPr>
          <w:rFonts w:ascii="Arial" w:hAnsi="Arial" w:cs="Arial"/>
          <w:sz w:val="24"/>
          <w:szCs w:val="24"/>
          <w:lang w:val="en-US"/>
        </w:rPr>
        <w:t>is known</w:t>
      </w:r>
      <w:proofErr w:type="gramEnd"/>
      <w:r w:rsidRPr="000B4951">
        <w:rPr>
          <w:rFonts w:ascii="Arial" w:hAnsi="Arial" w:cs="Arial"/>
          <w:sz w:val="24"/>
          <w:szCs w:val="24"/>
          <w:lang w:val="en-US"/>
        </w:rPr>
        <w:t xml:space="preserve"> as soft law.</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Regarding the protection of electronic consumers, the Guidelines stipulate:</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a) Protection Equivalent to Other Forms of Commerce: Consumers engaging in electronic commerce should receive a level of protection no less than that afforded in other forms of commerce (</w:t>
      </w:r>
      <w:r w:rsidR="000B4951">
        <w:rPr>
          <w:rFonts w:ascii="Arial" w:hAnsi="Arial" w:cs="Arial"/>
          <w:sz w:val="24"/>
          <w:szCs w:val="24"/>
          <w:lang w:val="en-US"/>
        </w:rPr>
        <w:t>Paragraph</w:t>
      </w:r>
      <w:r w:rsidRPr="000B4951">
        <w:rPr>
          <w:rFonts w:ascii="Arial" w:hAnsi="Arial" w:cs="Arial"/>
          <w:sz w:val="24"/>
          <w:szCs w:val="24"/>
          <w:lang w:val="en-US"/>
        </w:rPr>
        <w:t>s 5(j) and 63).</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This principle is the most important rule. Indeed, in face-to-face commerce, consumers deserve protection under the law and by public authorities due to their structural vulnerability in the consumer society. As a result, they are empowered with a series of rights, recognized by </w:t>
      </w:r>
      <w:r w:rsidR="000B4951">
        <w:rPr>
          <w:rFonts w:ascii="Arial" w:hAnsi="Arial" w:cs="Arial"/>
          <w:sz w:val="24"/>
          <w:szCs w:val="24"/>
          <w:lang w:val="en-US"/>
        </w:rPr>
        <w:t>Paragraph</w:t>
      </w:r>
      <w:r w:rsidRPr="000B4951">
        <w:rPr>
          <w:rFonts w:ascii="Arial" w:hAnsi="Arial" w:cs="Arial"/>
          <w:sz w:val="24"/>
          <w:szCs w:val="24"/>
          <w:lang w:val="en-US"/>
        </w:rPr>
        <w:t xml:space="preserve"> 42 of the National Constitution (CN) and regulated by various laws enacted by national and local authorities. </w:t>
      </w:r>
      <w:proofErr w:type="gramStart"/>
      <w:r w:rsidRPr="000B4951">
        <w:rPr>
          <w:rFonts w:ascii="Arial" w:hAnsi="Arial" w:cs="Arial"/>
          <w:sz w:val="24"/>
          <w:szCs w:val="24"/>
          <w:lang w:val="en-US"/>
        </w:rPr>
        <w:t>Additionally, all those involved in the commercialization chain, constituting the vertical dimension of the consumer relationship, are obligated to comply with these rights and must respond jointly to the consumer.</w:t>
      </w:r>
      <w:proofErr w:type="gramEnd"/>
      <w:r w:rsidRPr="000B4951">
        <w:rPr>
          <w:rFonts w:ascii="Arial" w:hAnsi="Arial" w:cs="Arial"/>
          <w:sz w:val="24"/>
          <w:szCs w:val="24"/>
          <w:lang w:val="en-US"/>
        </w:rPr>
        <w:t xml:space="preserve"> Consequently, these same rules should apply in digital consumer relationships.</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b) Promotion of Consumer Trust in E-Commerce: Consumer trust in e-commerce </w:t>
      </w:r>
      <w:proofErr w:type="gramStart"/>
      <w:r w:rsidRPr="000B4951">
        <w:rPr>
          <w:rFonts w:ascii="Arial" w:hAnsi="Arial" w:cs="Arial"/>
          <w:sz w:val="24"/>
          <w:szCs w:val="24"/>
          <w:lang w:val="en-US"/>
        </w:rPr>
        <w:t>must be promoted</w:t>
      </w:r>
      <w:proofErr w:type="gramEnd"/>
      <w:r w:rsidRPr="000B4951">
        <w:rPr>
          <w:rFonts w:ascii="Arial" w:hAnsi="Arial" w:cs="Arial"/>
          <w:sz w:val="24"/>
          <w:szCs w:val="24"/>
          <w:lang w:val="en-US"/>
        </w:rPr>
        <w:t xml:space="preserve"> (</w:t>
      </w:r>
      <w:r w:rsidR="000B4951">
        <w:rPr>
          <w:rFonts w:ascii="Arial" w:hAnsi="Arial" w:cs="Arial"/>
          <w:sz w:val="24"/>
          <w:szCs w:val="24"/>
          <w:lang w:val="en-US"/>
        </w:rPr>
        <w:t>Paragraph</w:t>
      </w:r>
      <w:r w:rsidRPr="000B4951">
        <w:rPr>
          <w:rFonts w:ascii="Arial" w:hAnsi="Arial" w:cs="Arial"/>
          <w:sz w:val="24"/>
          <w:szCs w:val="24"/>
          <w:lang w:val="en-US"/>
        </w:rPr>
        <w:t xml:space="preserve"> 63).</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protection of trust is a central aspect of electronic consumer protection, which </w:t>
      </w:r>
      <w:proofErr w:type="gramStart"/>
      <w:r w:rsidRPr="000B4951">
        <w:rPr>
          <w:rFonts w:ascii="Arial" w:hAnsi="Arial" w:cs="Arial"/>
          <w:sz w:val="24"/>
          <w:szCs w:val="24"/>
          <w:lang w:val="en-US"/>
        </w:rPr>
        <w:t>will be addressed</w:t>
      </w:r>
      <w:proofErr w:type="gramEnd"/>
      <w:r w:rsidRPr="000B4951">
        <w:rPr>
          <w:rFonts w:ascii="Arial" w:hAnsi="Arial" w:cs="Arial"/>
          <w:sz w:val="24"/>
          <w:szCs w:val="24"/>
          <w:lang w:val="en-US"/>
        </w:rPr>
        <w:t xml:space="preserve"> in the following section.</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c) Ensuring Consumers Are Informed and Aware: Consumers must be informed and aware of their rights and obligations in the digital marketplace (</w:t>
      </w:r>
      <w:r w:rsidR="000B4951">
        <w:rPr>
          <w:rFonts w:ascii="Arial" w:hAnsi="Arial" w:cs="Arial"/>
          <w:sz w:val="24"/>
          <w:szCs w:val="24"/>
          <w:lang w:val="en-US"/>
        </w:rPr>
        <w:t>Paragraph</w:t>
      </w:r>
      <w:r w:rsidRPr="000B4951">
        <w:rPr>
          <w:rFonts w:ascii="Arial" w:hAnsi="Arial" w:cs="Arial"/>
          <w:sz w:val="24"/>
          <w:szCs w:val="24"/>
          <w:lang w:val="en-US"/>
        </w:rPr>
        <w:t xml:space="preserve"> 64).</w:t>
      </w:r>
    </w:p>
    <w:p w:rsidR="00CB6E1C" w:rsidRPr="000B4951" w:rsidRDefault="00CB6E1C"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The right to information is critically important due to the particular vulnerability of consumers in electronic contracting and must be aligned with the provisions of </w:t>
      </w:r>
      <w:r w:rsidR="000B4951">
        <w:rPr>
          <w:rFonts w:ascii="Arial" w:hAnsi="Arial" w:cs="Arial"/>
          <w:sz w:val="24"/>
          <w:szCs w:val="24"/>
          <w:lang w:val="en-US"/>
        </w:rPr>
        <w:t>Paragraph</w:t>
      </w:r>
      <w:r w:rsidRPr="000B4951">
        <w:rPr>
          <w:rFonts w:ascii="Arial" w:hAnsi="Arial" w:cs="Arial"/>
          <w:sz w:val="24"/>
          <w:szCs w:val="24"/>
          <w:lang w:val="en-US"/>
        </w:rPr>
        <w:t xml:space="preserve"> 42 of the National Constitution, </w:t>
      </w:r>
      <w:r w:rsidR="000B4951">
        <w:rPr>
          <w:rFonts w:ascii="Arial" w:hAnsi="Arial" w:cs="Arial"/>
          <w:sz w:val="24"/>
          <w:szCs w:val="24"/>
          <w:lang w:val="en-US"/>
        </w:rPr>
        <w:t>Paragraph</w:t>
      </w:r>
      <w:r w:rsidRPr="000B4951">
        <w:rPr>
          <w:rFonts w:ascii="Arial" w:hAnsi="Arial" w:cs="Arial"/>
          <w:sz w:val="24"/>
          <w:szCs w:val="24"/>
          <w:lang w:val="en-US"/>
        </w:rPr>
        <w:t xml:space="preserve"> 4 of the LDC, </w:t>
      </w:r>
      <w:r w:rsidR="000B4951">
        <w:rPr>
          <w:rFonts w:ascii="Arial" w:hAnsi="Arial" w:cs="Arial"/>
          <w:sz w:val="24"/>
          <w:szCs w:val="24"/>
          <w:lang w:val="en-US"/>
        </w:rPr>
        <w:t>Paragraph</w:t>
      </w:r>
      <w:r w:rsidRPr="000B4951">
        <w:rPr>
          <w:rFonts w:ascii="Arial" w:hAnsi="Arial" w:cs="Arial"/>
          <w:sz w:val="24"/>
          <w:szCs w:val="24"/>
          <w:lang w:val="en-US"/>
        </w:rPr>
        <w:t xml:space="preserve"> 1110 of the Civil and Commercial Code, and local constitutional provisions, which stipulate that information must be adequate, truthful, certain, clear, detailed, free of charge, comprehensible, transparent, and timely.</w:t>
      </w:r>
      <w:proofErr w:type="gramEnd"/>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d) Adoption of OECD Guidelines: States are encouraged to adopt the criteria of the Guidelines for Consumer Protection in the Context of Electronic Commerce by the Organization for Economic Cooperation and Development (OECD).</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 xml:space="preserve">These Guidelines state that consumers engaging in e-commerce </w:t>
      </w:r>
      <w:proofErr w:type="gramStart"/>
      <w:r w:rsidRPr="000B4951">
        <w:rPr>
          <w:rFonts w:ascii="Arial" w:hAnsi="Arial" w:cs="Arial"/>
          <w:sz w:val="24"/>
          <w:szCs w:val="24"/>
          <w:lang w:val="en-US"/>
        </w:rPr>
        <w:t>should be provided</w:t>
      </w:r>
      <w:proofErr w:type="gramEnd"/>
      <w:r w:rsidRPr="000B4951">
        <w:rPr>
          <w:rFonts w:ascii="Arial" w:hAnsi="Arial" w:cs="Arial"/>
          <w:sz w:val="24"/>
          <w:szCs w:val="24"/>
          <w:lang w:val="en-US"/>
        </w:rPr>
        <w:t xml:space="preserve"> with transparent and effective protection that is no less than the level of protection granted in other forms of commerce. Businesses must respect consumers' interests and act in accordance with fair practices in their business, advertising, and marketing activities. Companies should not make any false, misleading, fraudulent, or unfair claims or engage in any practices that could cause unreasonable risks to consumers. Whenever companies publish information about themselves or the goods or services they offer, they should present it clearly, visibly, accurately, and easily accessible and must adhere to any claims made regarding their policies and practices related to their transactions with consumers. Companies should not exploit the special characteristics of e-commerce to conceal their </w:t>
      </w:r>
      <w:proofErr w:type="gramStart"/>
      <w:r w:rsidRPr="000B4951">
        <w:rPr>
          <w:rFonts w:ascii="Arial" w:hAnsi="Arial" w:cs="Arial"/>
          <w:sz w:val="24"/>
          <w:szCs w:val="24"/>
          <w:lang w:val="en-US"/>
        </w:rPr>
        <w:t>true identity</w:t>
      </w:r>
      <w:proofErr w:type="gramEnd"/>
      <w:r w:rsidRPr="000B4951">
        <w:rPr>
          <w:rFonts w:ascii="Arial" w:hAnsi="Arial" w:cs="Arial"/>
          <w:sz w:val="24"/>
          <w:szCs w:val="24"/>
          <w:lang w:val="en-US"/>
        </w:rPr>
        <w:t xml:space="preserve"> or location or to evade compliance with consumer protection regulations or enforcement mechanisms. Companies should not use unfair contractual terms. Advertising and marketing must be clearly identifiable as such, and the company on whose behalf they </w:t>
      </w:r>
      <w:proofErr w:type="gramStart"/>
      <w:r w:rsidRPr="000B4951">
        <w:rPr>
          <w:rFonts w:ascii="Arial" w:hAnsi="Arial" w:cs="Arial"/>
          <w:sz w:val="24"/>
          <w:szCs w:val="24"/>
          <w:lang w:val="en-US"/>
        </w:rPr>
        <w:t>are carried out</w:t>
      </w:r>
      <w:proofErr w:type="gramEnd"/>
      <w:r w:rsidRPr="000B4951">
        <w:rPr>
          <w:rFonts w:ascii="Arial" w:hAnsi="Arial" w:cs="Arial"/>
          <w:sz w:val="24"/>
          <w:szCs w:val="24"/>
          <w:lang w:val="en-US"/>
        </w:rPr>
        <w:t xml:space="preserve"> must be identified. When this requirement </w:t>
      </w:r>
      <w:proofErr w:type="gramStart"/>
      <w:r w:rsidRPr="000B4951">
        <w:rPr>
          <w:rFonts w:ascii="Arial" w:hAnsi="Arial" w:cs="Arial"/>
          <w:sz w:val="24"/>
          <w:szCs w:val="24"/>
          <w:lang w:val="en-US"/>
        </w:rPr>
        <w:t>is not met</w:t>
      </w:r>
      <w:proofErr w:type="gramEnd"/>
      <w:r w:rsidRPr="000B4951">
        <w:rPr>
          <w:rFonts w:ascii="Arial" w:hAnsi="Arial" w:cs="Arial"/>
          <w:sz w:val="24"/>
          <w:szCs w:val="24"/>
          <w:lang w:val="en-US"/>
        </w:rPr>
        <w:t xml:space="preserve">, they are considered misleading. Companies must be able to substantiate any explicit or implicit claims for as long as such claims </w:t>
      </w:r>
      <w:proofErr w:type="gramStart"/>
      <w:r w:rsidRPr="000B4951">
        <w:rPr>
          <w:rFonts w:ascii="Arial" w:hAnsi="Arial" w:cs="Arial"/>
          <w:sz w:val="24"/>
          <w:szCs w:val="24"/>
          <w:lang w:val="en-US"/>
        </w:rPr>
        <w:t>are made</w:t>
      </w:r>
      <w:proofErr w:type="gramEnd"/>
      <w:r w:rsidRPr="000B4951">
        <w:rPr>
          <w:rFonts w:ascii="Arial" w:hAnsi="Arial" w:cs="Arial"/>
          <w:sz w:val="24"/>
          <w:szCs w:val="24"/>
          <w:lang w:val="en-US"/>
        </w:rPr>
        <w:t xml:space="preserve"> and maintain this capability for a reasonable time after the claim is made. Companies should develop and implement effective and easy-to-use procedures that allow consumers to opt in or out of receiving unsolicited commercial messages via email and respect consumers' decisions </w:t>
      </w:r>
      <w:proofErr w:type="gramStart"/>
      <w:r w:rsidRPr="000B4951">
        <w:rPr>
          <w:rFonts w:ascii="Arial" w:hAnsi="Arial" w:cs="Arial"/>
          <w:sz w:val="24"/>
          <w:szCs w:val="24"/>
          <w:lang w:val="en-US"/>
        </w:rPr>
        <w:t>to not receive</w:t>
      </w:r>
      <w:proofErr w:type="gramEnd"/>
      <w:r w:rsidRPr="000B4951">
        <w:rPr>
          <w:rFonts w:ascii="Arial" w:hAnsi="Arial" w:cs="Arial"/>
          <w:sz w:val="24"/>
          <w:szCs w:val="24"/>
          <w:lang w:val="en-US"/>
        </w:rPr>
        <w:t xml:space="preserve"> commercial messages. Special care must be taken with advertising or marketing directed at children, the elderly, the seriously </w:t>
      </w:r>
      <w:proofErr w:type="gramStart"/>
      <w:r w:rsidRPr="000B4951">
        <w:rPr>
          <w:rFonts w:ascii="Arial" w:hAnsi="Arial" w:cs="Arial"/>
          <w:sz w:val="24"/>
          <w:szCs w:val="24"/>
          <w:lang w:val="en-US"/>
        </w:rPr>
        <w:t>ill,</w:t>
      </w:r>
      <w:proofErr w:type="gramEnd"/>
      <w:r w:rsidRPr="000B4951">
        <w:rPr>
          <w:rFonts w:ascii="Arial" w:hAnsi="Arial" w:cs="Arial"/>
          <w:sz w:val="24"/>
          <w:szCs w:val="24"/>
          <w:lang w:val="en-US"/>
        </w:rPr>
        <w:t xml:space="preserve"> and other groups who may not fully understand the information presented to them. Issues concerning company information, the goods or services offered, the terms, conditions, and costs associated with the operation, especially when applicable and appropriate, depending on the type of transaction, means of error detection, and maintaining a complete and accurate record of the transaction. Companies should provide consumers with secure and easy-to-use payment mechanisms and information on the level of security provided by such mechanisms and define liability for unauthorized or fraudulent use of payment systems and chargeback mechanisms. Consumers should be provided with easy access to alternative mechanisms for fair </w:t>
      </w:r>
      <w:r w:rsidRPr="000B4951">
        <w:rPr>
          <w:rFonts w:ascii="Arial" w:hAnsi="Arial" w:cs="Arial"/>
          <w:sz w:val="24"/>
          <w:szCs w:val="24"/>
          <w:lang w:val="en-US"/>
        </w:rPr>
        <w:lastRenderedPageBreak/>
        <w:t>and timely redress and dispute resolution without excessive costs or charges, and companies and consumer representatives should continuously establish impartial, effective, and transparent internal mechanisms to address and respond to consumer complaints and difficulties in a fair and timely manner without undue costs or charges to consumers.</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B. Mercosur Regulations</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Mercosur’s Common Market Group Resolution No. 21/2004 on e-commerce via the Internet. Mercosur also has regulations on this matter, which </w:t>
      </w:r>
      <w:proofErr w:type="gramStart"/>
      <w:r w:rsidRPr="000B4951">
        <w:rPr>
          <w:rFonts w:ascii="Arial" w:hAnsi="Arial" w:cs="Arial"/>
          <w:sz w:val="24"/>
          <w:szCs w:val="24"/>
          <w:lang w:val="en-US"/>
        </w:rPr>
        <w:t>were incorporated</w:t>
      </w:r>
      <w:proofErr w:type="gramEnd"/>
      <w:r w:rsidRPr="000B4951">
        <w:rPr>
          <w:rFonts w:ascii="Arial" w:hAnsi="Arial" w:cs="Arial"/>
          <w:sz w:val="24"/>
          <w:szCs w:val="24"/>
          <w:lang w:val="en-US"/>
        </w:rPr>
        <w:t xml:space="preserve"> into national law through Resolution No. 104/2005 by the former Technical Coordination Secretariat.</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This regulation generally establishes the obligation to inform, technical means to identify and correct data entry errors before completing the transaction, and the "double-click" rule regarding consent.</w:t>
      </w:r>
    </w:p>
    <w:p w:rsidR="00CB6E1C" w:rsidRPr="000B4951" w:rsidRDefault="00CB6E1C"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Mercosur Common Market Group Resolution No. 37/2019 on consumer protection in e-commerce, applicable to providers located or established in any of the Member States or operating commercially under any of their internet domains, stipulates that consumers must be guaranteed, throughout the transaction process, the right to clear, sufficient, truthful, and easily accessible information about the provider, the product and/or service, and the transaction carried out (</w:t>
      </w:r>
      <w:r w:rsidR="000B4951">
        <w:rPr>
          <w:rFonts w:ascii="Arial" w:hAnsi="Arial" w:cs="Arial"/>
          <w:sz w:val="24"/>
          <w:szCs w:val="24"/>
          <w:lang w:val="en-US"/>
        </w:rPr>
        <w:t>Paragraph</w:t>
      </w:r>
      <w:r w:rsidRPr="000B4951">
        <w:rPr>
          <w:rFonts w:ascii="Arial" w:hAnsi="Arial" w:cs="Arial"/>
          <w:sz w:val="24"/>
          <w:szCs w:val="24"/>
          <w:lang w:val="en-US"/>
        </w:rPr>
        <w:t xml:space="preserve"> 1).</w:t>
      </w:r>
      <w:proofErr w:type="gramEnd"/>
      <w:r w:rsidRPr="000B4951">
        <w:rPr>
          <w:rFonts w:ascii="Arial" w:hAnsi="Arial" w:cs="Arial"/>
          <w:sz w:val="24"/>
          <w:szCs w:val="24"/>
          <w:lang w:val="en-US"/>
        </w:rPr>
        <w:t xml:space="preserve"> The regulation details the information that must be present on the provider’s websites and other electronic means, in an easily visible location and before the contract is formalized (</w:t>
      </w:r>
      <w:r w:rsidR="000B4951">
        <w:rPr>
          <w:rFonts w:ascii="Arial" w:hAnsi="Arial" w:cs="Arial"/>
          <w:sz w:val="24"/>
          <w:szCs w:val="24"/>
          <w:lang w:val="en-US"/>
        </w:rPr>
        <w:t>Paragraph</w:t>
      </w:r>
      <w:r w:rsidRPr="000B4951">
        <w:rPr>
          <w:rFonts w:ascii="Arial" w:hAnsi="Arial" w:cs="Arial"/>
          <w:sz w:val="24"/>
          <w:szCs w:val="24"/>
          <w:lang w:val="en-US"/>
        </w:rPr>
        <w:t xml:space="preserve"> 2), as well as the terms of the contract, ensuring that they </w:t>
      </w:r>
      <w:proofErr w:type="gramStart"/>
      <w:r w:rsidRPr="000B4951">
        <w:rPr>
          <w:rFonts w:ascii="Arial" w:hAnsi="Arial" w:cs="Arial"/>
          <w:sz w:val="24"/>
          <w:szCs w:val="24"/>
          <w:lang w:val="en-US"/>
        </w:rPr>
        <w:t>can be read</w:t>
      </w:r>
      <w:proofErr w:type="gramEnd"/>
      <w:r w:rsidRPr="000B4951">
        <w:rPr>
          <w:rFonts w:ascii="Arial" w:hAnsi="Arial" w:cs="Arial"/>
          <w:sz w:val="24"/>
          <w:szCs w:val="24"/>
          <w:lang w:val="en-US"/>
        </w:rPr>
        <w:t xml:space="preserve">, saved, and/or stored by the consumer in an unalterable manner. </w:t>
      </w:r>
      <w:proofErr w:type="gramStart"/>
      <w:r w:rsidRPr="000B4951">
        <w:rPr>
          <w:rFonts w:ascii="Arial" w:hAnsi="Arial" w:cs="Arial"/>
          <w:sz w:val="24"/>
          <w:szCs w:val="24"/>
          <w:lang w:val="en-US"/>
        </w:rPr>
        <w:t>It also establishes rules on contract drafting (</w:t>
      </w:r>
      <w:r w:rsidR="000B4951">
        <w:rPr>
          <w:rFonts w:ascii="Arial" w:hAnsi="Arial" w:cs="Arial"/>
          <w:sz w:val="24"/>
          <w:szCs w:val="24"/>
          <w:lang w:val="en-US"/>
        </w:rPr>
        <w:t>Paragraph</w:t>
      </w:r>
      <w:r w:rsidRPr="000B4951">
        <w:rPr>
          <w:rFonts w:ascii="Arial" w:hAnsi="Arial" w:cs="Arial"/>
          <w:sz w:val="24"/>
          <w:szCs w:val="24"/>
          <w:lang w:val="en-US"/>
        </w:rPr>
        <w:t xml:space="preserve"> 4), the possibility of technical means to identify and correct data entry errors before completing the transaction (</w:t>
      </w:r>
      <w:r w:rsidR="000B4951">
        <w:rPr>
          <w:rFonts w:ascii="Arial" w:hAnsi="Arial" w:cs="Arial"/>
          <w:sz w:val="24"/>
          <w:szCs w:val="24"/>
          <w:lang w:val="en-US"/>
        </w:rPr>
        <w:t>Paragraph</w:t>
      </w:r>
      <w:r w:rsidRPr="000B4951">
        <w:rPr>
          <w:rFonts w:ascii="Arial" w:hAnsi="Arial" w:cs="Arial"/>
          <w:sz w:val="24"/>
          <w:szCs w:val="24"/>
          <w:lang w:val="en-US"/>
        </w:rPr>
        <w:t xml:space="preserve"> 5), the possibility of exercising the right of withdrawal or retraction within the time limits established by applicable law (</w:t>
      </w:r>
      <w:r w:rsidR="000B4951">
        <w:rPr>
          <w:rFonts w:ascii="Arial" w:hAnsi="Arial" w:cs="Arial"/>
          <w:sz w:val="24"/>
          <w:szCs w:val="24"/>
          <w:lang w:val="en-US"/>
        </w:rPr>
        <w:t>Paragraph</w:t>
      </w:r>
      <w:r w:rsidRPr="000B4951">
        <w:rPr>
          <w:rFonts w:ascii="Arial" w:hAnsi="Arial" w:cs="Arial"/>
          <w:sz w:val="24"/>
          <w:szCs w:val="24"/>
          <w:lang w:val="en-US"/>
        </w:rPr>
        <w:t xml:space="preserve"> 6), and the obligation of the provider to provide efficient consumer query and complaint services (</w:t>
      </w:r>
      <w:r w:rsidR="000B4951">
        <w:rPr>
          <w:rFonts w:ascii="Arial" w:hAnsi="Arial" w:cs="Arial"/>
          <w:sz w:val="24"/>
          <w:szCs w:val="24"/>
          <w:lang w:val="en-US"/>
        </w:rPr>
        <w:t>Paragraph</w:t>
      </w:r>
      <w:r w:rsidRPr="000B4951">
        <w:rPr>
          <w:rFonts w:ascii="Arial" w:hAnsi="Arial" w:cs="Arial"/>
          <w:sz w:val="24"/>
          <w:szCs w:val="24"/>
          <w:lang w:val="en-US"/>
        </w:rPr>
        <w:t xml:space="preserve"> 7).</w:t>
      </w:r>
      <w:proofErr w:type="gramEnd"/>
      <w:r w:rsidRPr="000B4951">
        <w:rPr>
          <w:rFonts w:ascii="Arial" w:hAnsi="Arial" w:cs="Arial"/>
          <w:sz w:val="24"/>
          <w:szCs w:val="24"/>
          <w:lang w:val="en-US"/>
        </w:rPr>
        <w:t xml:space="preserve"> </w:t>
      </w:r>
      <w:proofErr w:type="gramStart"/>
      <w:r w:rsidRPr="000B4951">
        <w:rPr>
          <w:rFonts w:ascii="Arial" w:hAnsi="Arial" w:cs="Arial"/>
          <w:sz w:val="24"/>
          <w:szCs w:val="24"/>
          <w:lang w:val="en-US"/>
        </w:rPr>
        <w:t xml:space="preserve">It also establishes that Member States should encourage providers to adopt agile, fair, transparent, accessible, and low-cost online dispute resolution mechanisms so that </w:t>
      </w:r>
      <w:r w:rsidRPr="000B4951">
        <w:rPr>
          <w:rFonts w:ascii="Arial" w:hAnsi="Arial" w:cs="Arial"/>
          <w:sz w:val="24"/>
          <w:szCs w:val="24"/>
          <w:lang w:val="en-US"/>
        </w:rPr>
        <w:lastRenderedPageBreak/>
        <w:t>consumers can obtain satisfaction for their claims, especially considering cases of claims by consumers in vulnerable and disadvantaged situations (</w:t>
      </w:r>
      <w:r w:rsidR="000B4951">
        <w:rPr>
          <w:rFonts w:ascii="Arial" w:hAnsi="Arial" w:cs="Arial"/>
          <w:sz w:val="24"/>
          <w:szCs w:val="24"/>
          <w:lang w:val="en-US"/>
        </w:rPr>
        <w:t>Paragraph</w:t>
      </w:r>
      <w:r w:rsidRPr="000B4951">
        <w:rPr>
          <w:rFonts w:ascii="Arial" w:hAnsi="Arial" w:cs="Arial"/>
          <w:sz w:val="24"/>
          <w:szCs w:val="24"/>
          <w:lang w:val="en-US"/>
        </w:rPr>
        <w:t xml:space="preserve"> 8), and that in activities related to cross-border e-commerce, consumer protection agencies or other competent bodies of the Member States should cooperate with each other to ensure the adequate protection of consumers (</w:t>
      </w:r>
      <w:r w:rsidR="000B4951">
        <w:rPr>
          <w:rFonts w:ascii="Arial" w:hAnsi="Arial" w:cs="Arial"/>
          <w:sz w:val="24"/>
          <w:szCs w:val="24"/>
          <w:lang w:val="en-US"/>
        </w:rPr>
        <w:t>Paragraph</w:t>
      </w:r>
      <w:r w:rsidRPr="000B4951">
        <w:rPr>
          <w:rFonts w:ascii="Arial" w:hAnsi="Arial" w:cs="Arial"/>
          <w:sz w:val="24"/>
          <w:szCs w:val="24"/>
          <w:lang w:val="en-US"/>
        </w:rPr>
        <w:t xml:space="preserve"> 9).</w:t>
      </w:r>
      <w:proofErr w:type="gramEnd"/>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C. Consumer Protection Law</w:t>
      </w:r>
    </w:p>
    <w:p w:rsidR="00CB6E1C" w:rsidRPr="000B4951" w:rsidRDefault="000B4951" w:rsidP="000B4951">
      <w:pPr>
        <w:spacing w:line="360" w:lineRule="auto"/>
        <w:jc w:val="both"/>
        <w:rPr>
          <w:rFonts w:ascii="Arial" w:hAnsi="Arial" w:cs="Arial"/>
          <w:sz w:val="24"/>
          <w:szCs w:val="24"/>
          <w:lang w:val="en-US"/>
        </w:rPr>
      </w:pPr>
      <w:r>
        <w:rPr>
          <w:rFonts w:ascii="Arial" w:hAnsi="Arial" w:cs="Arial"/>
          <w:sz w:val="24"/>
          <w:szCs w:val="24"/>
          <w:lang w:val="en-US"/>
        </w:rPr>
        <w:t>Act N</w:t>
      </w:r>
      <w:r w:rsidR="00CB6E1C" w:rsidRPr="000B4951">
        <w:rPr>
          <w:rFonts w:ascii="Arial" w:hAnsi="Arial" w:cs="Arial"/>
          <w:sz w:val="24"/>
          <w:szCs w:val="24"/>
          <w:lang w:val="en-US"/>
        </w:rPr>
        <w:t>o. 24.240 on Consumer Protection (LDC) also contains specific provisions related to contracts, without prejudice to the general provisions applicable to consumer relations, including those related to liability for damages. These provisions are:</w:t>
      </w:r>
    </w:p>
    <w:p w:rsidR="00CB6E1C" w:rsidRPr="000B4951" w:rsidRDefault="00CB6E1C" w:rsidP="000B4951">
      <w:pPr>
        <w:spacing w:line="360" w:lineRule="auto"/>
        <w:jc w:val="both"/>
        <w:rPr>
          <w:rFonts w:ascii="Arial" w:hAnsi="Arial" w:cs="Arial"/>
          <w:sz w:val="24"/>
          <w:szCs w:val="24"/>
          <w:lang w:val="en-US"/>
        </w:rPr>
      </w:pP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a) Form Parallelism for Rescission: The form parallelism for rescission concerning contracts concluded by electronic means (</w:t>
      </w:r>
      <w:r w:rsidR="000B4951">
        <w:rPr>
          <w:rFonts w:ascii="Arial" w:hAnsi="Arial" w:cs="Arial"/>
          <w:sz w:val="24"/>
          <w:szCs w:val="24"/>
          <w:lang w:val="en-US"/>
        </w:rPr>
        <w:t>Paragraph</w:t>
      </w:r>
      <w:r w:rsidRPr="000B4951">
        <w:rPr>
          <w:rFonts w:ascii="Arial" w:hAnsi="Arial" w:cs="Arial"/>
          <w:sz w:val="24"/>
          <w:szCs w:val="24"/>
          <w:lang w:val="en-US"/>
        </w:rPr>
        <w:t xml:space="preserve"> 10 </w:t>
      </w:r>
      <w:proofErr w:type="spellStart"/>
      <w:r w:rsidRPr="000B4951">
        <w:rPr>
          <w:rFonts w:ascii="Arial" w:hAnsi="Arial" w:cs="Arial"/>
          <w:sz w:val="24"/>
          <w:szCs w:val="24"/>
          <w:lang w:val="en-US"/>
        </w:rPr>
        <w:t>ter</w:t>
      </w:r>
      <w:proofErr w:type="spellEnd"/>
      <w:r w:rsidRPr="000B4951">
        <w:rPr>
          <w:rFonts w:ascii="Arial" w:hAnsi="Arial" w:cs="Arial"/>
          <w:sz w:val="24"/>
          <w:szCs w:val="24"/>
          <w:lang w:val="en-US"/>
        </w:rPr>
        <w:t>);</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b) Written Instrumentation with Withdrawal Right Notification: Written instrumentation, informing of the right of withdrawal (</w:t>
      </w:r>
      <w:r w:rsidR="000B4951">
        <w:rPr>
          <w:rFonts w:ascii="Arial" w:hAnsi="Arial" w:cs="Arial"/>
          <w:sz w:val="24"/>
          <w:szCs w:val="24"/>
          <w:lang w:val="en-US"/>
        </w:rPr>
        <w:t>Paragraph</w:t>
      </w:r>
      <w:r w:rsidRPr="000B4951">
        <w:rPr>
          <w:rFonts w:ascii="Arial" w:hAnsi="Arial" w:cs="Arial"/>
          <w:sz w:val="24"/>
          <w:szCs w:val="24"/>
          <w:lang w:val="en-US"/>
        </w:rPr>
        <w:t xml:space="preserve"> 34)</w:t>
      </w:r>
      <w:proofErr w:type="gramStart"/>
      <w:r w:rsidRPr="000B4951">
        <w:rPr>
          <w:rFonts w:ascii="Arial" w:hAnsi="Arial" w:cs="Arial"/>
          <w:sz w:val="24"/>
          <w:szCs w:val="24"/>
          <w:lang w:val="en-US"/>
        </w:rPr>
        <w:t>;</w:t>
      </w:r>
      <w:proofErr w:type="gramEnd"/>
    </w:p>
    <w:p w:rsidR="00CB6E1C" w:rsidRPr="000B4951" w:rsidRDefault="00CB6E1C"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c</w:t>
      </w:r>
      <w:proofErr w:type="gramEnd"/>
      <w:r w:rsidRPr="000B4951">
        <w:rPr>
          <w:rFonts w:ascii="Arial" w:hAnsi="Arial" w:cs="Arial"/>
          <w:sz w:val="24"/>
          <w:szCs w:val="24"/>
          <w:lang w:val="en-US"/>
        </w:rPr>
        <w:t>) Right of Withdrawal: The right of withdrawal (</w:t>
      </w:r>
      <w:r w:rsidR="000B4951">
        <w:rPr>
          <w:rFonts w:ascii="Arial" w:hAnsi="Arial" w:cs="Arial"/>
          <w:sz w:val="24"/>
          <w:szCs w:val="24"/>
          <w:lang w:val="en-US"/>
        </w:rPr>
        <w:t>Paragraph</w:t>
      </w:r>
      <w:r w:rsidRPr="000B4951">
        <w:rPr>
          <w:rFonts w:ascii="Arial" w:hAnsi="Arial" w:cs="Arial"/>
          <w:sz w:val="24"/>
          <w:szCs w:val="24"/>
          <w:lang w:val="en-US"/>
        </w:rPr>
        <w:t xml:space="preserve"> 34).</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It is true that there are no specific rules on liability. However, it is not true that there are no applicable rules. The general rules on safety obligations (</w:t>
      </w:r>
      <w:r w:rsidR="000B4951">
        <w:rPr>
          <w:rFonts w:ascii="Arial" w:hAnsi="Arial" w:cs="Arial"/>
          <w:sz w:val="24"/>
          <w:szCs w:val="24"/>
          <w:lang w:val="en-US"/>
        </w:rPr>
        <w:t>Paragraph</w:t>
      </w:r>
      <w:r w:rsidRPr="000B4951">
        <w:rPr>
          <w:rFonts w:ascii="Arial" w:hAnsi="Arial" w:cs="Arial"/>
          <w:sz w:val="24"/>
          <w:szCs w:val="24"/>
          <w:lang w:val="en-US"/>
        </w:rPr>
        <w:t>s 5 and 6 LDC), non-performance (</w:t>
      </w:r>
      <w:r w:rsidR="000B4951">
        <w:rPr>
          <w:rFonts w:ascii="Arial" w:hAnsi="Arial" w:cs="Arial"/>
          <w:sz w:val="24"/>
          <w:szCs w:val="24"/>
          <w:lang w:val="en-US"/>
        </w:rPr>
        <w:t>Paragraph</w:t>
      </w:r>
      <w:r w:rsidRPr="000B4951">
        <w:rPr>
          <w:rFonts w:ascii="Arial" w:hAnsi="Arial" w:cs="Arial"/>
          <w:sz w:val="24"/>
          <w:szCs w:val="24"/>
          <w:lang w:val="en-US"/>
        </w:rPr>
        <w:t xml:space="preserve"> 10 </w:t>
      </w:r>
      <w:proofErr w:type="spellStart"/>
      <w:r w:rsidRPr="000B4951">
        <w:rPr>
          <w:rFonts w:ascii="Arial" w:hAnsi="Arial" w:cs="Arial"/>
          <w:sz w:val="24"/>
          <w:szCs w:val="24"/>
          <w:lang w:val="en-US"/>
        </w:rPr>
        <w:t>bis</w:t>
      </w:r>
      <w:proofErr w:type="spellEnd"/>
      <w:r w:rsidRPr="000B4951">
        <w:rPr>
          <w:rFonts w:ascii="Arial" w:hAnsi="Arial" w:cs="Arial"/>
          <w:sz w:val="24"/>
          <w:szCs w:val="24"/>
          <w:lang w:val="en-US"/>
        </w:rPr>
        <w:t xml:space="preserve"> LDC), and objective and concurrent liability for risks or defects in goods or services (</w:t>
      </w:r>
      <w:r w:rsidR="000B4951">
        <w:rPr>
          <w:rFonts w:ascii="Arial" w:hAnsi="Arial" w:cs="Arial"/>
          <w:sz w:val="24"/>
          <w:szCs w:val="24"/>
          <w:lang w:val="en-US"/>
        </w:rPr>
        <w:t>Paragraph</w:t>
      </w:r>
      <w:r w:rsidRPr="000B4951">
        <w:rPr>
          <w:rFonts w:ascii="Arial" w:hAnsi="Arial" w:cs="Arial"/>
          <w:sz w:val="24"/>
          <w:szCs w:val="24"/>
          <w:lang w:val="en-US"/>
        </w:rPr>
        <w:t xml:space="preserve"> 40 LDC) are applicable. The ruling reveals the need for specific rules that deviate from these criteria; in our view, they are not necessary.</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D. Civil and Commercial Code</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The Civil and Commercial Code also establishes direct and indirect provisions related to electronic contracts.</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The direct provisions include:</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a) Written Instrumentation with Clear, Complete, and Easily Legible Clauses: Written instrumentation, with comprehensible and self-sufficient clauses, clear, complete, and easily legible drafting, and a prohibition on re-routing (</w:t>
      </w:r>
      <w:r w:rsidR="000B4951">
        <w:rPr>
          <w:rFonts w:ascii="Arial" w:hAnsi="Arial" w:cs="Arial"/>
          <w:sz w:val="24"/>
          <w:szCs w:val="24"/>
          <w:lang w:val="en-US"/>
        </w:rPr>
        <w:t>Paragraph</w:t>
      </w:r>
      <w:r w:rsidRPr="000B4951">
        <w:rPr>
          <w:rFonts w:ascii="Arial" w:hAnsi="Arial" w:cs="Arial"/>
          <w:sz w:val="24"/>
          <w:szCs w:val="24"/>
          <w:lang w:val="en-US"/>
        </w:rPr>
        <w:t xml:space="preserve"> 985)</w:t>
      </w:r>
      <w:proofErr w:type="gramStart"/>
      <w:r w:rsidRPr="000B4951">
        <w:rPr>
          <w:rFonts w:ascii="Arial" w:hAnsi="Arial" w:cs="Arial"/>
          <w:sz w:val="24"/>
          <w:szCs w:val="24"/>
          <w:lang w:val="en-US"/>
        </w:rPr>
        <w:t>;</w:t>
      </w:r>
      <w:proofErr w:type="gramEnd"/>
    </w:p>
    <w:p w:rsidR="00CB6E1C" w:rsidRPr="000B4951" w:rsidRDefault="00CB6E1C" w:rsidP="000B4951">
      <w:pPr>
        <w:spacing w:line="360" w:lineRule="auto"/>
        <w:jc w:val="both"/>
        <w:rPr>
          <w:rFonts w:ascii="Arial" w:hAnsi="Arial" w:cs="Arial"/>
          <w:sz w:val="24"/>
          <w:szCs w:val="24"/>
          <w:lang w:val="en-US"/>
        </w:rPr>
      </w:pP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b) Provider's Obligation to Inform: The provider's obligation to inform the consumer, in addition to the minimum contract content and the right to revoke, all the necessary data to properly use the chosen means, to understand the risks arising from its use, and to be absolutely clear about who assumes those risks (</w:t>
      </w:r>
      <w:r w:rsidR="000B4951">
        <w:rPr>
          <w:rFonts w:ascii="Arial" w:hAnsi="Arial" w:cs="Arial"/>
          <w:sz w:val="24"/>
          <w:szCs w:val="24"/>
          <w:lang w:val="en-US"/>
        </w:rPr>
        <w:t>Paragraph</w:t>
      </w:r>
      <w:r w:rsidRPr="000B4951">
        <w:rPr>
          <w:rFonts w:ascii="Arial" w:hAnsi="Arial" w:cs="Arial"/>
          <w:sz w:val="24"/>
          <w:szCs w:val="24"/>
          <w:lang w:val="en-US"/>
        </w:rPr>
        <w:t xml:space="preserve"> 1107);</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c) Validity of Electronic Offers: Offers for contracts made by electronic or similar means must remain valid during the period specified by the </w:t>
      </w:r>
      <w:proofErr w:type="spellStart"/>
      <w:r w:rsidRPr="000B4951">
        <w:rPr>
          <w:rFonts w:ascii="Arial" w:hAnsi="Arial" w:cs="Arial"/>
          <w:sz w:val="24"/>
          <w:szCs w:val="24"/>
          <w:lang w:val="en-US"/>
        </w:rPr>
        <w:t>offeror</w:t>
      </w:r>
      <w:proofErr w:type="spellEnd"/>
      <w:r w:rsidRPr="000B4951">
        <w:rPr>
          <w:rFonts w:ascii="Arial" w:hAnsi="Arial" w:cs="Arial"/>
          <w:sz w:val="24"/>
          <w:szCs w:val="24"/>
          <w:lang w:val="en-US"/>
        </w:rPr>
        <w:t xml:space="preserve"> or, failing that, for as long as they remain accessible to the recipient. The </w:t>
      </w:r>
      <w:proofErr w:type="spellStart"/>
      <w:r w:rsidRPr="000B4951">
        <w:rPr>
          <w:rFonts w:ascii="Arial" w:hAnsi="Arial" w:cs="Arial"/>
          <w:sz w:val="24"/>
          <w:szCs w:val="24"/>
          <w:lang w:val="en-US"/>
        </w:rPr>
        <w:t>offeror</w:t>
      </w:r>
      <w:proofErr w:type="spellEnd"/>
      <w:r w:rsidRPr="000B4951">
        <w:rPr>
          <w:rFonts w:ascii="Arial" w:hAnsi="Arial" w:cs="Arial"/>
          <w:sz w:val="24"/>
          <w:szCs w:val="24"/>
          <w:lang w:val="en-US"/>
        </w:rPr>
        <w:t xml:space="preserve"> must confirm the receipt of acceptance electronically and </w:t>
      </w:r>
      <w:proofErr w:type="gramStart"/>
      <w:r w:rsidRPr="000B4951">
        <w:rPr>
          <w:rFonts w:ascii="Arial" w:hAnsi="Arial" w:cs="Arial"/>
          <w:sz w:val="24"/>
          <w:szCs w:val="24"/>
          <w:lang w:val="en-US"/>
        </w:rPr>
        <w:t>without delay</w:t>
      </w:r>
      <w:proofErr w:type="gramEnd"/>
      <w:r w:rsidRPr="000B4951">
        <w:rPr>
          <w:rFonts w:ascii="Arial" w:hAnsi="Arial" w:cs="Arial"/>
          <w:sz w:val="24"/>
          <w:szCs w:val="24"/>
          <w:lang w:val="en-US"/>
        </w:rPr>
        <w:t xml:space="preserve"> (</w:t>
      </w:r>
      <w:r w:rsidR="000B4951">
        <w:rPr>
          <w:rFonts w:ascii="Arial" w:hAnsi="Arial" w:cs="Arial"/>
          <w:sz w:val="24"/>
          <w:szCs w:val="24"/>
          <w:lang w:val="en-US"/>
        </w:rPr>
        <w:t>Paragraph</w:t>
      </w:r>
      <w:r w:rsidRPr="000B4951">
        <w:rPr>
          <w:rFonts w:ascii="Arial" w:hAnsi="Arial" w:cs="Arial"/>
          <w:sz w:val="24"/>
          <w:szCs w:val="24"/>
          <w:lang w:val="en-US"/>
        </w:rPr>
        <w:t xml:space="preserve"> 1108);</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d) Regulation of Place of Performance and Prohibition of Jurisdiction Clause Extension: Regulation of the place of performance and prohibition of the extension of jurisdiction clauses (</w:t>
      </w:r>
      <w:r w:rsidR="000B4951">
        <w:rPr>
          <w:rFonts w:ascii="Arial" w:hAnsi="Arial" w:cs="Arial"/>
          <w:sz w:val="24"/>
          <w:szCs w:val="24"/>
          <w:lang w:val="en-US"/>
        </w:rPr>
        <w:t>Paragraph</w:t>
      </w:r>
      <w:r w:rsidRPr="000B4951">
        <w:rPr>
          <w:rFonts w:ascii="Arial" w:hAnsi="Arial" w:cs="Arial"/>
          <w:sz w:val="24"/>
          <w:szCs w:val="24"/>
          <w:lang w:val="en-US"/>
        </w:rPr>
        <w:t xml:space="preserve"> 1109);</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e) Right of Withdrawal: The right of withdrawal (</w:t>
      </w:r>
      <w:r w:rsidR="000B4951">
        <w:rPr>
          <w:rFonts w:ascii="Arial" w:hAnsi="Arial" w:cs="Arial"/>
          <w:sz w:val="24"/>
          <w:szCs w:val="24"/>
          <w:lang w:val="en-US"/>
        </w:rPr>
        <w:t>Paragraph</w:t>
      </w:r>
      <w:r w:rsidRPr="000B4951">
        <w:rPr>
          <w:rFonts w:ascii="Arial" w:hAnsi="Arial" w:cs="Arial"/>
          <w:sz w:val="24"/>
          <w:szCs w:val="24"/>
          <w:lang w:val="en-US"/>
        </w:rPr>
        <w:t>s 1110 to 1116).</w:t>
      </w:r>
    </w:p>
    <w:p w:rsidR="00CB6E1C" w:rsidRPr="000B4951" w:rsidRDefault="00CB6E1C" w:rsidP="000B4951">
      <w:pPr>
        <w:spacing w:line="360" w:lineRule="auto"/>
        <w:jc w:val="both"/>
        <w:rPr>
          <w:rFonts w:ascii="Arial" w:hAnsi="Arial" w:cs="Arial"/>
          <w:sz w:val="24"/>
          <w:szCs w:val="24"/>
          <w:lang w:val="en-US"/>
        </w:rPr>
      </w:pPr>
      <w:r w:rsidRPr="000B4951">
        <w:rPr>
          <w:rFonts w:ascii="Arial" w:hAnsi="Arial" w:cs="Arial"/>
          <w:sz w:val="24"/>
          <w:szCs w:val="24"/>
          <w:lang w:val="en-US"/>
        </w:rPr>
        <w:t>Among the indirect provisions, we highlight the rules on Private International Law, which are crucial for cross-border digital consumer relations:</w:t>
      </w:r>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a) Jurisdiction </w:t>
      </w:r>
      <w:r w:rsidR="000B4951">
        <w:rPr>
          <w:rFonts w:ascii="Arial" w:hAnsi="Arial" w:cs="Arial"/>
          <w:sz w:val="24"/>
          <w:szCs w:val="24"/>
          <w:lang w:val="en-US"/>
        </w:rPr>
        <w:t>Paragraph</w:t>
      </w:r>
      <w:r w:rsidRPr="000B4951">
        <w:rPr>
          <w:rFonts w:ascii="Arial" w:hAnsi="Arial" w:cs="Arial"/>
          <w:sz w:val="24"/>
          <w:szCs w:val="24"/>
          <w:lang w:val="en-US"/>
        </w:rPr>
        <w:t xml:space="preserve"> 2654 provides that claims related to consumer relations may be brought, at the consumer's choice, before the courts of the place where the contract was concluded, where the service was performed, where the goods were delivered, where the warranty obligation was fulfilled, at the defendant's domicile, or where the consumer performed the necessary acts to conclude the contract.</w:t>
      </w:r>
      <w:proofErr w:type="gramEnd"/>
      <w:r w:rsidRPr="000B4951">
        <w:rPr>
          <w:rFonts w:ascii="Arial" w:hAnsi="Arial" w:cs="Arial"/>
          <w:sz w:val="24"/>
          <w:szCs w:val="24"/>
          <w:lang w:val="en-US"/>
        </w:rPr>
        <w:t xml:space="preserve"> Additionally, the courts of the state where the defendant has a branch, agency, or any form of commercial representation are also competent if these were involved in the conclusion of the contract or if the defendant mentioned them </w:t>
      </w:r>
      <w:proofErr w:type="gramStart"/>
      <w:r w:rsidRPr="000B4951">
        <w:rPr>
          <w:rFonts w:ascii="Arial" w:hAnsi="Arial" w:cs="Arial"/>
          <w:sz w:val="24"/>
          <w:szCs w:val="24"/>
          <w:lang w:val="en-US"/>
        </w:rPr>
        <w:t>for the purpose of</w:t>
      </w:r>
      <w:proofErr w:type="gramEnd"/>
      <w:r w:rsidRPr="000B4951">
        <w:rPr>
          <w:rFonts w:ascii="Arial" w:hAnsi="Arial" w:cs="Arial"/>
          <w:sz w:val="24"/>
          <w:szCs w:val="24"/>
          <w:lang w:val="en-US"/>
        </w:rPr>
        <w:t xml:space="preserve"> fulfilling a contractual warranty. In cases where the consumer is the defendant, it </w:t>
      </w:r>
      <w:proofErr w:type="gramStart"/>
      <w:r w:rsidRPr="000B4951">
        <w:rPr>
          <w:rFonts w:ascii="Arial" w:hAnsi="Arial" w:cs="Arial"/>
          <w:sz w:val="24"/>
          <w:szCs w:val="24"/>
          <w:lang w:val="en-US"/>
        </w:rPr>
        <w:t>is established</w:t>
      </w:r>
      <w:proofErr w:type="gramEnd"/>
      <w:r w:rsidRPr="000B4951">
        <w:rPr>
          <w:rFonts w:ascii="Arial" w:hAnsi="Arial" w:cs="Arial"/>
          <w:sz w:val="24"/>
          <w:szCs w:val="24"/>
          <w:lang w:val="en-US"/>
        </w:rPr>
        <w:t xml:space="preserve"> that the action can only be brought before the courts of the state where </w:t>
      </w:r>
      <w:r w:rsidRPr="000B4951">
        <w:rPr>
          <w:rFonts w:ascii="Arial" w:hAnsi="Arial" w:cs="Arial"/>
          <w:sz w:val="24"/>
          <w:szCs w:val="24"/>
          <w:lang w:val="en-US"/>
        </w:rPr>
        <w:lastRenderedPageBreak/>
        <w:t xml:space="preserve">the consumer is domiciled. Furthermore, for these cases, a forum selection agreement </w:t>
      </w:r>
      <w:proofErr w:type="gramStart"/>
      <w:r w:rsidRPr="000B4951">
        <w:rPr>
          <w:rFonts w:ascii="Arial" w:hAnsi="Arial" w:cs="Arial"/>
          <w:sz w:val="24"/>
          <w:szCs w:val="24"/>
          <w:lang w:val="en-US"/>
        </w:rPr>
        <w:t>is also provided</w:t>
      </w:r>
      <w:proofErr w:type="gramEnd"/>
      <w:r w:rsidRPr="000B4951">
        <w:rPr>
          <w:rFonts w:ascii="Arial" w:hAnsi="Arial" w:cs="Arial"/>
          <w:sz w:val="24"/>
          <w:szCs w:val="24"/>
          <w:lang w:val="en-US"/>
        </w:rPr>
        <w:t>.</w:t>
      </w:r>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b) Applicable Law </w:t>
      </w:r>
      <w:r w:rsidR="000B4951">
        <w:rPr>
          <w:rFonts w:ascii="Arial" w:hAnsi="Arial" w:cs="Arial"/>
          <w:sz w:val="24"/>
          <w:szCs w:val="24"/>
          <w:lang w:val="en-US"/>
        </w:rPr>
        <w:t>Paragraph</w:t>
      </w:r>
      <w:r w:rsidRPr="000B4951">
        <w:rPr>
          <w:rFonts w:ascii="Arial" w:hAnsi="Arial" w:cs="Arial"/>
          <w:sz w:val="24"/>
          <w:szCs w:val="24"/>
          <w:lang w:val="en-US"/>
        </w:rPr>
        <w:t xml:space="preserve"> 2655 establishes that consumer contracts are governed by the law of the state where the consumer is domiciled if the contract's conclusion was preceded by an offer or advertising or activity carried out in the state of the consumer's domicile, and the consumer performed the necessary acts to conclude the contract there; if the provider received the order in the state of the consumer's domicile; if the consumer was induced by the provider to travel to a foreign state to place the order there; or if travel contracts, for a global price, include combined transportation and accommodation services.</w:t>
      </w:r>
      <w:proofErr w:type="gramEnd"/>
      <w:r w:rsidRPr="000B4951">
        <w:rPr>
          <w:rFonts w:ascii="Arial" w:hAnsi="Arial" w:cs="Arial"/>
          <w:sz w:val="24"/>
          <w:szCs w:val="24"/>
          <w:lang w:val="en-US"/>
        </w:rPr>
        <w:t xml:space="preserve"> Otherwise, </w:t>
      </w:r>
      <w:proofErr w:type="gramStart"/>
      <w:r w:rsidRPr="000B4951">
        <w:rPr>
          <w:rFonts w:ascii="Arial" w:hAnsi="Arial" w:cs="Arial"/>
          <w:sz w:val="24"/>
          <w:szCs w:val="24"/>
          <w:lang w:val="en-US"/>
        </w:rPr>
        <w:t>consumer contracts are governed by the law of the country where performance is to take place</w:t>
      </w:r>
      <w:proofErr w:type="gramEnd"/>
      <w:r w:rsidRPr="000B4951">
        <w:rPr>
          <w:rFonts w:ascii="Arial" w:hAnsi="Arial" w:cs="Arial"/>
          <w:sz w:val="24"/>
          <w:szCs w:val="24"/>
          <w:lang w:val="en-US"/>
        </w:rPr>
        <w:t xml:space="preserve">. If the place of performance cannot be determined, the </w:t>
      </w:r>
      <w:proofErr w:type="gramStart"/>
      <w:r w:rsidRPr="000B4951">
        <w:rPr>
          <w:rFonts w:ascii="Arial" w:hAnsi="Arial" w:cs="Arial"/>
          <w:sz w:val="24"/>
          <w:szCs w:val="24"/>
          <w:lang w:val="en-US"/>
        </w:rPr>
        <w:t>contract is governed by the law of the place where it was concluded</w:t>
      </w:r>
      <w:proofErr w:type="gramEnd"/>
      <w:r w:rsidRPr="000B4951">
        <w:rPr>
          <w:rFonts w:ascii="Arial" w:hAnsi="Arial" w:cs="Arial"/>
          <w:sz w:val="24"/>
          <w:szCs w:val="24"/>
          <w:lang w:val="en-US"/>
        </w:rPr>
        <w:t>.</w:t>
      </w:r>
    </w:p>
    <w:p w:rsidR="00A873F3" w:rsidRPr="000B4951" w:rsidRDefault="00A873F3" w:rsidP="000B4951">
      <w:pPr>
        <w:spacing w:line="360" w:lineRule="auto"/>
        <w:jc w:val="both"/>
        <w:rPr>
          <w:rFonts w:ascii="Arial" w:hAnsi="Arial" w:cs="Arial"/>
          <w:sz w:val="24"/>
          <w:szCs w:val="24"/>
          <w:lang w:val="en-US"/>
        </w:rPr>
      </w:pP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E. Regulations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2020, several regulations </w:t>
      </w:r>
      <w:proofErr w:type="gramStart"/>
      <w:r w:rsidRPr="000B4951">
        <w:rPr>
          <w:rFonts w:ascii="Arial" w:hAnsi="Arial" w:cs="Arial"/>
          <w:sz w:val="24"/>
          <w:szCs w:val="24"/>
          <w:lang w:val="en-US"/>
        </w:rPr>
        <w:t>were enacted</w:t>
      </w:r>
      <w:proofErr w:type="gramEnd"/>
      <w:r w:rsidRPr="000B4951">
        <w:rPr>
          <w:rFonts w:ascii="Arial" w:hAnsi="Arial" w:cs="Arial"/>
          <w:sz w:val="24"/>
          <w:szCs w:val="24"/>
          <w:lang w:val="en-US"/>
        </w:rPr>
        <w:t xml:space="preserve"> that complemented the previously described legal framework. These include: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a) Resolution No. 270/2020 of the Secretariat of Domestic Trade, which incorporates into national law the aforementioned Mercosur Resolution No. 37 of July 15, 2019, on consumer protection in e-commerce</w:t>
      </w:r>
      <w:proofErr w:type="gramStart"/>
      <w:r w:rsidRPr="000B4951">
        <w:rPr>
          <w:rFonts w:ascii="Arial" w:hAnsi="Arial" w:cs="Arial"/>
          <w:sz w:val="24"/>
          <w:szCs w:val="24"/>
          <w:lang w:val="en-US"/>
        </w:rPr>
        <w:t>;</w:t>
      </w:r>
      <w:proofErr w:type="gramEnd"/>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b) Resolution No. 271/2020 of the Secretariat of Domestic Trade, which implemented the provisions of </w:t>
      </w:r>
      <w:r w:rsidR="000B4951">
        <w:rPr>
          <w:rFonts w:ascii="Arial" w:hAnsi="Arial" w:cs="Arial"/>
          <w:sz w:val="24"/>
          <w:szCs w:val="24"/>
          <w:lang w:val="en-US"/>
        </w:rPr>
        <w:t>Paragraph</w:t>
      </w:r>
      <w:r w:rsidRPr="000B4951">
        <w:rPr>
          <w:rFonts w:ascii="Arial" w:hAnsi="Arial" w:cs="Arial"/>
          <w:sz w:val="24"/>
          <w:szCs w:val="24"/>
          <w:lang w:val="en-US"/>
        </w:rPr>
        <w:t xml:space="preserve"> 38 of </w:t>
      </w:r>
      <w:r w:rsidR="000B4951">
        <w:rPr>
          <w:rFonts w:ascii="Arial" w:hAnsi="Arial" w:cs="Arial"/>
          <w:sz w:val="24"/>
          <w:szCs w:val="24"/>
          <w:lang w:val="en-US"/>
        </w:rPr>
        <w:t>Act N</w:t>
      </w:r>
      <w:r w:rsidRPr="000B4951">
        <w:rPr>
          <w:rFonts w:ascii="Arial" w:hAnsi="Arial" w:cs="Arial"/>
          <w:sz w:val="24"/>
          <w:szCs w:val="24"/>
          <w:lang w:val="en-US"/>
        </w:rPr>
        <w:t>o. 24.240, requiring providers to publish all copies of adhesion contracts, as well as any other general and particular adhesion conditions that establish rights and obligations for their consumers and/or users, and also those directed at potential indeterminate consumers on the homepage of institutional websites.</w:t>
      </w:r>
      <w:proofErr w:type="gramEnd"/>
      <w:r w:rsidRPr="000B4951">
        <w:rPr>
          <w:rFonts w:ascii="Arial" w:hAnsi="Arial" w:cs="Arial"/>
          <w:sz w:val="24"/>
          <w:szCs w:val="24"/>
          <w:lang w:val="en-US"/>
        </w:rPr>
        <w:t xml:space="preserve"> These contracts </w:t>
      </w:r>
      <w:proofErr w:type="gramStart"/>
      <w:r w:rsidRPr="000B4951">
        <w:rPr>
          <w:rFonts w:ascii="Arial" w:hAnsi="Arial" w:cs="Arial"/>
          <w:sz w:val="24"/>
          <w:szCs w:val="24"/>
          <w:lang w:val="en-US"/>
        </w:rPr>
        <w:t>must be categorized</w:t>
      </w:r>
      <w:proofErr w:type="gramEnd"/>
      <w:r w:rsidRPr="000B4951">
        <w:rPr>
          <w:rFonts w:ascii="Arial" w:hAnsi="Arial" w:cs="Arial"/>
          <w:sz w:val="24"/>
          <w:szCs w:val="24"/>
          <w:lang w:val="en-US"/>
        </w:rPr>
        <w:t xml:space="preserve"> according to the product and/or service variants in question, and the promotions and discounts offered must be indicated precisely with start and end dates, as well as their modalities, conditions, and limitations. </w:t>
      </w:r>
      <w:proofErr w:type="gramStart"/>
      <w:r w:rsidRPr="000B4951">
        <w:rPr>
          <w:rFonts w:ascii="Arial" w:hAnsi="Arial" w:cs="Arial"/>
          <w:sz w:val="24"/>
          <w:szCs w:val="24"/>
          <w:lang w:val="en-US"/>
        </w:rPr>
        <w:t xml:space="preserve">This regulation also </w:t>
      </w:r>
      <w:r w:rsidRPr="000B4951">
        <w:rPr>
          <w:rFonts w:ascii="Arial" w:hAnsi="Arial" w:cs="Arial"/>
          <w:sz w:val="24"/>
          <w:szCs w:val="24"/>
          <w:lang w:val="en-US"/>
        </w:rPr>
        <w:lastRenderedPageBreak/>
        <w:t>amended Resolution No. 316/2018 of the former Secretariat of Commerce, extending the "Unsubscribe Button" tool not only to Fixed Telephony, Mobile Telephony, Internet Access, Subscription Broadcasting, and Prepaid Medicine Services, but also to Subscriptions to Newspapers or Magazines in print or digital format, Database Subscription Services, Travel Assistance Services, Medical Emergency and/or Medical Transportation Services, Gym or Club Memberships, Non-Banking Credit Card Issuance Contracts, and Periodic Donations with Automatic Debit to Civil Associations.</w:t>
      </w:r>
      <w:proofErr w:type="gramEnd"/>
      <w:r w:rsidRPr="000B4951">
        <w:rPr>
          <w:rFonts w:ascii="Arial" w:hAnsi="Arial" w:cs="Arial"/>
          <w:sz w:val="24"/>
          <w:szCs w:val="24"/>
          <w:lang w:val="en-US"/>
        </w:rPr>
        <w:t xml:space="preserve"> It also establishes that the provider cannot require the consumer to register or perform any other procedure to exercise the right of termination recognized in </w:t>
      </w:r>
      <w:r w:rsidR="000B4951">
        <w:rPr>
          <w:rFonts w:ascii="Arial" w:hAnsi="Arial" w:cs="Arial"/>
          <w:sz w:val="24"/>
          <w:szCs w:val="24"/>
          <w:lang w:val="en-US"/>
        </w:rPr>
        <w:t>Paragraph</w:t>
      </w:r>
      <w:r w:rsidRPr="000B4951">
        <w:rPr>
          <w:rFonts w:ascii="Arial" w:hAnsi="Arial" w:cs="Arial"/>
          <w:sz w:val="24"/>
          <w:szCs w:val="24"/>
          <w:lang w:val="en-US"/>
        </w:rPr>
        <w:t xml:space="preserve"> 10 </w:t>
      </w:r>
      <w:proofErr w:type="spellStart"/>
      <w:r w:rsidRPr="000B4951">
        <w:rPr>
          <w:rFonts w:ascii="Arial" w:hAnsi="Arial" w:cs="Arial"/>
          <w:sz w:val="24"/>
          <w:szCs w:val="24"/>
          <w:lang w:val="en-US"/>
        </w:rPr>
        <w:t>ter</w:t>
      </w:r>
      <w:proofErr w:type="spellEnd"/>
      <w:r w:rsidRPr="000B4951">
        <w:rPr>
          <w:rFonts w:ascii="Arial" w:hAnsi="Arial" w:cs="Arial"/>
          <w:sz w:val="24"/>
          <w:szCs w:val="24"/>
          <w:lang w:val="en-US"/>
        </w:rPr>
        <w:t xml:space="preserve"> of </w:t>
      </w:r>
      <w:r w:rsidR="000B4951">
        <w:rPr>
          <w:rFonts w:ascii="Arial" w:hAnsi="Arial" w:cs="Arial"/>
          <w:sz w:val="24"/>
          <w:szCs w:val="24"/>
          <w:lang w:val="en-US"/>
        </w:rPr>
        <w:t>Act N</w:t>
      </w:r>
      <w:r w:rsidRPr="000B4951">
        <w:rPr>
          <w:rFonts w:ascii="Arial" w:hAnsi="Arial" w:cs="Arial"/>
          <w:sz w:val="24"/>
          <w:szCs w:val="24"/>
          <w:lang w:val="en-US"/>
        </w:rPr>
        <w:t>o. 24.240</w:t>
      </w:r>
      <w:proofErr w:type="gramStart"/>
      <w:r w:rsidRPr="000B4951">
        <w:rPr>
          <w:rFonts w:ascii="Arial" w:hAnsi="Arial" w:cs="Arial"/>
          <w:sz w:val="24"/>
          <w:szCs w:val="24"/>
          <w:lang w:val="en-US"/>
        </w:rPr>
        <w:t>;</w:t>
      </w:r>
      <w:proofErr w:type="gramEnd"/>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c) Resolution No. 424/2020 of the Secretariat of Domestic Trade, which established that providers who market goods and services through websites or web applications must include a link titled "Withdrawal Button," through which the consumer may request the revocation of acceptance of the purchased product or contracted service, in accordance with </w:t>
      </w:r>
      <w:r w:rsidR="000B4951">
        <w:rPr>
          <w:rFonts w:ascii="Arial" w:hAnsi="Arial" w:cs="Arial"/>
          <w:sz w:val="24"/>
          <w:szCs w:val="24"/>
          <w:lang w:val="en-US"/>
        </w:rPr>
        <w:t>Paragraph</w:t>
      </w:r>
      <w:r w:rsidRPr="000B4951">
        <w:rPr>
          <w:rFonts w:ascii="Arial" w:hAnsi="Arial" w:cs="Arial"/>
          <w:sz w:val="24"/>
          <w:szCs w:val="24"/>
          <w:lang w:val="en-US"/>
        </w:rPr>
        <w:t xml:space="preserve">s 34 of </w:t>
      </w:r>
      <w:r w:rsidR="000B4951">
        <w:rPr>
          <w:rFonts w:ascii="Arial" w:hAnsi="Arial" w:cs="Arial"/>
          <w:sz w:val="24"/>
          <w:szCs w:val="24"/>
          <w:lang w:val="en-US"/>
        </w:rPr>
        <w:t>Act N</w:t>
      </w:r>
      <w:r w:rsidRPr="000B4951">
        <w:rPr>
          <w:rFonts w:ascii="Arial" w:hAnsi="Arial" w:cs="Arial"/>
          <w:sz w:val="24"/>
          <w:szCs w:val="24"/>
          <w:lang w:val="en-US"/>
        </w:rPr>
        <w:t>o. 24.240 and 1110 of the Civil and Commercial Code of the Nation.</w:t>
      </w:r>
      <w:proofErr w:type="gramEnd"/>
      <w:r w:rsidRPr="000B4951">
        <w:rPr>
          <w:rFonts w:ascii="Arial" w:hAnsi="Arial" w:cs="Arial"/>
          <w:sz w:val="24"/>
          <w:szCs w:val="24"/>
          <w:lang w:val="en-US"/>
        </w:rPr>
        <w:t xml:space="preserve"> Upon receiving the request for revocation of acceptance, the provider must, within 24 hours and by the same means, inform the consumer of the identification code for withdrawal or revocation.</w:t>
      </w:r>
    </w:p>
    <w:p w:rsidR="00A873F3" w:rsidRPr="000B4951" w:rsidRDefault="00A873F3" w:rsidP="000B4951">
      <w:pPr>
        <w:spacing w:line="360" w:lineRule="auto"/>
        <w:jc w:val="both"/>
        <w:rPr>
          <w:rFonts w:ascii="Arial" w:hAnsi="Arial" w:cs="Arial"/>
          <w:sz w:val="24"/>
          <w:szCs w:val="24"/>
          <w:lang w:val="en-US"/>
        </w:rPr>
      </w:pPr>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b/>
          <w:sz w:val="24"/>
          <w:szCs w:val="24"/>
          <w:lang w:val="en-US"/>
        </w:rPr>
        <w:t xml:space="preserve">VIII. Rules on Liability </w:t>
      </w:r>
      <w:r w:rsidRPr="000B4951">
        <w:rPr>
          <w:rFonts w:ascii="Arial" w:hAnsi="Arial" w:cs="Arial"/>
          <w:sz w:val="24"/>
          <w:szCs w:val="24"/>
          <w:lang w:val="en-US"/>
        </w:rPr>
        <w:t>Considering that in the digital environment, consumers must have a level of protection at least equivalent to that in face-to-face commerce, and that in digital consumer relationships the consumer's vulnerability is heightened, we conclude that the same rules, principles, and institutions of Consumer Law for face-to-face transactions apply to digital consumer relationships, without the need for special rules.</w:t>
      </w:r>
      <w:proofErr w:type="gramEnd"/>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In this regard, we can distinguish different situations: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Preventive Function: According to </w:t>
      </w:r>
      <w:r w:rsidR="000B4951">
        <w:rPr>
          <w:rFonts w:ascii="Arial" w:hAnsi="Arial" w:cs="Arial"/>
          <w:sz w:val="24"/>
          <w:szCs w:val="24"/>
          <w:lang w:val="en-US"/>
        </w:rPr>
        <w:t>Paragraph</w:t>
      </w:r>
      <w:r w:rsidRPr="000B4951">
        <w:rPr>
          <w:rFonts w:ascii="Arial" w:hAnsi="Arial" w:cs="Arial"/>
          <w:sz w:val="24"/>
          <w:szCs w:val="24"/>
          <w:lang w:val="en-US"/>
        </w:rPr>
        <w:t xml:space="preserve"> 1711, preventive action is the appropriate tool to prevent or stop harmful conduct in the digital environment. </w:t>
      </w:r>
      <w:r w:rsidRPr="000B4951">
        <w:rPr>
          <w:rFonts w:ascii="Arial" w:hAnsi="Arial" w:cs="Arial"/>
          <w:sz w:val="24"/>
          <w:szCs w:val="24"/>
          <w:lang w:val="en-US"/>
        </w:rPr>
        <w:lastRenderedPageBreak/>
        <w:t xml:space="preserve">Similarly, the cessation of advertising action provided for in </w:t>
      </w:r>
      <w:r w:rsidR="000B4951">
        <w:rPr>
          <w:rFonts w:ascii="Arial" w:hAnsi="Arial" w:cs="Arial"/>
          <w:sz w:val="24"/>
          <w:szCs w:val="24"/>
          <w:lang w:val="en-US"/>
        </w:rPr>
        <w:t>Paragraph</w:t>
      </w:r>
      <w:r w:rsidRPr="000B4951">
        <w:rPr>
          <w:rFonts w:ascii="Arial" w:hAnsi="Arial" w:cs="Arial"/>
          <w:sz w:val="24"/>
          <w:szCs w:val="24"/>
          <w:lang w:val="en-US"/>
        </w:rPr>
        <w:t xml:space="preserve"> 1102 of the CCC applies.</w:t>
      </w:r>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Breaches of Contractual or Legal Obligations by Providers: In cases of breach—for example, failure to deliver products, poor service provision, failure to comply with the duty of dignified and equitable treatment, the obligation of safety or information, among others—</w:t>
      </w:r>
      <w:r w:rsidR="000B4951">
        <w:rPr>
          <w:rFonts w:ascii="Arial" w:hAnsi="Arial" w:cs="Arial"/>
          <w:sz w:val="24"/>
          <w:szCs w:val="24"/>
          <w:lang w:val="en-US"/>
        </w:rPr>
        <w:t>Paragraph</w:t>
      </w:r>
      <w:r w:rsidRPr="000B4951">
        <w:rPr>
          <w:rFonts w:ascii="Arial" w:hAnsi="Arial" w:cs="Arial"/>
          <w:sz w:val="24"/>
          <w:szCs w:val="24"/>
          <w:lang w:val="en-US"/>
        </w:rPr>
        <w:t xml:space="preserve"> 10 </w:t>
      </w:r>
      <w:proofErr w:type="spellStart"/>
      <w:r w:rsidRPr="000B4951">
        <w:rPr>
          <w:rFonts w:ascii="Arial" w:hAnsi="Arial" w:cs="Arial"/>
          <w:sz w:val="24"/>
          <w:szCs w:val="24"/>
          <w:lang w:val="en-US"/>
        </w:rPr>
        <w:t>bis</w:t>
      </w:r>
      <w:proofErr w:type="spellEnd"/>
      <w:r w:rsidRPr="000B4951">
        <w:rPr>
          <w:rFonts w:ascii="Arial" w:hAnsi="Arial" w:cs="Arial"/>
          <w:sz w:val="24"/>
          <w:szCs w:val="24"/>
          <w:lang w:val="en-US"/>
        </w:rPr>
        <w:t xml:space="preserve"> of the LDC provides that in the event of a breach of the offer or contract by the provider, except for force majeure, the consumer is entitled to choose freely among:</w:t>
      </w:r>
      <w:proofErr w:type="gramEnd"/>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 Enforcing the obligation, </w:t>
      </w:r>
      <w:proofErr w:type="gramStart"/>
      <w:r w:rsidRPr="000B4951">
        <w:rPr>
          <w:rFonts w:ascii="Arial" w:hAnsi="Arial" w:cs="Arial"/>
          <w:sz w:val="24"/>
          <w:szCs w:val="24"/>
          <w:lang w:val="en-US"/>
        </w:rPr>
        <w:t>provided that</w:t>
      </w:r>
      <w:proofErr w:type="gramEnd"/>
      <w:r w:rsidRPr="000B4951">
        <w:rPr>
          <w:rFonts w:ascii="Arial" w:hAnsi="Arial" w:cs="Arial"/>
          <w:sz w:val="24"/>
          <w:szCs w:val="24"/>
          <w:lang w:val="en-US"/>
        </w:rPr>
        <w:t xml:space="preserve"> it is possible;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b) Accepting another equivalent product or service</w:t>
      </w:r>
      <w:proofErr w:type="gramStart"/>
      <w:r w:rsidRPr="000B4951">
        <w:rPr>
          <w:rFonts w:ascii="Arial" w:hAnsi="Arial" w:cs="Arial"/>
          <w:sz w:val="24"/>
          <w:szCs w:val="24"/>
          <w:lang w:val="en-US"/>
        </w:rPr>
        <w:t>;</w:t>
      </w:r>
      <w:proofErr w:type="gramEnd"/>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c) Terminating the contract with the right to a refund of the amounts paid, without prejudice to the effects produced, considering the entirety of the contract.</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All of this is without prejudice to any damages claims that may arise.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For example, this </w:t>
      </w:r>
      <w:proofErr w:type="gramStart"/>
      <w:r w:rsidRPr="000B4951">
        <w:rPr>
          <w:rFonts w:ascii="Arial" w:hAnsi="Arial" w:cs="Arial"/>
          <w:sz w:val="24"/>
          <w:szCs w:val="24"/>
          <w:lang w:val="en-US"/>
        </w:rPr>
        <w:t>has been applied</w:t>
      </w:r>
      <w:proofErr w:type="gramEnd"/>
      <w:r w:rsidRPr="000B4951">
        <w:rPr>
          <w:rFonts w:ascii="Arial" w:hAnsi="Arial" w:cs="Arial"/>
          <w:sz w:val="24"/>
          <w:szCs w:val="24"/>
          <w:lang w:val="en-US"/>
        </w:rPr>
        <w:t xml:space="preserve"> to hold a platform accountable for refusing to provide information about a seller who failed to deliver a product, or for breaching the obligation of safety and dignified treatment when collecting tickets for a sports event purchased online, or for failing to provide information.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Damage to Goods: In such cases, the rules on warranties apply; </w:t>
      </w:r>
      <w:r w:rsidR="000B4951">
        <w:rPr>
          <w:rFonts w:ascii="Arial" w:hAnsi="Arial" w:cs="Arial"/>
          <w:sz w:val="24"/>
          <w:szCs w:val="24"/>
          <w:lang w:val="en-US"/>
        </w:rPr>
        <w:t>Paragraph</w:t>
      </w:r>
      <w:r w:rsidRPr="000B4951">
        <w:rPr>
          <w:rFonts w:ascii="Arial" w:hAnsi="Arial" w:cs="Arial"/>
          <w:sz w:val="24"/>
          <w:szCs w:val="24"/>
          <w:lang w:val="en-US"/>
        </w:rPr>
        <w:t xml:space="preserve">s 11 to 18 of the LDC regulate warranties for non-consumable goods, while </w:t>
      </w:r>
      <w:r w:rsidR="000B4951">
        <w:rPr>
          <w:rFonts w:ascii="Arial" w:hAnsi="Arial" w:cs="Arial"/>
          <w:sz w:val="24"/>
          <w:szCs w:val="24"/>
          <w:lang w:val="en-US"/>
        </w:rPr>
        <w:t>Paragraph</w:t>
      </w:r>
      <w:r w:rsidRPr="000B4951">
        <w:rPr>
          <w:rFonts w:ascii="Arial" w:hAnsi="Arial" w:cs="Arial"/>
          <w:sz w:val="24"/>
          <w:szCs w:val="24"/>
          <w:lang w:val="en-US"/>
        </w:rPr>
        <w:t>s 23 and 24 cover services.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Damage Caused by Goods or Services: In such cases, the provision of </w:t>
      </w:r>
      <w:r w:rsidR="000B4951">
        <w:rPr>
          <w:rFonts w:ascii="Arial" w:hAnsi="Arial" w:cs="Arial"/>
          <w:sz w:val="24"/>
          <w:szCs w:val="24"/>
          <w:lang w:val="en-US"/>
        </w:rPr>
        <w:t>Paragraph</w:t>
      </w:r>
      <w:r w:rsidRPr="000B4951">
        <w:rPr>
          <w:rFonts w:ascii="Arial" w:hAnsi="Arial" w:cs="Arial"/>
          <w:sz w:val="24"/>
          <w:szCs w:val="24"/>
          <w:lang w:val="en-US"/>
        </w:rPr>
        <w:t xml:space="preserve"> 40 of the LDC applies. This </w:t>
      </w:r>
      <w:r w:rsidR="000B4951">
        <w:rPr>
          <w:rFonts w:ascii="Arial" w:hAnsi="Arial" w:cs="Arial"/>
          <w:sz w:val="24"/>
          <w:szCs w:val="24"/>
          <w:lang w:val="en-US"/>
        </w:rPr>
        <w:t>Paragraph</w:t>
      </w:r>
      <w:r w:rsidRPr="000B4951">
        <w:rPr>
          <w:rFonts w:ascii="Arial" w:hAnsi="Arial" w:cs="Arial"/>
          <w:sz w:val="24"/>
          <w:szCs w:val="24"/>
          <w:lang w:val="en-US"/>
        </w:rPr>
        <w:t xml:space="preserve"> states: "If the consumer's damage results from the defect or risk of the product or service, the producer, manufacturer, importer, distributor, provider, seller, and anyone who has placed their brand on the product or service will be held liable. The carrier will be liable for damages caused to the product during or </w:t>
      </w:r>
      <w:proofErr w:type="gramStart"/>
      <w:r w:rsidRPr="000B4951">
        <w:rPr>
          <w:rFonts w:ascii="Arial" w:hAnsi="Arial" w:cs="Arial"/>
          <w:sz w:val="24"/>
          <w:szCs w:val="24"/>
          <w:lang w:val="en-US"/>
        </w:rPr>
        <w:t>on the occasion of</w:t>
      </w:r>
      <w:proofErr w:type="gramEnd"/>
      <w:r w:rsidRPr="000B4951">
        <w:rPr>
          <w:rFonts w:ascii="Arial" w:hAnsi="Arial" w:cs="Arial"/>
          <w:sz w:val="24"/>
          <w:szCs w:val="24"/>
          <w:lang w:val="en-US"/>
        </w:rPr>
        <w:t xml:space="preserve"> the service.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Liability is joint and several, without prejudice to any recourse actions that may apply. Only those who can demonstrate that the cause of the damage was beyond their control will be fully or partially exonerated."</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This establishes an objective liability standard and concurrent liability for the entire supply chain. Indeed, </w:t>
      </w:r>
      <w:r w:rsidR="000B4951">
        <w:rPr>
          <w:rFonts w:ascii="Arial" w:hAnsi="Arial" w:cs="Arial"/>
          <w:sz w:val="24"/>
          <w:szCs w:val="24"/>
          <w:lang w:val="en-US"/>
        </w:rPr>
        <w:t>Paragraph</w:t>
      </w:r>
      <w:r w:rsidRPr="000B4951">
        <w:rPr>
          <w:rFonts w:ascii="Arial" w:hAnsi="Arial" w:cs="Arial"/>
          <w:sz w:val="24"/>
          <w:szCs w:val="24"/>
          <w:lang w:val="en-US"/>
        </w:rPr>
        <w:t xml:space="preserve"> 40 imposes broad passive legitimacy among all components of the supply chain, such as virtual intermediation.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objective attribution factor for liability </w:t>
      </w:r>
      <w:proofErr w:type="gramStart"/>
      <w:r w:rsidRPr="000B4951">
        <w:rPr>
          <w:rFonts w:ascii="Arial" w:hAnsi="Arial" w:cs="Arial"/>
          <w:sz w:val="24"/>
          <w:szCs w:val="24"/>
          <w:lang w:val="en-US"/>
        </w:rPr>
        <w:t>can also be based</w:t>
      </w:r>
      <w:proofErr w:type="gramEnd"/>
      <w:r w:rsidRPr="000B4951">
        <w:rPr>
          <w:rFonts w:ascii="Arial" w:hAnsi="Arial" w:cs="Arial"/>
          <w:sz w:val="24"/>
          <w:szCs w:val="24"/>
          <w:lang w:val="en-US"/>
        </w:rPr>
        <w:t xml:space="preserve"> on trust and the understanding of the internet as a risky activity.</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Regarding the trust factor, some rulings have framed it in that way; others have framed it as activity risk. In other cases, platform liability </w:t>
      </w:r>
      <w:proofErr w:type="gramStart"/>
      <w:r w:rsidRPr="000B4951">
        <w:rPr>
          <w:rFonts w:ascii="Arial" w:hAnsi="Arial" w:cs="Arial"/>
          <w:sz w:val="24"/>
          <w:szCs w:val="24"/>
          <w:lang w:val="en-US"/>
        </w:rPr>
        <w:t>has been denied</w:t>
      </w:r>
      <w:proofErr w:type="gramEnd"/>
      <w:r w:rsidRPr="000B4951">
        <w:rPr>
          <w:rFonts w:ascii="Arial" w:hAnsi="Arial" w:cs="Arial"/>
          <w:sz w:val="24"/>
          <w:szCs w:val="24"/>
          <w:lang w:val="en-US"/>
        </w:rPr>
        <w:t xml:space="preserve"> where the platform did not play an active role in the transaction but simply advertised listings.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Punitive Damages: Punitive damages, regulated in </w:t>
      </w:r>
      <w:r w:rsidR="000B4951">
        <w:rPr>
          <w:rFonts w:ascii="Arial" w:hAnsi="Arial" w:cs="Arial"/>
          <w:sz w:val="24"/>
          <w:szCs w:val="24"/>
          <w:lang w:val="en-US"/>
        </w:rPr>
        <w:t>Paragraph</w:t>
      </w:r>
      <w:r w:rsidRPr="000B4951">
        <w:rPr>
          <w:rFonts w:ascii="Arial" w:hAnsi="Arial" w:cs="Arial"/>
          <w:sz w:val="24"/>
          <w:szCs w:val="24"/>
          <w:lang w:val="en-US"/>
        </w:rPr>
        <w:t xml:space="preserve"> 52 </w:t>
      </w:r>
      <w:proofErr w:type="spellStart"/>
      <w:r w:rsidRPr="000B4951">
        <w:rPr>
          <w:rFonts w:ascii="Arial" w:hAnsi="Arial" w:cs="Arial"/>
          <w:sz w:val="24"/>
          <w:szCs w:val="24"/>
          <w:lang w:val="en-US"/>
        </w:rPr>
        <w:t>bis</w:t>
      </w:r>
      <w:proofErr w:type="spellEnd"/>
      <w:r w:rsidRPr="000B4951">
        <w:rPr>
          <w:rFonts w:ascii="Arial" w:hAnsi="Arial" w:cs="Arial"/>
          <w:sz w:val="24"/>
          <w:szCs w:val="24"/>
          <w:lang w:val="en-US"/>
        </w:rPr>
        <w:t xml:space="preserve"> of the LDC, play a fundamental role in deterring and dismantling practices that seriously disregard consumers' rights in the digital environment, due to their preventive, dissuasive, exemplary, and punitive functions.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It is also interesting to apply other concepts, such as: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Contractual Connectivity: The concept of contractual connectivity is highly relevant in digital consumer relationships. As </w:t>
      </w:r>
      <w:proofErr w:type="gramStart"/>
      <w:r w:rsidRPr="000B4951">
        <w:rPr>
          <w:rFonts w:ascii="Arial" w:hAnsi="Arial" w:cs="Arial"/>
          <w:sz w:val="24"/>
          <w:szCs w:val="24"/>
          <w:lang w:val="en-US"/>
        </w:rPr>
        <w:t>previously</w:t>
      </w:r>
      <w:proofErr w:type="gramEnd"/>
      <w:r w:rsidRPr="000B4951">
        <w:rPr>
          <w:rFonts w:ascii="Arial" w:hAnsi="Arial" w:cs="Arial"/>
          <w:sz w:val="24"/>
          <w:szCs w:val="24"/>
          <w:lang w:val="en-US"/>
        </w:rPr>
        <w:t xml:space="preserve"> mentioned, different actors with various relationships with each other and the digital consumer (platform organizers, providers of goods and services, payment systems, delivery, ratings, etc.) can be involved in online operations. By applying the rules of </w:t>
      </w:r>
      <w:r w:rsidR="000B4951">
        <w:rPr>
          <w:rFonts w:ascii="Arial" w:hAnsi="Arial" w:cs="Arial"/>
          <w:sz w:val="24"/>
          <w:szCs w:val="24"/>
          <w:lang w:val="en-US"/>
        </w:rPr>
        <w:t>Paragraph</w:t>
      </w:r>
      <w:r w:rsidRPr="000B4951">
        <w:rPr>
          <w:rFonts w:ascii="Arial" w:hAnsi="Arial" w:cs="Arial"/>
          <w:sz w:val="24"/>
          <w:szCs w:val="24"/>
          <w:lang w:val="en-US"/>
        </w:rPr>
        <w:t xml:space="preserve">s 1073 to 1075 and 1122 and related </w:t>
      </w:r>
      <w:r w:rsidR="000B4951">
        <w:rPr>
          <w:rFonts w:ascii="Arial" w:hAnsi="Arial" w:cs="Arial"/>
          <w:sz w:val="24"/>
          <w:szCs w:val="24"/>
          <w:lang w:val="en-US"/>
        </w:rPr>
        <w:t>Paragraph</w:t>
      </w:r>
      <w:r w:rsidRPr="000B4951">
        <w:rPr>
          <w:rFonts w:ascii="Arial" w:hAnsi="Arial" w:cs="Arial"/>
          <w:sz w:val="24"/>
          <w:szCs w:val="24"/>
          <w:lang w:val="en-US"/>
        </w:rPr>
        <w:t xml:space="preserve">s of the CCC, </w:t>
      </w:r>
      <w:proofErr w:type="spellStart"/>
      <w:r w:rsidRPr="000B4951">
        <w:rPr>
          <w:rFonts w:ascii="Arial" w:hAnsi="Arial" w:cs="Arial"/>
          <w:sz w:val="24"/>
          <w:szCs w:val="24"/>
          <w:lang w:val="en-US"/>
        </w:rPr>
        <w:t>intercontractual</w:t>
      </w:r>
      <w:proofErr w:type="spellEnd"/>
      <w:r w:rsidRPr="000B4951">
        <w:rPr>
          <w:rFonts w:ascii="Arial" w:hAnsi="Arial" w:cs="Arial"/>
          <w:sz w:val="24"/>
          <w:szCs w:val="24"/>
          <w:lang w:val="en-US"/>
        </w:rPr>
        <w:t xml:space="preserve"> interpretation rules and </w:t>
      </w:r>
      <w:proofErr w:type="spellStart"/>
      <w:r w:rsidRPr="000B4951">
        <w:rPr>
          <w:rFonts w:ascii="Arial" w:hAnsi="Arial" w:cs="Arial"/>
          <w:sz w:val="24"/>
          <w:szCs w:val="24"/>
          <w:lang w:val="en-US"/>
        </w:rPr>
        <w:t>intercontractual</w:t>
      </w:r>
      <w:proofErr w:type="spellEnd"/>
      <w:r w:rsidRPr="000B4951">
        <w:rPr>
          <w:rFonts w:ascii="Arial" w:hAnsi="Arial" w:cs="Arial"/>
          <w:sz w:val="24"/>
          <w:szCs w:val="24"/>
          <w:lang w:val="en-US"/>
        </w:rPr>
        <w:t xml:space="preserve"> effects will apply concerning non-performance, invalidity, or termination of the contract, extending that effect to the other relationships.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Unfair terms: The control of abusive clauses is another issue of vital interest in digital consumer relationships.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Some of the most common examples include those related to the authorization of personal data use, jurisdiction clauses, exemption or limitation of the liability of one </w:t>
      </w:r>
      <w:r w:rsidRPr="000B4951">
        <w:rPr>
          <w:rFonts w:ascii="Arial" w:hAnsi="Arial" w:cs="Arial"/>
          <w:sz w:val="24"/>
          <w:szCs w:val="24"/>
          <w:lang w:val="en-US"/>
        </w:rPr>
        <w:lastRenderedPageBreak/>
        <w:t xml:space="preserve">of the parties, or waiver of consumer rights, in accordance with </w:t>
      </w:r>
      <w:r w:rsidR="000B4951">
        <w:rPr>
          <w:rFonts w:ascii="Arial" w:hAnsi="Arial" w:cs="Arial"/>
          <w:sz w:val="24"/>
          <w:szCs w:val="24"/>
          <w:lang w:val="en-US"/>
        </w:rPr>
        <w:t>Paragraph</w:t>
      </w:r>
      <w:r w:rsidRPr="000B4951">
        <w:rPr>
          <w:rFonts w:ascii="Arial" w:hAnsi="Arial" w:cs="Arial"/>
          <w:sz w:val="24"/>
          <w:szCs w:val="24"/>
          <w:lang w:val="en-US"/>
        </w:rPr>
        <w:t xml:space="preserve">s 37 LDC, 988, 1109, and related </w:t>
      </w:r>
      <w:r w:rsidR="000B4951">
        <w:rPr>
          <w:rFonts w:ascii="Arial" w:hAnsi="Arial" w:cs="Arial"/>
          <w:sz w:val="24"/>
          <w:szCs w:val="24"/>
          <w:lang w:val="en-US"/>
        </w:rPr>
        <w:t>Paragraph</w:t>
      </w:r>
      <w:r w:rsidRPr="000B4951">
        <w:rPr>
          <w:rFonts w:ascii="Arial" w:hAnsi="Arial" w:cs="Arial"/>
          <w:sz w:val="24"/>
          <w:szCs w:val="24"/>
          <w:lang w:val="en-US"/>
        </w:rPr>
        <w:t>s of the CCC.</w:t>
      </w:r>
    </w:p>
    <w:p w:rsidR="00C7123D"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Jurisprudence has established </w:t>
      </w:r>
      <w:proofErr w:type="gramStart"/>
      <w:r w:rsidRPr="000B4951">
        <w:rPr>
          <w:rFonts w:ascii="Arial" w:hAnsi="Arial" w:cs="Arial"/>
          <w:sz w:val="24"/>
          <w:szCs w:val="24"/>
          <w:lang w:val="en-US"/>
        </w:rPr>
        <w:t>this regarding jurisdiction clauses</w:t>
      </w:r>
      <w:proofErr w:type="gramEnd"/>
      <w:r w:rsidRPr="000B4951">
        <w:rPr>
          <w:rFonts w:ascii="Arial" w:hAnsi="Arial" w:cs="Arial"/>
          <w:sz w:val="24"/>
          <w:szCs w:val="24"/>
          <w:lang w:val="en-US"/>
        </w:rPr>
        <w:t>, even in cross-border cases, or regarding the absence of information about the right of withdrawal.</w:t>
      </w:r>
    </w:p>
    <w:p w:rsidR="00A873F3" w:rsidRPr="000B4951" w:rsidRDefault="00A873F3" w:rsidP="000B4951">
      <w:pPr>
        <w:spacing w:line="360" w:lineRule="auto"/>
        <w:jc w:val="both"/>
        <w:rPr>
          <w:rFonts w:ascii="Arial" w:hAnsi="Arial" w:cs="Arial"/>
          <w:b/>
          <w:sz w:val="24"/>
          <w:szCs w:val="24"/>
          <w:lang w:val="en-US"/>
        </w:rPr>
      </w:pPr>
      <w:r w:rsidRPr="000B4951">
        <w:rPr>
          <w:rFonts w:ascii="Arial" w:hAnsi="Arial" w:cs="Arial"/>
          <w:b/>
          <w:sz w:val="24"/>
          <w:szCs w:val="24"/>
          <w:lang w:val="en-US"/>
        </w:rPr>
        <w:t>IX. Regulation in Consumer Protection Code Drafts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Currently, there are winds of reform blowing in Argentine Consumer Law. This process has had several key milestones: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 On December 6, 2018, a commission of jurists, mainly comprised of expert professors in the field, presented the text of a Draft Bill for Consumer Protection Law. This Draft Bill, consisting of 184 </w:t>
      </w:r>
      <w:r w:rsidR="000B4951">
        <w:rPr>
          <w:rFonts w:ascii="Arial" w:hAnsi="Arial" w:cs="Arial"/>
          <w:sz w:val="24"/>
          <w:szCs w:val="24"/>
          <w:lang w:val="en-US"/>
        </w:rPr>
        <w:t>Paragraph</w:t>
      </w:r>
      <w:r w:rsidRPr="000B4951">
        <w:rPr>
          <w:rFonts w:ascii="Arial" w:hAnsi="Arial" w:cs="Arial"/>
          <w:sz w:val="24"/>
          <w:szCs w:val="24"/>
          <w:lang w:val="en-US"/>
        </w:rPr>
        <w:t xml:space="preserve">s, is a comprehensive reform intended to replace the currently in force </w:t>
      </w:r>
      <w:r w:rsidR="000B4951">
        <w:rPr>
          <w:rFonts w:ascii="Arial" w:hAnsi="Arial" w:cs="Arial"/>
          <w:sz w:val="24"/>
          <w:szCs w:val="24"/>
          <w:lang w:val="en-US"/>
        </w:rPr>
        <w:t>Act N</w:t>
      </w:r>
      <w:r w:rsidRPr="000B4951">
        <w:rPr>
          <w:rFonts w:ascii="Arial" w:hAnsi="Arial" w:cs="Arial"/>
          <w:sz w:val="24"/>
          <w:szCs w:val="24"/>
          <w:lang w:val="en-US"/>
        </w:rPr>
        <w:t>o. 24.240.</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b) After the Draft Bill </w:t>
      </w:r>
      <w:proofErr w:type="gramStart"/>
      <w:r w:rsidRPr="000B4951">
        <w:rPr>
          <w:rFonts w:ascii="Arial" w:hAnsi="Arial" w:cs="Arial"/>
          <w:sz w:val="24"/>
          <w:szCs w:val="24"/>
          <w:lang w:val="en-US"/>
        </w:rPr>
        <w:t>was presented</w:t>
      </w:r>
      <w:proofErr w:type="gramEnd"/>
      <w:r w:rsidRPr="000B4951">
        <w:rPr>
          <w:rFonts w:ascii="Arial" w:hAnsi="Arial" w:cs="Arial"/>
          <w:sz w:val="24"/>
          <w:szCs w:val="24"/>
          <w:lang w:val="en-US"/>
        </w:rPr>
        <w:t xml:space="preserve">, public hearings were held, and the text was subjected to a consultation process. </w:t>
      </w:r>
      <w:proofErr w:type="gramStart"/>
      <w:r w:rsidRPr="000B4951">
        <w:rPr>
          <w:rFonts w:ascii="Arial" w:hAnsi="Arial" w:cs="Arial"/>
          <w:sz w:val="24"/>
          <w:szCs w:val="24"/>
          <w:lang w:val="en-US"/>
        </w:rPr>
        <w:t xml:space="preserve">This process resulted in a second text, Bill 2576-S-19, introduced in the Senate by senators from different parties (the Bill was signed by Senators Olga I. </w:t>
      </w:r>
      <w:proofErr w:type="spellStart"/>
      <w:r w:rsidRPr="000B4951">
        <w:rPr>
          <w:rFonts w:ascii="Arial" w:hAnsi="Arial" w:cs="Arial"/>
          <w:sz w:val="24"/>
          <w:szCs w:val="24"/>
          <w:lang w:val="en-US"/>
        </w:rPr>
        <w:t>Brizuela</w:t>
      </w:r>
      <w:proofErr w:type="spellEnd"/>
      <w:r w:rsidRPr="000B4951">
        <w:rPr>
          <w:rFonts w:ascii="Arial" w:hAnsi="Arial" w:cs="Arial"/>
          <w:sz w:val="24"/>
          <w:szCs w:val="24"/>
          <w:lang w:val="en-US"/>
        </w:rPr>
        <w:t xml:space="preserve"> y </w:t>
      </w:r>
      <w:proofErr w:type="spellStart"/>
      <w:r w:rsidRPr="000B4951">
        <w:rPr>
          <w:rFonts w:ascii="Arial" w:hAnsi="Arial" w:cs="Arial"/>
          <w:sz w:val="24"/>
          <w:szCs w:val="24"/>
          <w:lang w:val="en-US"/>
        </w:rPr>
        <w:t>Doria</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Dalmacio</w:t>
      </w:r>
      <w:proofErr w:type="spellEnd"/>
      <w:r w:rsidRPr="000B4951">
        <w:rPr>
          <w:rFonts w:ascii="Arial" w:hAnsi="Arial" w:cs="Arial"/>
          <w:sz w:val="24"/>
          <w:szCs w:val="24"/>
          <w:lang w:val="en-US"/>
        </w:rPr>
        <w:t xml:space="preserve"> E. </w:t>
      </w:r>
      <w:proofErr w:type="spellStart"/>
      <w:r w:rsidRPr="000B4951">
        <w:rPr>
          <w:rFonts w:ascii="Arial" w:hAnsi="Arial" w:cs="Arial"/>
          <w:sz w:val="24"/>
          <w:szCs w:val="24"/>
          <w:lang w:val="en-US"/>
        </w:rPr>
        <w:t>Mera</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María</w:t>
      </w:r>
      <w:proofErr w:type="spellEnd"/>
      <w:r w:rsidRPr="000B4951">
        <w:rPr>
          <w:rFonts w:ascii="Arial" w:hAnsi="Arial" w:cs="Arial"/>
          <w:sz w:val="24"/>
          <w:szCs w:val="24"/>
          <w:lang w:val="en-US"/>
        </w:rPr>
        <w:t xml:space="preserve"> B. Tapia, Pamela F. </w:t>
      </w:r>
      <w:proofErr w:type="spellStart"/>
      <w:r w:rsidRPr="000B4951">
        <w:rPr>
          <w:rFonts w:ascii="Arial" w:hAnsi="Arial" w:cs="Arial"/>
          <w:sz w:val="24"/>
          <w:szCs w:val="24"/>
          <w:lang w:val="en-US"/>
        </w:rPr>
        <w:t>Verasay</w:t>
      </w:r>
      <w:proofErr w:type="spellEnd"/>
      <w:r w:rsidRPr="000B4951">
        <w:rPr>
          <w:rFonts w:ascii="Arial" w:hAnsi="Arial" w:cs="Arial"/>
          <w:sz w:val="24"/>
          <w:szCs w:val="24"/>
          <w:lang w:val="en-US"/>
        </w:rPr>
        <w:t xml:space="preserve">, Julio C. </w:t>
      </w:r>
      <w:proofErr w:type="spellStart"/>
      <w:r w:rsidRPr="000B4951">
        <w:rPr>
          <w:rFonts w:ascii="Arial" w:hAnsi="Arial" w:cs="Arial"/>
          <w:sz w:val="24"/>
          <w:szCs w:val="24"/>
          <w:lang w:val="en-US"/>
        </w:rPr>
        <w:t>Martínez</w:t>
      </w:r>
      <w:proofErr w:type="spellEnd"/>
      <w:r w:rsidRPr="000B4951">
        <w:rPr>
          <w:rFonts w:ascii="Arial" w:hAnsi="Arial" w:cs="Arial"/>
          <w:sz w:val="24"/>
          <w:szCs w:val="24"/>
          <w:lang w:val="en-US"/>
        </w:rPr>
        <w:t xml:space="preserve">, Julio C. </w:t>
      </w:r>
      <w:proofErr w:type="spellStart"/>
      <w:r w:rsidRPr="000B4951">
        <w:rPr>
          <w:rFonts w:ascii="Arial" w:hAnsi="Arial" w:cs="Arial"/>
          <w:sz w:val="24"/>
          <w:szCs w:val="24"/>
          <w:lang w:val="en-US"/>
        </w:rPr>
        <w:t>Cobos</w:t>
      </w:r>
      <w:proofErr w:type="spellEnd"/>
      <w:r w:rsidRPr="000B4951">
        <w:rPr>
          <w:rFonts w:ascii="Arial" w:hAnsi="Arial" w:cs="Arial"/>
          <w:sz w:val="24"/>
          <w:szCs w:val="24"/>
          <w:lang w:val="en-US"/>
        </w:rPr>
        <w:t xml:space="preserve">, Mario R. </w:t>
      </w:r>
      <w:proofErr w:type="spellStart"/>
      <w:r w:rsidRPr="000B4951">
        <w:rPr>
          <w:rFonts w:ascii="Arial" w:hAnsi="Arial" w:cs="Arial"/>
          <w:sz w:val="24"/>
          <w:szCs w:val="24"/>
          <w:lang w:val="en-US"/>
        </w:rPr>
        <w:t>Fiad</w:t>
      </w:r>
      <w:proofErr w:type="spellEnd"/>
      <w:r w:rsidRPr="000B4951">
        <w:rPr>
          <w:rFonts w:ascii="Arial" w:hAnsi="Arial" w:cs="Arial"/>
          <w:sz w:val="24"/>
          <w:szCs w:val="24"/>
          <w:lang w:val="en-US"/>
        </w:rPr>
        <w:t xml:space="preserve">, Silvia B. </w:t>
      </w:r>
      <w:proofErr w:type="spellStart"/>
      <w:r w:rsidRPr="000B4951">
        <w:rPr>
          <w:rFonts w:ascii="Arial" w:hAnsi="Arial" w:cs="Arial"/>
          <w:sz w:val="24"/>
          <w:szCs w:val="24"/>
          <w:lang w:val="en-US"/>
        </w:rPr>
        <w:t>Elías</w:t>
      </w:r>
      <w:proofErr w:type="spellEnd"/>
      <w:r w:rsidRPr="000B4951">
        <w:rPr>
          <w:rFonts w:ascii="Arial" w:hAnsi="Arial" w:cs="Arial"/>
          <w:sz w:val="24"/>
          <w:szCs w:val="24"/>
          <w:lang w:val="en-US"/>
        </w:rPr>
        <w:t xml:space="preserve"> de Pérez, Laura E. Rodríguez Machado, Alfredo L. De </w:t>
      </w:r>
      <w:proofErr w:type="spellStart"/>
      <w:r w:rsidRPr="000B4951">
        <w:rPr>
          <w:rFonts w:ascii="Arial" w:hAnsi="Arial" w:cs="Arial"/>
          <w:sz w:val="24"/>
          <w:szCs w:val="24"/>
          <w:lang w:val="en-US"/>
        </w:rPr>
        <w:t>Angeli</w:t>
      </w:r>
      <w:proofErr w:type="spellEnd"/>
      <w:r w:rsidRPr="000B4951">
        <w:rPr>
          <w:rFonts w:ascii="Arial" w:hAnsi="Arial" w:cs="Arial"/>
          <w:sz w:val="24"/>
          <w:szCs w:val="24"/>
          <w:lang w:val="en-US"/>
        </w:rPr>
        <w:t>, and Gladys E. González).</w:t>
      </w:r>
      <w:proofErr w:type="gramEnd"/>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that chamber, hearings </w:t>
      </w:r>
      <w:proofErr w:type="gramStart"/>
      <w:r w:rsidRPr="000B4951">
        <w:rPr>
          <w:rFonts w:ascii="Arial" w:hAnsi="Arial" w:cs="Arial"/>
          <w:sz w:val="24"/>
          <w:szCs w:val="24"/>
          <w:lang w:val="en-US"/>
        </w:rPr>
        <w:t>were held</w:t>
      </w:r>
      <w:proofErr w:type="gramEnd"/>
      <w:r w:rsidRPr="000B4951">
        <w:rPr>
          <w:rFonts w:ascii="Arial" w:hAnsi="Arial" w:cs="Arial"/>
          <w:sz w:val="24"/>
          <w:szCs w:val="24"/>
          <w:lang w:val="en-US"/>
        </w:rPr>
        <w:t xml:space="preserve"> where various specialists presented their opinions and comments on the Bill's text. These hearings revealed the need for the text to acquire the status of a "Consumer Protection Code," and a draft to that effect began circulating, although no formal opinion </w:t>
      </w:r>
      <w:proofErr w:type="gramStart"/>
      <w:r w:rsidRPr="000B4951">
        <w:rPr>
          <w:rFonts w:ascii="Arial" w:hAnsi="Arial" w:cs="Arial"/>
          <w:sz w:val="24"/>
          <w:szCs w:val="24"/>
          <w:lang w:val="en-US"/>
        </w:rPr>
        <w:t>was issued</w:t>
      </w:r>
      <w:proofErr w:type="gramEnd"/>
      <w:r w:rsidRPr="000B4951">
        <w:rPr>
          <w:rFonts w:ascii="Arial" w:hAnsi="Arial" w:cs="Arial"/>
          <w:sz w:val="24"/>
          <w:szCs w:val="24"/>
          <w:lang w:val="en-US"/>
        </w:rPr>
        <w:t>.</w:t>
      </w:r>
    </w:p>
    <w:p w:rsidR="00A873F3" w:rsidRPr="000B4951" w:rsidRDefault="00A873F3" w:rsidP="000B4951">
      <w:p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c) Currently, the debate is focused in the Chamber of Deputies on two Bills: one from opposition deputies, called the "Consumer Protection Code" (3143-D-2020) (Bill signed by Deputies Alfredo Cornejo, Diego </w:t>
      </w:r>
      <w:proofErr w:type="spellStart"/>
      <w:r w:rsidRPr="000B4951">
        <w:rPr>
          <w:rFonts w:ascii="Arial" w:hAnsi="Arial" w:cs="Arial"/>
          <w:sz w:val="24"/>
          <w:szCs w:val="24"/>
          <w:lang w:val="en-US"/>
        </w:rPr>
        <w:t>Mestre</w:t>
      </w:r>
      <w:proofErr w:type="spellEnd"/>
      <w:r w:rsidRPr="000B4951">
        <w:rPr>
          <w:rFonts w:ascii="Arial" w:hAnsi="Arial" w:cs="Arial"/>
          <w:sz w:val="24"/>
          <w:szCs w:val="24"/>
          <w:lang w:val="en-US"/>
        </w:rPr>
        <w:t xml:space="preserve">, Gabriela Lena, Alejandro </w:t>
      </w:r>
      <w:proofErr w:type="spellStart"/>
      <w:r w:rsidRPr="000B4951">
        <w:rPr>
          <w:rFonts w:ascii="Arial" w:hAnsi="Arial" w:cs="Arial"/>
          <w:sz w:val="24"/>
          <w:szCs w:val="24"/>
          <w:lang w:val="en-US"/>
        </w:rPr>
        <w:t>Cacace</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Albor</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Ángel</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Cantard</w:t>
      </w:r>
      <w:proofErr w:type="spellEnd"/>
      <w:r w:rsidRPr="000B4951">
        <w:rPr>
          <w:rFonts w:ascii="Arial" w:hAnsi="Arial" w:cs="Arial"/>
          <w:sz w:val="24"/>
          <w:szCs w:val="24"/>
          <w:lang w:val="en-US"/>
        </w:rPr>
        <w:t xml:space="preserve">, Ezequiel </w:t>
      </w:r>
      <w:proofErr w:type="spellStart"/>
      <w:r w:rsidRPr="000B4951">
        <w:rPr>
          <w:rFonts w:ascii="Arial" w:hAnsi="Arial" w:cs="Arial"/>
          <w:sz w:val="24"/>
          <w:szCs w:val="24"/>
          <w:lang w:val="en-US"/>
        </w:rPr>
        <w:t>Fernández</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Langan</w:t>
      </w:r>
      <w:proofErr w:type="spellEnd"/>
      <w:r w:rsidRPr="000B4951">
        <w:rPr>
          <w:rFonts w:ascii="Arial" w:hAnsi="Arial" w:cs="Arial"/>
          <w:sz w:val="24"/>
          <w:szCs w:val="24"/>
          <w:lang w:val="en-US"/>
        </w:rPr>
        <w:t xml:space="preserve">, and Jimena </w:t>
      </w:r>
      <w:proofErr w:type="spellStart"/>
      <w:r w:rsidRPr="000B4951">
        <w:rPr>
          <w:rFonts w:ascii="Arial" w:hAnsi="Arial" w:cs="Arial"/>
          <w:sz w:val="24"/>
          <w:szCs w:val="24"/>
          <w:lang w:val="en-US"/>
        </w:rPr>
        <w:t>Latorre</w:t>
      </w:r>
      <w:proofErr w:type="spellEnd"/>
      <w:r w:rsidRPr="000B4951">
        <w:rPr>
          <w:rFonts w:ascii="Arial" w:hAnsi="Arial" w:cs="Arial"/>
          <w:sz w:val="24"/>
          <w:szCs w:val="24"/>
          <w:lang w:val="en-US"/>
        </w:rPr>
        <w:t xml:space="preserve">), and another from the ruling party, with the support of the national regulatory authority, titled "Code of Protection for Consumers" (Bill 5156-D-2020) (Bill signed by Deputies </w:t>
      </w:r>
      <w:proofErr w:type="spellStart"/>
      <w:r w:rsidRPr="000B4951">
        <w:rPr>
          <w:rFonts w:ascii="Arial" w:hAnsi="Arial" w:cs="Arial"/>
          <w:sz w:val="24"/>
          <w:szCs w:val="24"/>
          <w:lang w:val="en-US"/>
        </w:rPr>
        <w:t>María</w:t>
      </w:r>
      <w:proofErr w:type="spellEnd"/>
      <w:r w:rsidRPr="000B4951">
        <w:rPr>
          <w:rFonts w:ascii="Arial" w:hAnsi="Arial" w:cs="Arial"/>
          <w:sz w:val="24"/>
          <w:szCs w:val="24"/>
          <w:lang w:val="en-US"/>
        </w:rPr>
        <w:t xml:space="preserve"> Liliana </w:t>
      </w:r>
      <w:proofErr w:type="spellStart"/>
      <w:r w:rsidRPr="000B4951">
        <w:rPr>
          <w:rFonts w:ascii="Arial" w:hAnsi="Arial" w:cs="Arial"/>
          <w:sz w:val="24"/>
          <w:szCs w:val="24"/>
          <w:lang w:val="en-US"/>
        </w:rPr>
        <w:t>Schwindt</w:t>
      </w:r>
      <w:proofErr w:type="spellEnd"/>
      <w:r w:rsidRPr="000B4951">
        <w:rPr>
          <w:rFonts w:ascii="Arial" w:hAnsi="Arial" w:cs="Arial"/>
          <w:sz w:val="24"/>
          <w:szCs w:val="24"/>
          <w:lang w:val="en-US"/>
        </w:rPr>
        <w:t xml:space="preserve">, Lucas Javier Godoy, </w:t>
      </w:r>
      <w:proofErr w:type="spellStart"/>
      <w:r w:rsidRPr="000B4951">
        <w:rPr>
          <w:rFonts w:ascii="Arial" w:hAnsi="Arial" w:cs="Arial"/>
          <w:sz w:val="24"/>
          <w:szCs w:val="24"/>
          <w:lang w:val="en-US"/>
        </w:rPr>
        <w:t>Walberto</w:t>
      </w:r>
      <w:proofErr w:type="spellEnd"/>
      <w:r w:rsidRPr="000B4951">
        <w:rPr>
          <w:rFonts w:ascii="Arial" w:hAnsi="Arial" w:cs="Arial"/>
          <w:sz w:val="24"/>
          <w:szCs w:val="24"/>
          <w:lang w:val="en-US"/>
        </w:rPr>
        <w:t xml:space="preserve"> Enrique Allende, Carlos </w:t>
      </w:r>
      <w:proofErr w:type="spellStart"/>
      <w:r w:rsidRPr="000B4951">
        <w:rPr>
          <w:rFonts w:ascii="Arial" w:hAnsi="Arial" w:cs="Arial"/>
          <w:sz w:val="24"/>
          <w:szCs w:val="24"/>
          <w:lang w:val="en-US"/>
        </w:rPr>
        <w:t>Aníbal</w:t>
      </w:r>
      <w:proofErr w:type="spellEnd"/>
      <w:r w:rsidRPr="000B4951">
        <w:rPr>
          <w:rFonts w:ascii="Arial" w:hAnsi="Arial" w:cs="Arial"/>
          <w:sz w:val="24"/>
          <w:szCs w:val="24"/>
          <w:lang w:val="en-US"/>
        </w:rPr>
        <w:t xml:space="preserve"> Cisneros, Martín Soria, Vanesa Laura </w:t>
      </w:r>
      <w:proofErr w:type="spellStart"/>
      <w:r w:rsidRPr="000B4951">
        <w:rPr>
          <w:rFonts w:ascii="Arial" w:hAnsi="Arial" w:cs="Arial"/>
          <w:sz w:val="24"/>
          <w:szCs w:val="24"/>
          <w:lang w:val="en-US"/>
        </w:rPr>
        <w:t>Massetani</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Ayelen</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Sposito</w:t>
      </w:r>
      <w:proofErr w:type="spellEnd"/>
      <w:r w:rsidRPr="000B4951">
        <w:rPr>
          <w:rFonts w:ascii="Arial" w:hAnsi="Arial" w:cs="Arial"/>
          <w:sz w:val="24"/>
          <w:szCs w:val="24"/>
          <w:lang w:val="en-US"/>
        </w:rPr>
        <w:t xml:space="preserve">, </w:t>
      </w:r>
      <w:r w:rsidRPr="000B4951">
        <w:rPr>
          <w:rFonts w:ascii="Arial" w:hAnsi="Arial" w:cs="Arial"/>
          <w:sz w:val="24"/>
          <w:szCs w:val="24"/>
          <w:lang w:val="en-US"/>
        </w:rPr>
        <w:lastRenderedPageBreak/>
        <w:t xml:space="preserve">Ariel </w:t>
      </w:r>
      <w:proofErr w:type="spellStart"/>
      <w:r w:rsidRPr="000B4951">
        <w:rPr>
          <w:rFonts w:ascii="Arial" w:hAnsi="Arial" w:cs="Arial"/>
          <w:sz w:val="24"/>
          <w:szCs w:val="24"/>
          <w:lang w:val="en-US"/>
        </w:rPr>
        <w:t>Rauschenberger</w:t>
      </w:r>
      <w:proofErr w:type="spellEnd"/>
      <w:r w:rsidRPr="000B4951">
        <w:rPr>
          <w:rFonts w:ascii="Arial" w:hAnsi="Arial" w:cs="Arial"/>
          <w:sz w:val="24"/>
          <w:szCs w:val="24"/>
          <w:lang w:val="en-US"/>
        </w:rPr>
        <w:t xml:space="preserve">, Ana Carolina Gaillard, Paula Andrea </w:t>
      </w:r>
      <w:proofErr w:type="spellStart"/>
      <w:r w:rsidRPr="000B4951">
        <w:rPr>
          <w:rFonts w:ascii="Arial" w:hAnsi="Arial" w:cs="Arial"/>
          <w:sz w:val="24"/>
          <w:szCs w:val="24"/>
          <w:lang w:val="en-US"/>
        </w:rPr>
        <w:t>Penacca</w:t>
      </w:r>
      <w:proofErr w:type="spellEnd"/>
      <w:r w:rsidRPr="000B4951">
        <w:rPr>
          <w:rFonts w:ascii="Arial" w:hAnsi="Arial" w:cs="Arial"/>
          <w:sz w:val="24"/>
          <w:szCs w:val="24"/>
          <w:lang w:val="en-US"/>
        </w:rPr>
        <w:t xml:space="preserve">, </w:t>
      </w:r>
      <w:proofErr w:type="spellStart"/>
      <w:r w:rsidRPr="000B4951">
        <w:rPr>
          <w:rFonts w:ascii="Arial" w:hAnsi="Arial" w:cs="Arial"/>
          <w:sz w:val="24"/>
          <w:szCs w:val="24"/>
          <w:lang w:val="en-US"/>
        </w:rPr>
        <w:t>María</w:t>
      </w:r>
      <w:proofErr w:type="spellEnd"/>
      <w:r w:rsidRPr="000B4951">
        <w:rPr>
          <w:rFonts w:ascii="Arial" w:hAnsi="Arial" w:cs="Arial"/>
          <w:sz w:val="24"/>
          <w:szCs w:val="24"/>
          <w:lang w:val="en-US"/>
        </w:rPr>
        <w:t xml:space="preserve"> Cristina </w:t>
      </w:r>
      <w:proofErr w:type="spellStart"/>
      <w:r w:rsidRPr="000B4951">
        <w:rPr>
          <w:rFonts w:ascii="Arial" w:hAnsi="Arial" w:cs="Arial"/>
          <w:sz w:val="24"/>
          <w:szCs w:val="24"/>
          <w:lang w:val="en-US"/>
        </w:rPr>
        <w:t>Álvarez</w:t>
      </w:r>
      <w:proofErr w:type="spellEnd"/>
      <w:r w:rsidRPr="000B4951">
        <w:rPr>
          <w:rFonts w:ascii="Arial" w:hAnsi="Arial" w:cs="Arial"/>
          <w:sz w:val="24"/>
          <w:szCs w:val="24"/>
          <w:lang w:val="en-US"/>
        </w:rPr>
        <w:t xml:space="preserve"> Rodríguez, Cecilia Moreau, Susana Graciela </w:t>
      </w:r>
      <w:proofErr w:type="spellStart"/>
      <w:r w:rsidRPr="000B4951">
        <w:rPr>
          <w:rFonts w:ascii="Arial" w:hAnsi="Arial" w:cs="Arial"/>
          <w:sz w:val="24"/>
          <w:szCs w:val="24"/>
          <w:lang w:val="en-US"/>
        </w:rPr>
        <w:t>Landriscini</w:t>
      </w:r>
      <w:proofErr w:type="spellEnd"/>
      <w:r w:rsidRPr="000B4951">
        <w:rPr>
          <w:rFonts w:ascii="Arial" w:hAnsi="Arial" w:cs="Arial"/>
          <w:sz w:val="24"/>
          <w:szCs w:val="24"/>
          <w:lang w:val="en-US"/>
        </w:rPr>
        <w:t xml:space="preserve">, Pablo </w:t>
      </w:r>
      <w:proofErr w:type="spellStart"/>
      <w:r w:rsidRPr="000B4951">
        <w:rPr>
          <w:rFonts w:ascii="Arial" w:hAnsi="Arial" w:cs="Arial"/>
          <w:sz w:val="24"/>
          <w:szCs w:val="24"/>
          <w:lang w:val="en-US"/>
        </w:rPr>
        <w:t>Raúl</w:t>
      </w:r>
      <w:proofErr w:type="spellEnd"/>
      <w:r w:rsidRPr="000B4951">
        <w:rPr>
          <w:rFonts w:ascii="Arial" w:hAnsi="Arial" w:cs="Arial"/>
          <w:sz w:val="24"/>
          <w:szCs w:val="24"/>
          <w:lang w:val="en-US"/>
        </w:rPr>
        <w:t xml:space="preserve"> Yedlin, and Alejandro Daniel Bermejo).</w:t>
      </w:r>
      <w:proofErr w:type="gramEnd"/>
      <w:r w:rsidRPr="000B4951">
        <w:rPr>
          <w:rFonts w:ascii="Arial" w:hAnsi="Arial" w:cs="Arial"/>
          <w:sz w:val="24"/>
          <w:szCs w:val="24"/>
          <w:lang w:val="en-US"/>
        </w:rPr>
        <w:t xml:space="preserve"> Both Bills </w:t>
      </w:r>
      <w:proofErr w:type="gramStart"/>
      <w:r w:rsidRPr="000B4951">
        <w:rPr>
          <w:rFonts w:ascii="Arial" w:hAnsi="Arial" w:cs="Arial"/>
          <w:sz w:val="24"/>
          <w:szCs w:val="24"/>
          <w:lang w:val="en-US"/>
        </w:rPr>
        <w:t>are based</w:t>
      </w:r>
      <w:proofErr w:type="gramEnd"/>
      <w:r w:rsidRPr="000B4951">
        <w:rPr>
          <w:rFonts w:ascii="Arial" w:hAnsi="Arial" w:cs="Arial"/>
          <w:sz w:val="24"/>
          <w:szCs w:val="24"/>
          <w:lang w:val="en-US"/>
        </w:rPr>
        <w:t xml:space="preserve"> on previous texts with modifications.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One of the issues addressed was e-commerce. In six </w:t>
      </w:r>
      <w:r w:rsidR="000B4951">
        <w:rPr>
          <w:rFonts w:ascii="Arial" w:hAnsi="Arial" w:cs="Arial"/>
          <w:sz w:val="24"/>
          <w:szCs w:val="24"/>
          <w:lang w:val="en-US"/>
        </w:rPr>
        <w:t>Paragraph</w:t>
      </w:r>
      <w:r w:rsidRPr="000B4951">
        <w:rPr>
          <w:rFonts w:ascii="Arial" w:hAnsi="Arial" w:cs="Arial"/>
          <w:sz w:val="24"/>
          <w:szCs w:val="24"/>
          <w:lang w:val="en-US"/>
        </w:rPr>
        <w:t xml:space="preserve">s, it </w:t>
      </w:r>
      <w:proofErr w:type="gramStart"/>
      <w:r w:rsidRPr="000B4951">
        <w:rPr>
          <w:rFonts w:ascii="Arial" w:hAnsi="Arial" w:cs="Arial"/>
          <w:sz w:val="24"/>
          <w:szCs w:val="24"/>
          <w:lang w:val="en-US"/>
        </w:rPr>
        <w:t>was proposed</w:t>
      </w:r>
      <w:proofErr w:type="gramEnd"/>
      <w:r w:rsidRPr="000B4951">
        <w:rPr>
          <w:rFonts w:ascii="Arial" w:hAnsi="Arial" w:cs="Arial"/>
          <w:sz w:val="24"/>
          <w:szCs w:val="24"/>
          <w:lang w:val="en-US"/>
        </w:rPr>
        <w:t xml:space="preserve"> to vigorously regulate matters related to this field, highlighting the enumeration of rights for electronic consumers and the liability of intermediaries.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The Commission outlined the sources considered when drafting the proposed </w:t>
      </w:r>
      <w:r w:rsidR="000B4951">
        <w:rPr>
          <w:rFonts w:ascii="Arial" w:hAnsi="Arial" w:cs="Arial"/>
          <w:sz w:val="24"/>
          <w:szCs w:val="24"/>
          <w:lang w:val="en-US"/>
        </w:rPr>
        <w:t>Paragraph</w:t>
      </w:r>
      <w:r w:rsidRPr="000B4951">
        <w:rPr>
          <w:rFonts w:ascii="Arial" w:hAnsi="Arial" w:cs="Arial"/>
          <w:sz w:val="24"/>
          <w:szCs w:val="24"/>
          <w:lang w:val="en-US"/>
        </w:rPr>
        <w:t xml:space="preserve">s. Among the main ones were the United Nations Guidelines for Consumer Protection, particularly the rights equalization contained in Guideline No. 63. The provisions of Directive No. 2000/31/EC </w:t>
      </w:r>
      <w:proofErr w:type="gramStart"/>
      <w:r w:rsidRPr="000B4951">
        <w:rPr>
          <w:rFonts w:ascii="Arial" w:hAnsi="Arial" w:cs="Arial"/>
          <w:sz w:val="24"/>
          <w:szCs w:val="24"/>
          <w:lang w:val="en-US"/>
        </w:rPr>
        <w:t>were also considered</w:t>
      </w:r>
      <w:proofErr w:type="gramEnd"/>
      <w:r w:rsidRPr="000B4951">
        <w:rPr>
          <w:rFonts w:ascii="Arial" w:hAnsi="Arial" w:cs="Arial"/>
          <w:sz w:val="24"/>
          <w:szCs w:val="24"/>
          <w:lang w:val="en-US"/>
        </w:rPr>
        <w:t xml:space="preserve"> to regulate the liability of online auction or sales portals. Finally, reports from the United Nations Conference on Trade and Development and the Intergovernmental Group of Experts on Consumer Protection Law and Policy </w:t>
      </w:r>
      <w:proofErr w:type="gramStart"/>
      <w:r w:rsidRPr="000B4951">
        <w:rPr>
          <w:rFonts w:ascii="Arial" w:hAnsi="Arial" w:cs="Arial"/>
          <w:sz w:val="24"/>
          <w:szCs w:val="24"/>
          <w:lang w:val="en-US"/>
        </w:rPr>
        <w:t>were taken</w:t>
      </w:r>
      <w:proofErr w:type="gramEnd"/>
      <w:r w:rsidRPr="000B4951">
        <w:rPr>
          <w:rFonts w:ascii="Arial" w:hAnsi="Arial" w:cs="Arial"/>
          <w:sz w:val="24"/>
          <w:szCs w:val="24"/>
          <w:lang w:val="en-US"/>
        </w:rPr>
        <w:t xml:space="preserve"> into account.</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In this context, the proposal for e-commerce regulation </w:t>
      </w:r>
      <w:proofErr w:type="gramStart"/>
      <w:r w:rsidRPr="000B4951">
        <w:rPr>
          <w:rFonts w:ascii="Arial" w:hAnsi="Arial" w:cs="Arial"/>
          <w:sz w:val="24"/>
          <w:szCs w:val="24"/>
          <w:lang w:val="en-US"/>
        </w:rPr>
        <w:t>can be found</w:t>
      </w:r>
      <w:proofErr w:type="gramEnd"/>
      <w:r w:rsidRPr="000B4951">
        <w:rPr>
          <w:rFonts w:ascii="Arial" w:hAnsi="Arial" w:cs="Arial"/>
          <w:sz w:val="24"/>
          <w:szCs w:val="24"/>
          <w:lang w:val="en-US"/>
        </w:rPr>
        <w:t xml:space="preserve"> in Chapter 9 of the Bill. </w:t>
      </w:r>
      <w:r w:rsidR="000B4951">
        <w:rPr>
          <w:rFonts w:ascii="Arial" w:hAnsi="Arial" w:cs="Arial"/>
          <w:sz w:val="24"/>
          <w:szCs w:val="24"/>
          <w:lang w:val="en-US"/>
        </w:rPr>
        <w:t>Paragraph</w:t>
      </w:r>
      <w:r w:rsidRPr="000B4951">
        <w:rPr>
          <w:rFonts w:ascii="Arial" w:hAnsi="Arial" w:cs="Arial"/>
          <w:sz w:val="24"/>
          <w:szCs w:val="24"/>
          <w:lang w:val="en-US"/>
        </w:rPr>
        <w:t xml:space="preserve"> 71 would establish the equalization of rights, following the guidelines of Directive No. 63, stating that there should be no difference in the level of protection between electronic commerce and traditional commerce.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Another notable point of the Bill is the regulation of intermediary liability. </w:t>
      </w:r>
      <w:r w:rsidR="000B4951">
        <w:rPr>
          <w:rFonts w:ascii="Arial" w:hAnsi="Arial" w:cs="Arial"/>
          <w:sz w:val="24"/>
          <w:szCs w:val="24"/>
          <w:lang w:val="en-US"/>
        </w:rPr>
        <w:t>Paragraph</w:t>
      </w:r>
      <w:r w:rsidRPr="000B4951">
        <w:rPr>
          <w:rFonts w:ascii="Arial" w:hAnsi="Arial" w:cs="Arial"/>
          <w:sz w:val="24"/>
          <w:szCs w:val="24"/>
          <w:lang w:val="en-US"/>
        </w:rPr>
        <w:t xml:space="preserve"> 73 would regulate sales portals, establishing the grounds for exemption from liability, namely: a) when the intermediary has not played an active role in the transaction and b) has not generated particular trust in the consumer. This rule, which could lead to different interpretations, </w:t>
      </w:r>
      <w:proofErr w:type="gramStart"/>
      <w:r w:rsidRPr="000B4951">
        <w:rPr>
          <w:rFonts w:ascii="Arial" w:hAnsi="Arial" w:cs="Arial"/>
          <w:sz w:val="24"/>
          <w:szCs w:val="24"/>
          <w:lang w:val="en-US"/>
        </w:rPr>
        <w:t>is improved</w:t>
      </w:r>
      <w:proofErr w:type="gramEnd"/>
      <w:r w:rsidRPr="000B4951">
        <w:rPr>
          <w:rFonts w:ascii="Arial" w:hAnsi="Arial" w:cs="Arial"/>
          <w:sz w:val="24"/>
          <w:szCs w:val="24"/>
          <w:lang w:val="en-US"/>
        </w:rPr>
        <w:t xml:space="preserve"> by the wording of the Bills.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Furthermore, </w:t>
      </w:r>
      <w:r w:rsidR="000B4951">
        <w:rPr>
          <w:rFonts w:ascii="Arial" w:hAnsi="Arial" w:cs="Arial"/>
          <w:sz w:val="24"/>
          <w:szCs w:val="24"/>
          <w:lang w:val="en-US"/>
        </w:rPr>
        <w:t>Paragraph</w:t>
      </w:r>
      <w:r w:rsidRPr="000B4951">
        <w:rPr>
          <w:rFonts w:ascii="Arial" w:hAnsi="Arial" w:cs="Arial"/>
          <w:sz w:val="24"/>
          <w:szCs w:val="24"/>
          <w:lang w:val="en-US"/>
        </w:rPr>
        <w:t xml:space="preserve"> 74 proposes to establish specific rights for electronic consumers:</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a) The right to demand the delivery of goods within a maximum of </w:t>
      </w:r>
      <w:proofErr w:type="gramStart"/>
      <w:r w:rsidRPr="000B4951">
        <w:rPr>
          <w:rFonts w:ascii="Arial" w:hAnsi="Arial" w:cs="Arial"/>
          <w:sz w:val="24"/>
          <w:szCs w:val="24"/>
          <w:lang w:val="en-US"/>
        </w:rPr>
        <w:t>thirty (30) days</w:t>
      </w:r>
      <w:proofErr w:type="gramEnd"/>
      <w:r w:rsidRPr="000B4951">
        <w:rPr>
          <w:rFonts w:ascii="Arial" w:hAnsi="Arial" w:cs="Arial"/>
          <w:sz w:val="24"/>
          <w:szCs w:val="24"/>
          <w:lang w:val="en-US"/>
        </w:rPr>
        <w:t>;</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b) The right to expressly consent to additional payments beyond the agreed compensation;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lastRenderedPageBreak/>
        <w:t xml:space="preserve">c) The right to revoke acceptance under the terms of </w:t>
      </w:r>
      <w:r w:rsidR="000B4951">
        <w:rPr>
          <w:rFonts w:ascii="Arial" w:hAnsi="Arial" w:cs="Arial"/>
          <w:sz w:val="24"/>
          <w:szCs w:val="24"/>
          <w:lang w:val="en-US"/>
        </w:rPr>
        <w:t>Paragraph</w:t>
      </w:r>
      <w:r w:rsidRPr="000B4951">
        <w:rPr>
          <w:rFonts w:ascii="Arial" w:hAnsi="Arial" w:cs="Arial"/>
          <w:sz w:val="24"/>
          <w:szCs w:val="24"/>
          <w:lang w:val="en-US"/>
        </w:rPr>
        <w:t xml:space="preserve"> 1110 of the CCC;</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d) The right to access the jurisdiction corresponding to their domicile, i.e., the consumer's domicile.</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Finally, it is worth noting the provisions related to the right of rescission. In fact, </w:t>
      </w:r>
      <w:r w:rsidR="000B4951">
        <w:rPr>
          <w:rFonts w:ascii="Arial" w:hAnsi="Arial" w:cs="Arial"/>
          <w:sz w:val="24"/>
          <w:szCs w:val="24"/>
          <w:lang w:val="en-US"/>
        </w:rPr>
        <w:t>Paragraph</w:t>
      </w:r>
      <w:r w:rsidRPr="000B4951">
        <w:rPr>
          <w:rFonts w:ascii="Arial" w:hAnsi="Arial" w:cs="Arial"/>
          <w:sz w:val="24"/>
          <w:szCs w:val="24"/>
          <w:lang w:val="en-US"/>
        </w:rPr>
        <w:t xml:space="preserve"> 76 of the Bill proposed as a rule that the contract </w:t>
      </w:r>
      <w:proofErr w:type="gramStart"/>
      <w:r w:rsidRPr="000B4951">
        <w:rPr>
          <w:rFonts w:ascii="Arial" w:hAnsi="Arial" w:cs="Arial"/>
          <w:sz w:val="24"/>
          <w:szCs w:val="24"/>
          <w:lang w:val="en-US"/>
        </w:rPr>
        <w:t>could be rescinded</w:t>
      </w:r>
      <w:proofErr w:type="gramEnd"/>
      <w:r w:rsidRPr="000B4951">
        <w:rPr>
          <w:rFonts w:ascii="Arial" w:hAnsi="Arial" w:cs="Arial"/>
          <w:sz w:val="24"/>
          <w:szCs w:val="24"/>
          <w:lang w:val="en-US"/>
        </w:rPr>
        <w:t xml:space="preserve"> by the same means through which it was concluded.</w:t>
      </w:r>
    </w:p>
    <w:p w:rsidR="00A873F3" w:rsidRPr="000B4951" w:rsidRDefault="00A873F3" w:rsidP="000B4951">
      <w:pPr>
        <w:spacing w:line="360" w:lineRule="auto"/>
        <w:jc w:val="both"/>
        <w:rPr>
          <w:rFonts w:ascii="Arial" w:hAnsi="Arial" w:cs="Arial"/>
          <w:sz w:val="24"/>
          <w:szCs w:val="24"/>
          <w:lang w:val="en-US"/>
        </w:rPr>
      </w:pPr>
    </w:p>
    <w:p w:rsidR="00A873F3" w:rsidRPr="000B4951" w:rsidRDefault="00A873F3" w:rsidP="000B4951">
      <w:pPr>
        <w:spacing w:line="360" w:lineRule="auto"/>
        <w:jc w:val="both"/>
        <w:rPr>
          <w:rFonts w:ascii="Arial" w:hAnsi="Arial" w:cs="Arial"/>
          <w:b/>
          <w:sz w:val="24"/>
          <w:szCs w:val="24"/>
          <w:lang w:val="en-US"/>
        </w:rPr>
      </w:pPr>
      <w:r w:rsidRPr="000B4951">
        <w:rPr>
          <w:rFonts w:ascii="Arial" w:hAnsi="Arial" w:cs="Arial"/>
          <w:b/>
          <w:sz w:val="24"/>
          <w:szCs w:val="24"/>
          <w:lang w:val="en-US"/>
        </w:rPr>
        <w:t>X. In Conclusion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Digital environments, with their ever-changing, dynamic, and rapid nature, present numerous challenges and questions for legal practitioners in various fields, including those related to consumer protection.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This requires us to abandon the certainties of the past and venture into a world of many uncertainties, where conclusions often seem provisional and subject to revision.</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In this context, we assert:</w:t>
      </w:r>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r w:rsidRPr="000B4951">
        <w:rPr>
          <w:rFonts w:ascii="Arial" w:hAnsi="Arial" w:cs="Arial"/>
          <w:sz w:val="24"/>
          <w:szCs w:val="24"/>
          <w:lang w:val="en-US"/>
        </w:rPr>
        <w:t>Legislation must recognize and guarantee consumers in digital environments a level of protection that can never be lower than that provided in face-to-face transactions.</w:t>
      </w:r>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r w:rsidRPr="000B4951">
        <w:rPr>
          <w:rFonts w:ascii="Arial" w:hAnsi="Arial" w:cs="Arial"/>
          <w:sz w:val="24"/>
          <w:szCs w:val="24"/>
          <w:lang w:val="en-US"/>
        </w:rPr>
        <w:t>The term "digital consumer" includes any consumer whose contract, at any stage of the contractual process, involves contact with information and communication technology (ICT).</w:t>
      </w:r>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r w:rsidRPr="000B4951">
        <w:rPr>
          <w:rFonts w:ascii="Arial" w:hAnsi="Arial" w:cs="Arial"/>
          <w:sz w:val="24"/>
          <w:szCs w:val="24"/>
          <w:lang w:val="en-US"/>
        </w:rPr>
        <w:t>The basis for objective liability in relationships conducted through digital platforms lies in activity risk, the protection of trust, and contractual connectivity.</w:t>
      </w:r>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proofErr w:type="gramStart"/>
      <w:r w:rsidRPr="000B4951">
        <w:rPr>
          <w:rFonts w:ascii="Arial" w:hAnsi="Arial" w:cs="Arial"/>
          <w:sz w:val="24"/>
          <w:szCs w:val="24"/>
          <w:lang w:val="en-US"/>
        </w:rPr>
        <w:t xml:space="preserve">The role of the platform owner as the organizer is defined by the design of the digital environment where operations are conducted, technical control over its functioning, user registration, the establishment of terms and conditions, the determination of payment and delivery methods, the </w:t>
      </w:r>
      <w:r w:rsidRPr="000B4951">
        <w:rPr>
          <w:rFonts w:ascii="Arial" w:hAnsi="Arial" w:cs="Arial"/>
          <w:sz w:val="24"/>
          <w:szCs w:val="24"/>
          <w:lang w:val="en-US"/>
        </w:rPr>
        <w:lastRenderedPageBreak/>
        <w:t>collection of commissions or setting of fees, the management of rating systems, and the authority to impose sanctions, among others.</w:t>
      </w:r>
      <w:proofErr w:type="gramEnd"/>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r w:rsidRPr="000B4951">
        <w:rPr>
          <w:rFonts w:ascii="Arial" w:hAnsi="Arial" w:cs="Arial"/>
          <w:sz w:val="24"/>
          <w:szCs w:val="24"/>
          <w:lang w:val="en-US"/>
        </w:rPr>
        <w:t xml:space="preserve">The digital environment constitutes a case of </w:t>
      </w:r>
      <w:proofErr w:type="spellStart"/>
      <w:r w:rsidRPr="000B4951">
        <w:rPr>
          <w:rFonts w:ascii="Arial" w:hAnsi="Arial" w:cs="Arial"/>
          <w:sz w:val="24"/>
          <w:szCs w:val="24"/>
          <w:lang w:val="en-US"/>
        </w:rPr>
        <w:t>hypervulnerability</w:t>
      </w:r>
      <w:proofErr w:type="spellEnd"/>
      <w:r w:rsidRPr="000B4951">
        <w:rPr>
          <w:rFonts w:ascii="Arial" w:hAnsi="Arial" w:cs="Arial"/>
          <w:sz w:val="24"/>
          <w:szCs w:val="24"/>
          <w:lang w:val="en-US"/>
        </w:rPr>
        <w:t xml:space="preserve"> for consumers due to the unnaturalness of the technological fact, the control of the medium by the provider, and exposure to greater risks and damages. Digital environments heighten consumer vulnerability.</w:t>
      </w:r>
    </w:p>
    <w:p w:rsidR="00A873F3" w:rsidRPr="000B4951" w:rsidRDefault="00A873F3" w:rsidP="000B4951">
      <w:pPr>
        <w:pStyle w:val="Prrafodelista"/>
        <w:numPr>
          <w:ilvl w:val="0"/>
          <w:numId w:val="2"/>
        </w:numPr>
        <w:spacing w:line="360" w:lineRule="auto"/>
        <w:jc w:val="both"/>
        <w:rPr>
          <w:rFonts w:ascii="Arial" w:hAnsi="Arial" w:cs="Arial"/>
          <w:sz w:val="24"/>
          <w:szCs w:val="24"/>
          <w:lang w:val="en-US"/>
        </w:rPr>
      </w:pPr>
      <w:r w:rsidRPr="000B4951">
        <w:rPr>
          <w:rFonts w:ascii="Arial" w:hAnsi="Arial" w:cs="Arial"/>
          <w:sz w:val="24"/>
          <w:szCs w:val="24"/>
          <w:lang w:val="en-US"/>
        </w:rPr>
        <w:t>Public authorities must play a fundamental role in regulating and controlling the digital environment in order to protect consumers, particularly concerning the safeguarding of information, trust, and access to effective means of prevention and dispute resolution.</w:t>
      </w:r>
    </w:p>
    <w:p w:rsidR="00A873F3" w:rsidRPr="000B4951" w:rsidRDefault="00A873F3" w:rsidP="000B4951">
      <w:pPr>
        <w:spacing w:line="360" w:lineRule="auto"/>
        <w:jc w:val="both"/>
        <w:rPr>
          <w:rFonts w:ascii="Arial" w:hAnsi="Arial" w:cs="Arial"/>
          <w:b/>
          <w:sz w:val="24"/>
          <w:szCs w:val="24"/>
        </w:rPr>
      </w:pPr>
      <w:proofErr w:type="spellStart"/>
      <w:r w:rsidRPr="000B4951">
        <w:rPr>
          <w:rFonts w:ascii="Arial" w:hAnsi="Arial" w:cs="Arial"/>
          <w:b/>
          <w:sz w:val="24"/>
          <w:szCs w:val="24"/>
        </w:rPr>
        <w:t>Bibliography</w:t>
      </w:r>
      <w:proofErr w:type="spellEnd"/>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Baudrillard</w:t>
      </w:r>
      <w:proofErr w:type="spellEnd"/>
      <w:r w:rsidRPr="000B4951">
        <w:rPr>
          <w:rFonts w:ascii="Arial" w:hAnsi="Arial" w:cs="Arial"/>
          <w:sz w:val="24"/>
          <w:szCs w:val="24"/>
        </w:rPr>
        <w:t>, J. (2012). La sociedad de consumo. Sus límites, sus estructuras (2nd ed.). Madrid: Siglo XXI.</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Bauman</w:t>
      </w:r>
      <w:proofErr w:type="spellEnd"/>
      <w:r w:rsidRPr="000B4951">
        <w:rPr>
          <w:rFonts w:ascii="Arial" w:hAnsi="Arial" w:cs="Arial"/>
          <w:sz w:val="24"/>
          <w:szCs w:val="24"/>
        </w:rPr>
        <w:t xml:space="preserve">, Z. (2000). Trabajo, consumismo y nuevos pobres. Madrid: </w:t>
      </w:r>
      <w:proofErr w:type="spellStart"/>
      <w:r w:rsidRPr="000B4951">
        <w:rPr>
          <w:rFonts w:ascii="Arial" w:hAnsi="Arial" w:cs="Arial"/>
          <w:sz w:val="24"/>
          <w:szCs w:val="24"/>
        </w:rPr>
        <w:t>Gedisa</w:t>
      </w:r>
      <w:proofErr w:type="spellEnd"/>
      <w:r w:rsidRPr="000B4951">
        <w:rPr>
          <w:rFonts w:ascii="Arial" w:hAnsi="Arial" w:cs="Arial"/>
          <w:sz w:val="24"/>
          <w:szCs w:val="24"/>
        </w:rPr>
        <w:t>.</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Bauman</w:t>
      </w:r>
      <w:proofErr w:type="spellEnd"/>
      <w:r w:rsidRPr="000B4951">
        <w:rPr>
          <w:rFonts w:ascii="Arial" w:hAnsi="Arial" w:cs="Arial"/>
          <w:sz w:val="24"/>
          <w:szCs w:val="24"/>
        </w:rPr>
        <w:t>, Z. (2007). Vida de consumo. Buenos Aires: Fondo de Cultura Económica.</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Bocock</w:t>
      </w:r>
      <w:proofErr w:type="spellEnd"/>
      <w:r w:rsidRPr="000B4951">
        <w:rPr>
          <w:rFonts w:ascii="Arial" w:hAnsi="Arial" w:cs="Arial"/>
          <w:sz w:val="24"/>
          <w:szCs w:val="24"/>
        </w:rPr>
        <w:t xml:space="preserve">, R. (1995). El consumo. Madrid: </w:t>
      </w:r>
      <w:proofErr w:type="spellStart"/>
      <w:r w:rsidRPr="000B4951">
        <w:rPr>
          <w:rFonts w:ascii="Arial" w:hAnsi="Arial" w:cs="Arial"/>
          <w:sz w:val="24"/>
          <w:szCs w:val="24"/>
        </w:rPr>
        <w:t>Talasa</w:t>
      </w:r>
      <w:proofErr w:type="spellEnd"/>
      <w:r w:rsidRPr="000B4951">
        <w:rPr>
          <w:rFonts w:ascii="Arial" w:hAnsi="Arial" w:cs="Arial"/>
          <w:sz w:val="24"/>
          <w:szCs w:val="24"/>
        </w:rPr>
        <w:t>.</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Bourgoignie</w:t>
      </w:r>
      <w:proofErr w:type="spellEnd"/>
      <w:r w:rsidRPr="000B4951">
        <w:rPr>
          <w:rFonts w:ascii="Arial" w:hAnsi="Arial" w:cs="Arial"/>
          <w:sz w:val="24"/>
          <w:szCs w:val="24"/>
        </w:rPr>
        <w:t xml:space="preserve">, T. (1994). Elementos para una teoría del Derecho del Consumidor. San Sebastián, </w:t>
      </w:r>
      <w:proofErr w:type="spellStart"/>
      <w:r w:rsidRPr="000B4951">
        <w:rPr>
          <w:rFonts w:ascii="Arial" w:hAnsi="Arial" w:cs="Arial"/>
          <w:sz w:val="24"/>
          <w:szCs w:val="24"/>
        </w:rPr>
        <w:t>Spain</w:t>
      </w:r>
      <w:proofErr w:type="spellEnd"/>
      <w:r w:rsidRPr="000B4951">
        <w:rPr>
          <w:rFonts w:ascii="Arial" w:hAnsi="Arial" w:cs="Arial"/>
          <w:sz w:val="24"/>
          <w:szCs w:val="24"/>
        </w:rPr>
        <w:t>: Departamento de Comercio, Consumo y Turismo del País Vasco.</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Bouvier</w:t>
      </w:r>
      <w:proofErr w:type="spellEnd"/>
      <w:r w:rsidRPr="000B4951">
        <w:rPr>
          <w:rFonts w:ascii="Arial" w:hAnsi="Arial" w:cs="Arial"/>
          <w:sz w:val="24"/>
          <w:szCs w:val="24"/>
        </w:rPr>
        <w:t xml:space="preserve">, E., &amp; </w:t>
      </w:r>
      <w:proofErr w:type="spellStart"/>
      <w:r w:rsidRPr="000B4951">
        <w:rPr>
          <w:rFonts w:ascii="Arial" w:hAnsi="Arial" w:cs="Arial"/>
          <w:sz w:val="24"/>
          <w:szCs w:val="24"/>
        </w:rPr>
        <w:t>Hormaizteguy</w:t>
      </w:r>
      <w:proofErr w:type="spellEnd"/>
      <w:r w:rsidRPr="000B4951">
        <w:rPr>
          <w:rFonts w:ascii="Arial" w:hAnsi="Arial" w:cs="Arial"/>
          <w:sz w:val="24"/>
          <w:szCs w:val="24"/>
        </w:rPr>
        <w:t>, G. (</w:t>
      </w:r>
      <w:proofErr w:type="spellStart"/>
      <w:r w:rsidRPr="000B4951">
        <w:rPr>
          <w:rFonts w:ascii="Arial" w:hAnsi="Arial" w:cs="Arial"/>
          <w:sz w:val="24"/>
          <w:szCs w:val="24"/>
        </w:rPr>
        <w:t>n.d</w:t>
      </w:r>
      <w:proofErr w:type="spellEnd"/>
      <w:r w:rsidRPr="000B4951">
        <w:rPr>
          <w:rFonts w:ascii="Arial" w:hAnsi="Arial" w:cs="Arial"/>
          <w:sz w:val="24"/>
          <w:szCs w:val="24"/>
        </w:rPr>
        <w:t>.). Relaciones de consumo en el mundo digital. DC1BA4, 3.</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rPr>
        <w:t xml:space="preserve">Carrasco Rosa, A. (2007). La sociedad de consumo: origen y características. </w:t>
      </w:r>
      <w:r w:rsidRPr="000B4951">
        <w:rPr>
          <w:rFonts w:ascii="Arial" w:hAnsi="Arial" w:cs="Arial"/>
          <w:sz w:val="24"/>
          <w:szCs w:val="24"/>
          <w:lang w:val="en-US"/>
        </w:rPr>
        <w:t>Retrieved from http://www.eumed.net/ce/2.007a/acr.htm [Consulted on 28/01/2018].</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Faliero</w:t>
      </w:r>
      <w:proofErr w:type="spellEnd"/>
      <w:r w:rsidRPr="000B4951">
        <w:rPr>
          <w:rFonts w:ascii="Arial" w:hAnsi="Arial" w:cs="Arial"/>
          <w:sz w:val="24"/>
          <w:szCs w:val="24"/>
        </w:rPr>
        <w:t xml:space="preserve">, J. C. (2017). </w:t>
      </w:r>
      <w:proofErr w:type="spellStart"/>
      <w:r w:rsidRPr="000B4951">
        <w:rPr>
          <w:rFonts w:ascii="Arial" w:hAnsi="Arial" w:cs="Arial"/>
          <w:sz w:val="24"/>
          <w:szCs w:val="24"/>
        </w:rPr>
        <w:t>Criptomonedas</w:t>
      </w:r>
      <w:proofErr w:type="spellEnd"/>
      <w:r w:rsidRPr="000B4951">
        <w:rPr>
          <w:rFonts w:ascii="Arial" w:hAnsi="Arial" w:cs="Arial"/>
          <w:sz w:val="24"/>
          <w:szCs w:val="24"/>
        </w:rPr>
        <w:t>. La nueva frontera regulatoria del derecho informático. Buenos Aires: Ad-Hoc.</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lastRenderedPageBreak/>
        <w:t>Faliero</w:t>
      </w:r>
      <w:proofErr w:type="spellEnd"/>
      <w:r w:rsidRPr="000B4951">
        <w:rPr>
          <w:rFonts w:ascii="Arial" w:hAnsi="Arial" w:cs="Arial"/>
          <w:sz w:val="24"/>
          <w:szCs w:val="24"/>
        </w:rPr>
        <w:t xml:space="preserve">, J. C., &amp; </w:t>
      </w:r>
      <w:proofErr w:type="spellStart"/>
      <w:r w:rsidRPr="000B4951">
        <w:rPr>
          <w:rFonts w:ascii="Arial" w:hAnsi="Arial" w:cs="Arial"/>
          <w:sz w:val="24"/>
          <w:szCs w:val="24"/>
        </w:rPr>
        <w:t>Barocelli</w:t>
      </w:r>
      <w:proofErr w:type="spellEnd"/>
      <w:r w:rsidRPr="000B4951">
        <w:rPr>
          <w:rFonts w:ascii="Arial" w:hAnsi="Arial" w:cs="Arial"/>
          <w:sz w:val="24"/>
          <w:szCs w:val="24"/>
        </w:rPr>
        <w:t>, S. S. (2017). La protección del consumidor en el comercio electrónico. Un caso de responsabilidad de los intermediarios comerciales en Internet. La Ley 2017-B, 275.</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Faliero</w:t>
      </w:r>
      <w:proofErr w:type="spellEnd"/>
      <w:r w:rsidRPr="000B4951">
        <w:rPr>
          <w:rFonts w:ascii="Arial" w:hAnsi="Arial" w:cs="Arial"/>
          <w:sz w:val="24"/>
          <w:szCs w:val="24"/>
        </w:rPr>
        <w:t xml:space="preserve">, J. C., &amp; </w:t>
      </w:r>
      <w:proofErr w:type="spellStart"/>
      <w:r w:rsidRPr="000B4951">
        <w:rPr>
          <w:rFonts w:ascii="Arial" w:hAnsi="Arial" w:cs="Arial"/>
          <w:sz w:val="24"/>
          <w:szCs w:val="24"/>
        </w:rPr>
        <w:t>Barocelli</w:t>
      </w:r>
      <w:proofErr w:type="spellEnd"/>
      <w:r w:rsidRPr="000B4951">
        <w:rPr>
          <w:rFonts w:ascii="Arial" w:hAnsi="Arial" w:cs="Arial"/>
          <w:sz w:val="24"/>
          <w:szCs w:val="24"/>
        </w:rPr>
        <w:t xml:space="preserve">, S. S. (2018). El consumidor electrónico como consumidor </w:t>
      </w:r>
      <w:proofErr w:type="spellStart"/>
      <w:r w:rsidRPr="000B4951">
        <w:rPr>
          <w:rFonts w:ascii="Arial" w:hAnsi="Arial" w:cs="Arial"/>
          <w:sz w:val="24"/>
          <w:szCs w:val="24"/>
        </w:rPr>
        <w:t>hipervulnerable</w:t>
      </w:r>
      <w:proofErr w:type="spellEnd"/>
      <w:r w:rsidRPr="000B4951">
        <w:rPr>
          <w:rFonts w:ascii="Arial" w:hAnsi="Arial" w:cs="Arial"/>
          <w:sz w:val="24"/>
          <w:szCs w:val="24"/>
        </w:rPr>
        <w:t xml:space="preserve">. In S. S. </w:t>
      </w:r>
      <w:proofErr w:type="spellStart"/>
      <w:r w:rsidRPr="000B4951">
        <w:rPr>
          <w:rFonts w:ascii="Arial" w:hAnsi="Arial" w:cs="Arial"/>
          <w:sz w:val="24"/>
          <w:szCs w:val="24"/>
        </w:rPr>
        <w:t>Barocelli</w:t>
      </w:r>
      <w:proofErr w:type="spellEnd"/>
      <w:r w:rsidRPr="000B4951">
        <w:rPr>
          <w:rFonts w:ascii="Arial" w:hAnsi="Arial" w:cs="Arial"/>
          <w:sz w:val="24"/>
          <w:szCs w:val="24"/>
        </w:rPr>
        <w:t xml:space="preserve"> (Ed.), Consumidores </w:t>
      </w:r>
      <w:proofErr w:type="spellStart"/>
      <w:r w:rsidRPr="000B4951">
        <w:rPr>
          <w:rFonts w:ascii="Arial" w:hAnsi="Arial" w:cs="Arial"/>
          <w:sz w:val="24"/>
          <w:szCs w:val="24"/>
        </w:rPr>
        <w:t>hipervulnerables</w:t>
      </w:r>
      <w:proofErr w:type="spellEnd"/>
      <w:r w:rsidRPr="000B4951">
        <w:rPr>
          <w:rFonts w:ascii="Arial" w:hAnsi="Arial" w:cs="Arial"/>
          <w:sz w:val="24"/>
          <w:szCs w:val="24"/>
        </w:rPr>
        <w:t xml:space="preserve"> (pp. 205 et </w:t>
      </w:r>
      <w:proofErr w:type="spellStart"/>
      <w:r w:rsidRPr="000B4951">
        <w:rPr>
          <w:rFonts w:ascii="Arial" w:hAnsi="Arial" w:cs="Arial"/>
          <w:sz w:val="24"/>
          <w:szCs w:val="24"/>
        </w:rPr>
        <w:t>seq</w:t>
      </w:r>
      <w:proofErr w:type="spellEnd"/>
      <w:r w:rsidRPr="000B4951">
        <w:rPr>
          <w:rFonts w:ascii="Arial" w:hAnsi="Arial" w:cs="Arial"/>
          <w:sz w:val="24"/>
          <w:szCs w:val="24"/>
        </w:rPr>
        <w:t>.). Buenos Aires: El Derecho.</w:t>
      </w:r>
    </w:p>
    <w:p w:rsidR="00A873F3" w:rsidRPr="000B4951" w:rsidRDefault="00A873F3" w:rsidP="000B4951">
      <w:pPr>
        <w:spacing w:line="360" w:lineRule="auto"/>
        <w:jc w:val="both"/>
        <w:rPr>
          <w:rFonts w:ascii="Arial" w:hAnsi="Arial" w:cs="Arial"/>
          <w:sz w:val="24"/>
          <w:szCs w:val="24"/>
        </w:rPr>
      </w:pPr>
      <w:r w:rsidRPr="000B4951">
        <w:rPr>
          <w:rFonts w:ascii="Arial" w:hAnsi="Arial" w:cs="Arial"/>
          <w:sz w:val="24"/>
          <w:szCs w:val="24"/>
          <w:lang w:val="en-US"/>
        </w:rPr>
        <w:t xml:space="preserve">Humphreys, E., &amp; </w:t>
      </w:r>
      <w:proofErr w:type="spellStart"/>
      <w:r w:rsidRPr="000B4951">
        <w:rPr>
          <w:rFonts w:ascii="Arial" w:hAnsi="Arial" w:cs="Arial"/>
          <w:sz w:val="24"/>
          <w:szCs w:val="24"/>
          <w:lang w:val="en-US"/>
        </w:rPr>
        <w:t>Tanzi</w:t>
      </w:r>
      <w:proofErr w:type="spellEnd"/>
      <w:r w:rsidRPr="000B4951">
        <w:rPr>
          <w:rFonts w:ascii="Arial" w:hAnsi="Arial" w:cs="Arial"/>
          <w:sz w:val="24"/>
          <w:szCs w:val="24"/>
          <w:lang w:val="en-US"/>
        </w:rPr>
        <w:t xml:space="preserve">, S. Y. (2007). </w:t>
      </w:r>
      <w:r w:rsidRPr="000B4951">
        <w:rPr>
          <w:rFonts w:ascii="Arial" w:hAnsi="Arial" w:cs="Arial"/>
          <w:sz w:val="24"/>
          <w:szCs w:val="24"/>
        </w:rPr>
        <w:t>El consumidor en el marco de la globalización. AR/DOC/3802/2007, 2.</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rPr>
        <w:t xml:space="preserve">Instituto Nacional de Estadística y Censos (INDEC). (2018). Informes Técnicos, Vol. 3, Nº 86. Ciencia y Tecnología, Vol. 3, Nº 1, Acceso y uso de tecnologías de la información y la comunicación, </w:t>
      </w:r>
      <w:proofErr w:type="spellStart"/>
      <w:r w:rsidRPr="000B4951">
        <w:rPr>
          <w:rFonts w:ascii="Arial" w:hAnsi="Arial" w:cs="Arial"/>
          <w:sz w:val="24"/>
          <w:szCs w:val="24"/>
        </w:rPr>
        <w:t>Fourth</w:t>
      </w:r>
      <w:proofErr w:type="spellEnd"/>
      <w:r w:rsidRPr="000B4951">
        <w:rPr>
          <w:rFonts w:ascii="Arial" w:hAnsi="Arial" w:cs="Arial"/>
          <w:sz w:val="24"/>
          <w:szCs w:val="24"/>
        </w:rPr>
        <w:t xml:space="preserve"> </w:t>
      </w:r>
      <w:proofErr w:type="spellStart"/>
      <w:r w:rsidRPr="000B4951">
        <w:rPr>
          <w:rFonts w:ascii="Arial" w:hAnsi="Arial" w:cs="Arial"/>
          <w:sz w:val="24"/>
          <w:szCs w:val="24"/>
        </w:rPr>
        <w:t>quarter</w:t>
      </w:r>
      <w:proofErr w:type="spellEnd"/>
      <w:r w:rsidRPr="000B4951">
        <w:rPr>
          <w:rFonts w:ascii="Arial" w:hAnsi="Arial" w:cs="Arial"/>
          <w:sz w:val="24"/>
          <w:szCs w:val="24"/>
        </w:rPr>
        <w:t xml:space="preserve"> 2018. </w:t>
      </w:r>
      <w:r w:rsidRPr="000B4951">
        <w:rPr>
          <w:rFonts w:ascii="Arial" w:hAnsi="Arial" w:cs="Arial"/>
          <w:sz w:val="24"/>
          <w:szCs w:val="24"/>
          <w:lang w:val="en-US"/>
        </w:rPr>
        <w:t>Retrieved from https://www.indec.gob.ar/uploads/informesdeprensa/mautic_05_19CF6C49F37A.pdf [Consulted on 10/04/2020].</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Katz</w:t>
      </w:r>
      <w:proofErr w:type="spellEnd"/>
      <w:r w:rsidRPr="000B4951">
        <w:rPr>
          <w:rFonts w:ascii="Arial" w:hAnsi="Arial" w:cs="Arial"/>
          <w:sz w:val="24"/>
          <w:szCs w:val="24"/>
        </w:rPr>
        <w:t xml:space="preserve">, F. M. (2012). Comercio electrónico: garantías en esta forma de contratación. </w:t>
      </w:r>
      <w:proofErr w:type="spellStart"/>
      <w:r w:rsidRPr="000B4951">
        <w:rPr>
          <w:rFonts w:ascii="Arial" w:hAnsi="Arial" w:cs="Arial"/>
          <w:sz w:val="24"/>
          <w:szCs w:val="24"/>
        </w:rPr>
        <w:t>Microjuris</w:t>
      </w:r>
      <w:proofErr w:type="spellEnd"/>
      <w:r w:rsidRPr="000B4951">
        <w:rPr>
          <w:rFonts w:ascii="Arial" w:hAnsi="Arial" w:cs="Arial"/>
          <w:sz w:val="24"/>
          <w:szCs w:val="24"/>
        </w:rPr>
        <w:t>, MJ-DOC-4457-AR | MJD4457.</w:t>
      </w:r>
    </w:p>
    <w:p w:rsidR="00A873F3" w:rsidRPr="000B4951" w:rsidRDefault="00A873F3" w:rsidP="000B4951">
      <w:pPr>
        <w:spacing w:line="360" w:lineRule="auto"/>
        <w:jc w:val="both"/>
        <w:rPr>
          <w:rFonts w:ascii="Arial" w:hAnsi="Arial" w:cs="Arial"/>
          <w:sz w:val="24"/>
          <w:szCs w:val="24"/>
        </w:rPr>
      </w:pPr>
      <w:r w:rsidRPr="000B4951">
        <w:rPr>
          <w:rFonts w:ascii="Arial" w:hAnsi="Arial" w:cs="Arial"/>
          <w:sz w:val="24"/>
          <w:szCs w:val="24"/>
        </w:rPr>
        <w:t>Molina Quiroga, E. (2012). Aplicación de las normas de protección a consumidores en el comercio electrónico. AR/DOC/10111/2012, 2-3.</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Morea</w:t>
      </w:r>
      <w:proofErr w:type="spellEnd"/>
      <w:r w:rsidRPr="000B4951">
        <w:rPr>
          <w:rFonts w:ascii="Arial" w:hAnsi="Arial" w:cs="Arial"/>
          <w:sz w:val="24"/>
          <w:szCs w:val="24"/>
        </w:rPr>
        <w:t>, A. O. (</w:t>
      </w:r>
      <w:proofErr w:type="spellStart"/>
      <w:r w:rsidRPr="000B4951">
        <w:rPr>
          <w:rFonts w:ascii="Arial" w:hAnsi="Arial" w:cs="Arial"/>
          <w:sz w:val="24"/>
          <w:szCs w:val="24"/>
        </w:rPr>
        <w:t>n.d</w:t>
      </w:r>
      <w:proofErr w:type="spellEnd"/>
      <w:r w:rsidRPr="000B4951">
        <w:rPr>
          <w:rFonts w:ascii="Arial" w:hAnsi="Arial" w:cs="Arial"/>
          <w:sz w:val="24"/>
          <w:szCs w:val="24"/>
        </w:rPr>
        <w:t xml:space="preserve">.). La contratación electrónica como nueva modalidad </w:t>
      </w:r>
      <w:proofErr w:type="spellStart"/>
      <w:r w:rsidRPr="000B4951">
        <w:rPr>
          <w:rFonts w:ascii="Arial" w:hAnsi="Arial" w:cs="Arial"/>
          <w:sz w:val="24"/>
          <w:szCs w:val="24"/>
        </w:rPr>
        <w:t>negocial</w:t>
      </w:r>
      <w:proofErr w:type="spellEnd"/>
      <w:r w:rsidRPr="000B4951">
        <w:rPr>
          <w:rFonts w:ascii="Arial" w:hAnsi="Arial" w:cs="Arial"/>
          <w:sz w:val="24"/>
          <w:szCs w:val="24"/>
        </w:rPr>
        <w:t>. IJ-DXXXIV-621, 2.</w:t>
      </w:r>
    </w:p>
    <w:p w:rsidR="00A873F3" w:rsidRPr="000B4951" w:rsidRDefault="00A873F3" w:rsidP="000B4951">
      <w:pPr>
        <w:spacing w:line="360" w:lineRule="auto"/>
        <w:jc w:val="both"/>
        <w:rPr>
          <w:rFonts w:ascii="Arial" w:hAnsi="Arial" w:cs="Arial"/>
          <w:sz w:val="24"/>
          <w:szCs w:val="24"/>
        </w:rPr>
      </w:pPr>
      <w:r w:rsidRPr="000B4951">
        <w:rPr>
          <w:rFonts w:ascii="Arial" w:hAnsi="Arial" w:cs="Arial"/>
          <w:sz w:val="24"/>
          <w:szCs w:val="24"/>
        </w:rPr>
        <w:t>Reich, N. (1985). Mercado y Derecho. Barcelona: Ariel.</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Santarelli</w:t>
      </w:r>
      <w:proofErr w:type="spellEnd"/>
      <w:r w:rsidRPr="000B4951">
        <w:rPr>
          <w:rFonts w:ascii="Arial" w:hAnsi="Arial" w:cs="Arial"/>
          <w:sz w:val="24"/>
          <w:szCs w:val="24"/>
        </w:rPr>
        <w:t>, F. G. (2009). Hacia el fin de un concepto único de consumidor. LL 2009-E, 1055.</w:t>
      </w:r>
    </w:p>
    <w:p w:rsidR="00A873F3" w:rsidRPr="000B4951" w:rsidRDefault="00A873F3" w:rsidP="000B4951">
      <w:pPr>
        <w:spacing w:line="360" w:lineRule="auto"/>
        <w:jc w:val="both"/>
        <w:rPr>
          <w:rFonts w:ascii="Arial" w:hAnsi="Arial" w:cs="Arial"/>
          <w:sz w:val="24"/>
          <w:szCs w:val="24"/>
        </w:rPr>
      </w:pPr>
      <w:r w:rsidRPr="000B4951">
        <w:rPr>
          <w:rFonts w:ascii="Arial" w:hAnsi="Arial" w:cs="Arial"/>
          <w:sz w:val="24"/>
          <w:szCs w:val="24"/>
        </w:rPr>
        <w:t xml:space="preserve">Serra </w:t>
      </w:r>
      <w:proofErr w:type="spellStart"/>
      <w:r w:rsidRPr="000B4951">
        <w:rPr>
          <w:rFonts w:ascii="Arial" w:hAnsi="Arial" w:cs="Arial"/>
          <w:sz w:val="24"/>
          <w:szCs w:val="24"/>
        </w:rPr>
        <w:t>Cambaceres</w:t>
      </w:r>
      <w:proofErr w:type="spellEnd"/>
      <w:r w:rsidRPr="000B4951">
        <w:rPr>
          <w:rFonts w:ascii="Arial" w:hAnsi="Arial" w:cs="Arial"/>
          <w:sz w:val="24"/>
          <w:szCs w:val="24"/>
        </w:rPr>
        <w:t>, A. (</w:t>
      </w:r>
      <w:proofErr w:type="spellStart"/>
      <w:r w:rsidRPr="000B4951">
        <w:rPr>
          <w:rFonts w:ascii="Arial" w:hAnsi="Arial" w:cs="Arial"/>
          <w:sz w:val="24"/>
          <w:szCs w:val="24"/>
        </w:rPr>
        <w:t>n.d</w:t>
      </w:r>
      <w:proofErr w:type="spellEnd"/>
      <w:r w:rsidRPr="000B4951">
        <w:rPr>
          <w:rFonts w:ascii="Arial" w:hAnsi="Arial" w:cs="Arial"/>
          <w:sz w:val="24"/>
          <w:szCs w:val="24"/>
        </w:rPr>
        <w:t>.). Generando confianza en los consumidores. Comentario a la recomendación del Consejo de la OCDE relativa a directrices para la protección del consumidor en el contexto del comercio electrónico. 0003/010378, 1.</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Shina</w:t>
      </w:r>
      <w:proofErr w:type="spellEnd"/>
      <w:r w:rsidRPr="000B4951">
        <w:rPr>
          <w:rFonts w:ascii="Arial" w:hAnsi="Arial" w:cs="Arial"/>
          <w:sz w:val="24"/>
          <w:szCs w:val="24"/>
        </w:rPr>
        <w:t>, F. (</w:t>
      </w:r>
      <w:proofErr w:type="spellStart"/>
      <w:r w:rsidRPr="000B4951">
        <w:rPr>
          <w:rFonts w:ascii="Arial" w:hAnsi="Arial" w:cs="Arial"/>
          <w:sz w:val="24"/>
          <w:szCs w:val="24"/>
        </w:rPr>
        <w:t>n.d</w:t>
      </w:r>
      <w:proofErr w:type="spellEnd"/>
      <w:r w:rsidRPr="000B4951">
        <w:rPr>
          <w:rFonts w:ascii="Arial" w:hAnsi="Arial" w:cs="Arial"/>
          <w:sz w:val="24"/>
          <w:szCs w:val="24"/>
        </w:rPr>
        <w:t>.). Consumo online. Problemática del contrato informático. DC14E6, 3.</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lastRenderedPageBreak/>
        <w:t>Tambussi</w:t>
      </w:r>
      <w:proofErr w:type="spellEnd"/>
      <w:r w:rsidRPr="000B4951">
        <w:rPr>
          <w:rFonts w:ascii="Arial" w:hAnsi="Arial" w:cs="Arial"/>
          <w:sz w:val="24"/>
          <w:szCs w:val="24"/>
        </w:rPr>
        <w:t>, C. E. (2018). La relación entre los usuarios de plataformas de venta por Internet y el proveedor del servicio: El caso ‘</w:t>
      </w:r>
      <w:proofErr w:type="spellStart"/>
      <w:r w:rsidRPr="000B4951">
        <w:rPr>
          <w:rFonts w:ascii="Arial" w:hAnsi="Arial" w:cs="Arial"/>
          <w:sz w:val="24"/>
          <w:szCs w:val="24"/>
        </w:rPr>
        <w:t>Kosten</w:t>
      </w:r>
      <w:proofErr w:type="spellEnd"/>
      <w:r w:rsidRPr="000B4951">
        <w:rPr>
          <w:rFonts w:ascii="Arial" w:hAnsi="Arial" w:cs="Arial"/>
          <w:sz w:val="24"/>
          <w:szCs w:val="24"/>
        </w:rPr>
        <w:t>’. AR/DOC/3137/2018, 1.</w:t>
      </w:r>
    </w:p>
    <w:p w:rsidR="00A873F3" w:rsidRPr="000B4951" w:rsidRDefault="00A873F3" w:rsidP="000B4951">
      <w:pPr>
        <w:spacing w:line="360" w:lineRule="auto"/>
        <w:jc w:val="both"/>
        <w:rPr>
          <w:rFonts w:ascii="Arial" w:hAnsi="Arial" w:cs="Arial"/>
          <w:sz w:val="24"/>
          <w:szCs w:val="24"/>
        </w:rPr>
      </w:pPr>
      <w:proofErr w:type="spellStart"/>
      <w:r w:rsidRPr="000B4951">
        <w:rPr>
          <w:rFonts w:ascii="Arial" w:hAnsi="Arial" w:cs="Arial"/>
          <w:sz w:val="24"/>
          <w:szCs w:val="24"/>
        </w:rPr>
        <w:t>Tambussi</w:t>
      </w:r>
      <w:proofErr w:type="spellEnd"/>
      <w:r w:rsidRPr="000B4951">
        <w:rPr>
          <w:rFonts w:ascii="Arial" w:hAnsi="Arial" w:cs="Arial"/>
          <w:sz w:val="24"/>
          <w:szCs w:val="24"/>
        </w:rPr>
        <w:t xml:space="preserve">, C. E. (2014). Contratos de consumo. In A. J. </w:t>
      </w:r>
      <w:proofErr w:type="spellStart"/>
      <w:r w:rsidRPr="000B4951">
        <w:rPr>
          <w:rFonts w:ascii="Arial" w:hAnsi="Arial" w:cs="Arial"/>
          <w:sz w:val="24"/>
          <w:szCs w:val="24"/>
        </w:rPr>
        <w:t>Bueres</w:t>
      </w:r>
      <w:proofErr w:type="spellEnd"/>
      <w:r w:rsidRPr="000B4951">
        <w:rPr>
          <w:rFonts w:ascii="Arial" w:hAnsi="Arial" w:cs="Arial"/>
          <w:sz w:val="24"/>
          <w:szCs w:val="24"/>
        </w:rPr>
        <w:t xml:space="preserve"> (Ed.), Código Civil y Comercial de la Nación, T. I (pp. 628 et </w:t>
      </w:r>
      <w:proofErr w:type="spellStart"/>
      <w:r w:rsidRPr="000B4951">
        <w:rPr>
          <w:rFonts w:ascii="Arial" w:hAnsi="Arial" w:cs="Arial"/>
          <w:sz w:val="24"/>
          <w:szCs w:val="24"/>
        </w:rPr>
        <w:t>seq</w:t>
      </w:r>
      <w:proofErr w:type="spellEnd"/>
      <w:r w:rsidRPr="000B4951">
        <w:rPr>
          <w:rFonts w:ascii="Arial" w:hAnsi="Arial" w:cs="Arial"/>
          <w:sz w:val="24"/>
          <w:szCs w:val="24"/>
        </w:rPr>
        <w:t>.). Buenos Aires: Hammurabi.</w:t>
      </w:r>
    </w:p>
    <w:p w:rsidR="00A873F3" w:rsidRPr="000B4951" w:rsidRDefault="00A873F3" w:rsidP="000B4951">
      <w:pPr>
        <w:spacing w:line="360" w:lineRule="auto"/>
        <w:jc w:val="both"/>
        <w:rPr>
          <w:rFonts w:ascii="Arial" w:hAnsi="Arial" w:cs="Arial"/>
          <w:sz w:val="24"/>
          <w:szCs w:val="24"/>
          <w:lang w:val="en-US"/>
        </w:rPr>
      </w:pPr>
      <w:proofErr w:type="spellStart"/>
      <w:r w:rsidRPr="000B4951">
        <w:rPr>
          <w:rFonts w:ascii="Arial" w:hAnsi="Arial" w:cs="Arial"/>
          <w:sz w:val="24"/>
          <w:szCs w:val="24"/>
        </w:rPr>
        <w:t>Trivisonno</w:t>
      </w:r>
      <w:proofErr w:type="spellEnd"/>
      <w:r w:rsidRPr="000B4951">
        <w:rPr>
          <w:rFonts w:ascii="Arial" w:hAnsi="Arial" w:cs="Arial"/>
          <w:sz w:val="24"/>
          <w:szCs w:val="24"/>
        </w:rPr>
        <w:t xml:space="preserve">, J. B. (2019). Comercio electrónico en el Anteproyecto de Ley de Defensa del Consumidor: Información, responsabilidad, confianza y otras cuestiones. </w:t>
      </w:r>
      <w:r w:rsidRPr="000B4951">
        <w:rPr>
          <w:rFonts w:ascii="Arial" w:hAnsi="Arial" w:cs="Arial"/>
          <w:sz w:val="24"/>
          <w:szCs w:val="24"/>
          <w:lang w:val="en-US"/>
        </w:rPr>
        <w:t>AR/DOC/1398/2019, 2.</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We are Social. (2019a). Digital 2019: Global Internet Use Accelerates, 30/01/2019. Retrieved from https://wearesocial.com/blog/2019/01/digital-2019-global-internet-use-accelerates [Consulted on 10/04/2020].</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We are Social. (2019b). Content Streaming Activities, 06/2019. Retrieved from https://wearesocial-net.s3.amazonaws.com/wp-content/uploads/2019/01/Screen-Shot-2019-01-30-at-12.07.46.png [Consulted on 10/04/2020].</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Data </w:t>
      </w:r>
      <w:proofErr w:type="spellStart"/>
      <w:r w:rsidRPr="000B4951">
        <w:rPr>
          <w:rFonts w:ascii="Arial" w:hAnsi="Arial" w:cs="Arial"/>
          <w:sz w:val="24"/>
          <w:szCs w:val="24"/>
          <w:lang w:val="en-US"/>
        </w:rPr>
        <w:t>Reportal</w:t>
      </w:r>
      <w:proofErr w:type="spellEnd"/>
      <w:r w:rsidRPr="000B4951">
        <w:rPr>
          <w:rFonts w:ascii="Arial" w:hAnsi="Arial" w:cs="Arial"/>
          <w:sz w:val="24"/>
          <w:szCs w:val="24"/>
          <w:lang w:val="en-US"/>
        </w:rPr>
        <w:t>. (2019a). Digital 2019: Global Digital Overview, 31/01/2019. Retrieved from https://datareportal.com/reports/digital-2019-global-digital-overview [Consulted on 10/04/2020].</w:t>
      </w:r>
    </w:p>
    <w:p w:rsidR="00A873F3" w:rsidRPr="000B4951" w:rsidRDefault="00A873F3" w:rsidP="000B4951">
      <w:pPr>
        <w:spacing w:line="360" w:lineRule="auto"/>
        <w:jc w:val="both"/>
        <w:rPr>
          <w:rFonts w:ascii="Arial" w:hAnsi="Arial" w:cs="Arial"/>
          <w:sz w:val="24"/>
          <w:szCs w:val="24"/>
          <w:lang w:val="en-US"/>
        </w:rPr>
      </w:pPr>
      <w:r w:rsidRPr="000B4951">
        <w:rPr>
          <w:rFonts w:ascii="Arial" w:hAnsi="Arial" w:cs="Arial"/>
          <w:sz w:val="24"/>
          <w:szCs w:val="24"/>
          <w:lang w:val="en-US"/>
        </w:rPr>
        <w:t xml:space="preserve">Data </w:t>
      </w:r>
      <w:proofErr w:type="spellStart"/>
      <w:r w:rsidRPr="000B4951">
        <w:rPr>
          <w:rFonts w:ascii="Arial" w:hAnsi="Arial" w:cs="Arial"/>
          <w:sz w:val="24"/>
          <w:szCs w:val="24"/>
          <w:lang w:val="en-US"/>
        </w:rPr>
        <w:t>Reportal</w:t>
      </w:r>
      <w:proofErr w:type="spellEnd"/>
      <w:r w:rsidRPr="000B4951">
        <w:rPr>
          <w:rFonts w:ascii="Arial" w:hAnsi="Arial" w:cs="Arial"/>
          <w:sz w:val="24"/>
          <w:szCs w:val="24"/>
          <w:lang w:val="en-US"/>
        </w:rPr>
        <w:t xml:space="preserve">. (2019b). Digital 2019: Q3 Global Digital </w:t>
      </w:r>
      <w:proofErr w:type="spellStart"/>
      <w:r w:rsidRPr="000B4951">
        <w:rPr>
          <w:rFonts w:ascii="Arial" w:hAnsi="Arial" w:cs="Arial"/>
          <w:sz w:val="24"/>
          <w:szCs w:val="24"/>
          <w:lang w:val="en-US"/>
        </w:rPr>
        <w:t>Statshot</w:t>
      </w:r>
      <w:proofErr w:type="spellEnd"/>
      <w:r w:rsidRPr="000B4951">
        <w:rPr>
          <w:rFonts w:ascii="Arial" w:hAnsi="Arial" w:cs="Arial"/>
          <w:sz w:val="24"/>
          <w:szCs w:val="24"/>
          <w:lang w:val="en-US"/>
        </w:rPr>
        <w:t>, 17/07/2019. Retrieved from https://datareportal.com/reports/digital-2019-q3-global-digital-statshot [Consulted 10/04/2020].</w:t>
      </w:r>
    </w:p>
    <w:sectPr w:rsidR="00A873F3" w:rsidRPr="000B495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5827" w:rsidRDefault="000C5827" w:rsidP="000B4951">
      <w:pPr>
        <w:spacing w:after="0" w:line="240" w:lineRule="auto"/>
      </w:pPr>
      <w:r>
        <w:separator/>
      </w:r>
    </w:p>
  </w:endnote>
  <w:endnote w:type="continuationSeparator" w:id="0">
    <w:p w:rsidR="000C5827" w:rsidRDefault="000C5827" w:rsidP="000B49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5827" w:rsidRDefault="000C5827" w:rsidP="000B4951">
      <w:pPr>
        <w:spacing w:after="0" w:line="240" w:lineRule="auto"/>
      </w:pPr>
      <w:r>
        <w:separator/>
      </w:r>
    </w:p>
  </w:footnote>
  <w:footnote w:type="continuationSeparator" w:id="0">
    <w:p w:rsidR="000C5827" w:rsidRDefault="000C5827" w:rsidP="000B4951">
      <w:pPr>
        <w:spacing w:after="0" w:line="240" w:lineRule="auto"/>
      </w:pPr>
      <w:r>
        <w:continuationSeparator/>
      </w:r>
    </w:p>
  </w:footnote>
  <w:footnote w:id="1">
    <w:p w:rsidR="000B4951" w:rsidRDefault="000B4951" w:rsidP="000B4951">
      <w:pPr>
        <w:pStyle w:val="Textonotapie"/>
        <w:ind w:firstLine="284"/>
      </w:pPr>
      <w:r>
        <w:rPr>
          <w:rStyle w:val="Refdenotaalpie"/>
        </w:rPr>
        <w:footnoteRef/>
      </w:r>
      <w:r w:rsidRPr="000B4951">
        <w:rPr>
          <w:lang w:val="en-US"/>
        </w:rPr>
        <w:t xml:space="preserve"> </w:t>
      </w:r>
      <w:proofErr w:type="spellStart"/>
      <w:r>
        <w:rPr>
          <w:lang w:val="en-US"/>
        </w:rPr>
        <w:t>PhDr</w:t>
      </w:r>
      <w:proofErr w:type="spellEnd"/>
      <w:r>
        <w:rPr>
          <w:lang w:val="en-US"/>
        </w:rPr>
        <w:t>.</w:t>
      </w:r>
      <w:r w:rsidRPr="000B4951">
        <w:rPr>
          <w:lang w:val="en-US"/>
        </w:rPr>
        <w:t xml:space="preserve"> (UBA). Director of the </w:t>
      </w:r>
      <w:r w:rsidR="00DA3ADD">
        <w:rPr>
          <w:lang w:val="en-US"/>
        </w:rPr>
        <w:t xml:space="preserve">Program of </w:t>
      </w:r>
      <w:r w:rsidRPr="000B4951">
        <w:rPr>
          <w:lang w:val="en-US"/>
        </w:rPr>
        <w:t xml:space="preserve">Law </w:t>
      </w:r>
      <w:bookmarkStart w:id="0" w:name="_GoBack"/>
      <w:bookmarkEnd w:id="0"/>
      <w:r w:rsidRPr="000B4951">
        <w:rPr>
          <w:lang w:val="en-US"/>
        </w:rPr>
        <w:t xml:space="preserve">(USAL). Regular undergraduate professor (UBA-USAL-UNDAV), postgraduate professor (UCA-USAL-UNLPAM), and doctoral professor (UBA). Associate Researcher at the A.L. </w:t>
      </w:r>
      <w:proofErr w:type="spellStart"/>
      <w:r w:rsidRPr="000B4951">
        <w:rPr>
          <w:lang w:val="en-US"/>
        </w:rPr>
        <w:t>Gioja</w:t>
      </w:r>
      <w:proofErr w:type="spellEnd"/>
      <w:r w:rsidRPr="000B4951">
        <w:rPr>
          <w:lang w:val="en-US"/>
        </w:rPr>
        <w:t xml:space="preserve"> Institu</w:t>
      </w:r>
      <w:r>
        <w:rPr>
          <w:lang w:val="en-US"/>
        </w:rPr>
        <w:t xml:space="preserve">te (UBA). Member of the Board </w:t>
      </w:r>
      <w:r w:rsidRPr="000B4951">
        <w:rPr>
          <w:lang w:val="en-US"/>
        </w:rPr>
        <w:t xml:space="preserve">of the Consumer Law Association (IACL). Academic Secretary of the Argentine Institute of Consumer Law (IADC). </w:t>
      </w:r>
      <w:proofErr w:type="spellStart"/>
      <w:r w:rsidRPr="000B4951">
        <w:t>Former</w:t>
      </w:r>
      <w:proofErr w:type="spellEnd"/>
      <w:r w:rsidRPr="000B4951">
        <w:t xml:space="preserve"> </w:t>
      </w:r>
      <w:proofErr w:type="spellStart"/>
      <w:r w:rsidRPr="000B4951">
        <w:t>National</w:t>
      </w:r>
      <w:proofErr w:type="spellEnd"/>
      <w:r w:rsidRPr="000B4951">
        <w:t xml:space="preserve"> Director of </w:t>
      </w:r>
      <w:proofErr w:type="spellStart"/>
      <w:r w:rsidRPr="000B4951">
        <w:t>Consumer</w:t>
      </w:r>
      <w:proofErr w:type="spellEnd"/>
      <w:r w:rsidRPr="000B4951">
        <w:t xml:space="preserve"> </w:t>
      </w:r>
      <w:proofErr w:type="spellStart"/>
      <w:r w:rsidRPr="000B4951">
        <w:t>Defense</w:t>
      </w:r>
      <w:proofErr w:type="spellEnd"/>
      <w:r w:rsidRPr="000B4951">
        <w:t xml:space="preserve"> in </w:t>
      </w:r>
      <w:proofErr w:type="gramStart"/>
      <w:r w:rsidRPr="000B4951">
        <w:t>Argentina.</w:t>
      </w:r>
      <w:r>
        <w:t>(</w:t>
      </w:r>
      <w:proofErr w:type="gramEnd"/>
      <w:r>
        <w:t>2020-2022)</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43F6A"/>
    <w:multiLevelType w:val="hybridMultilevel"/>
    <w:tmpl w:val="AF689884"/>
    <w:lvl w:ilvl="0" w:tplc="C262DADA">
      <w:start w:val="1"/>
      <w:numFmt w:val="upperRoman"/>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 w15:restartNumberingAfterBreak="0">
    <w:nsid w:val="30154C7A"/>
    <w:multiLevelType w:val="hybridMultilevel"/>
    <w:tmpl w:val="6624EAB4"/>
    <w:lvl w:ilvl="0" w:tplc="2C0A0001">
      <w:start w:val="1"/>
      <w:numFmt w:val="bullet"/>
      <w:lvlText w:val=""/>
      <w:lvlJc w:val="left"/>
      <w:pPr>
        <w:ind w:left="1080" w:hanging="720"/>
      </w:pPr>
      <w:rPr>
        <w:rFonts w:ascii="Symbol" w:hAnsi="Symbol"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123D"/>
    <w:rsid w:val="000B4951"/>
    <w:rsid w:val="000C5827"/>
    <w:rsid w:val="00832F54"/>
    <w:rsid w:val="00A873F3"/>
    <w:rsid w:val="00C7123D"/>
    <w:rsid w:val="00CB6E1C"/>
    <w:rsid w:val="00DA3ADD"/>
    <w:rsid w:val="00F84B3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6525C5"/>
  <w15:chartTrackingRefBased/>
  <w15:docId w15:val="{5934FF8F-9EB0-4A74-979D-A7A227B55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7123D"/>
    <w:pPr>
      <w:ind w:left="720"/>
      <w:contextualSpacing/>
    </w:pPr>
  </w:style>
  <w:style w:type="paragraph" w:styleId="Textonotapie">
    <w:name w:val="footnote text"/>
    <w:aliases w:val="Car"/>
    <w:basedOn w:val="Normal"/>
    <w:link w:val="TextonotapieCar"/>
    <w:uiPriority w:val="99"/>
    <w:unhideWhenUsed/>
    <w:rsid w:val="000B4951"/>
    <w:pPr>
      <w:spacing w:after="200" w:line="276" w:lineRule="auto"/>
      <w:jc w:val="both"/>
    </w:pPr>
    <w:rPr>
      <w:rFonts w:ascii="Times New Roman" w:eastAsia="Calibri" w:hAnsi="Times New Roman" w:cs="Times New Roman"/>
      <w:sz w:val="20"/>
      <w:szCs w:val="20"/>
    </w:rPr>
  </w:style>
  <w:style w:type="character" w:customStyle="1" w:styleId="TextonotapieCar">
    <w:name w:val="Texto nota pie Car"/>
    <w:aliases w:val="Car Car"/>
    <w:basedOn w:val="Fuentedeprrafopredeter"/>
    <w:link w:val="Textonotapie"/>
    <w:uiPriority w:val="99"/>
    <w:rsid w:val="000B4951"/>
    <w:rPr>
      <w:rFonts w:ascii="Times New Roman" w:eastAsia="Calibri" w:hAnsi="Times New Roman" w:cs="Times New Roman"/>
      <w:sz w:val="20"/>
      <w:szCs w:val="20"/>
    </w:rPr>
  </w:style>
  <w:style w:type="character" w:styleId="Refdenotaalpie">
    <w:name w:val="footnote reference"/>
    <w:uiPriority w:val="99"/>
    <w:unhideWhenUsed/>
    <w:rsid w:val="000B49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31</Pages>
  <Words>9469</Words>
  <Characters>52082</Characters>
  <Application>Microsoft Office Word</Application>
  <DocSecurity>0</DocSecurity>
  <Lines>434</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SEBASTIÁN BAROCELLI - cs juridicas</dc:creator>
  <cp:keywords/>
  <dc:description/>
  <cp:lastModifiedBy>SERGIO SEBASTIÁN BAROCELLI - cs juridicas</cp:lastModifiedBy>
  <cp:revision>4</cp:revision>
  <dcterms:created xsi:type="dcterms:W3CDTF">2024-08-22T17:17:00Z</dcterms:created>
  <dcterms:modified xsi:type="dcterms:W3CDTF">2024-08-22T18:35:00Z</dcterms:modified>
</cp:coreProperties>
</file>